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45" w:type="dxa"/>
        <w:tblLook w:val="04A0" w:firstRow="1" w:lastRow="0" w:firstColumn="1" w:lastColumn="0" w:noHBand="0" w:noVBand="1"/>
      </w:tblPr>
      <w:tblGrid>
        <w:gridCol w:w="2448"/>
        <w:gridCol w:w="1980"/>
        <w:gridCol w:w="5017"/>
      </w:tblGrid>
      <w:tr w:rsidR="0023652C" w14:paraId="5FDE1479" w14:textId="77777777" w:rsidTr="0002252D">
        <w:trPr>
          <w:trHeight w:val="1070"/>
        </w:trPr>
        <w:tc>
          <w:tcPr>
            <w:tcW w:w="9445" w:type="dxa"/>
            <w:gridSpan w:val="3"/>
          </w:tcPr>
          <w:p w14:paraId="07123092" w14:textId="1259ECB8" w:rsidR="0023652C" w:rsidRDefault="008D18D2" w:rsidP="00186B07">
            <w:pPr>
              <w:jc w:val="right"/>
            </w:pPr>
            <w:r>
              <w:rPr>
                <w:noProof/>
              </w:rPr>
              <w:drawing>
                <wp:anchor distT="0" distB="0" distL="114300" distR="114300" simplePos="0" relativeHeight="251657216" behindDoc="0" locked="0" layoutInCell="1" allowOverlap="0" wp14:anchorId="392E1A45" wp14:editId="68F71700">
                  <wp:simplePos x="0" y="0"/>
                  <wp:positionH relativeFrom="column">
                    <wp:posOffset>4352925</wp:posOffset>
                  </wp:positionH>
                  <wp:positionV relativeFrom="paragraph">
                    <wp:posOffset>117475</wp:posOffset>
                  </wp:positionV>
                  <wp:extent cx="1400810" cy="628650"/>
                  <wp:effectExtent l="0" t="0" r="8890" b="0"/>
                  <wp:wrapThrough wrapText="bothSides">
                    <wp:wrapPolygon edited="0">
                      <wp:start x="0" y="0"/>
                      <wp:lineTo x="0" y="20945"/>
                      <wp:lineTo x="21443" y="20945"/>
                      <wp:lineTo x="21443" y="0"/>
                      <wp:lineTo x="0" y="0"/>
                    </wp:wrapPolygon>
                  </wp:wrapThrough>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2"/>
                          <a:stretch>
                            <a:fillRect/>
                          </a:stretch>
                        </pic:blipFill>
                        <pic:spPr>
                          <a:xfrm>
                            <a:off x="0" y="0"/>
                            <a:ext cx="1400810" cy="628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8FC5271" wp14:editId="1EDB1A86">
                      <wp:simplePos x="0" y="0"/>
                      <wp:positionH relativeFrom="column">
                        <wp:posOffset>95250</wp:posOffset>
                      </wp:positionH>
                      <wp:positionV relativeFrom="paragraph">
                        <wp:posOffset>117475</wp:posOffset>
                      </wp:positionV>
                      <wp:extent cx="4076700" cy="6286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28650"/>
                              </a:xfrm>
                              <a:prstGeom prst="rect">
                                <a:avLst/>
                              </a:prstGeom>
                              <a:solidFill>
                                <a:srgbClr val="FFFFFF"/>
                              </a:solidFill>
                              <a:ln w="9525">
                                <a:solidFill>
                                  <a:srgbClr val="000000"/>
                                </a:solidFill>
                                <a:miter lim="800000"/>
                                <a:headEnd/>
                                <a:tailEnd/>
                              </a:ln>
                            </wps:spPr>
                            <wps:txbx>
                              <w:txbxContent>
                                <w:p w14:paraId="5F1EE49F" w14:textId="34EC1E4E" w:rsidR="00186B07" w:rsidRPr="009F6D2C" w:rsidRDefault="00186B07" w:rsidP="00EF34A7">
                                  <w:pPr>
                                    <w:spacing w:after="40"/>
                                    <w:ind w:right="2"/>
                                    <w:rPr>
                                      <w:rFonts w:eastAsia="Times New Roman" w:cs="Times New Roman"/>
                                      <w:b/>
                                      <w:i/>
                                    </w:rPr>
                                  </w:pPr>
                                  <w:r w:rsidRPr="00B84285">
                                    <w:rPr>
                                      <w:rFonts w:eastAsia="Times New Roman" w:cs="Times New Roman"/>
                                      <w:b/>
                                      <w:i/>
                                    </w:rPr>
                                    <w:t>On completion</w:t>
                                  </w:r>
                                  <w:r>
                                    <w:rPr>
                                      <w:rFonts w:eastAsia="Times New Roman" w:cs="Times New Roman"/>
                                      <w:b/>
                                      <w:i/>
                                    </w:rPr>
                                    <w:t xml:space="preserve"> the Capacity Development Plan should be submitted with draft Compliance Monitoring Report (</w:t>
                                  </w:r>
                                  <w:proofErr w:type="spellStart"/>
                                  <w:r>
                                    <w:rPr>
                                      <w:rFonts w:eastAsia="Times New Roman" w:cs="Times New Roman"/>
                                      <w:b/>
                                      <w:i/>
                                    </w:rPr>
                                    <w:t>dCMR</w:t>
                                  </w:r>
                                  <w:proofErr w:type="spellEnd"/>
                                  <w:r>
                                    <w:rPr>
                                      <w:rFonts w:eastAsia="Times New Roman" w:cs="Times New Roman"/>
                                      <w:b/>
                                      <w:i/>
                                    </w:rPr>
                                    <w:t>) to the Secretariat – this is due 28 days prior to TCC.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9.25pt;width:321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JJQIAAEg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">
                      <v:textbox>
                        <w:txbxContent>
                          <w:p w14:paraId="5F1EE49F" w14:textId="34EC1E4E" w:rsidR="00186B07" w:rsidRPr="009F6D2C" w:rsidRDefault="00186B07" w:rsidP="00EF34A7">
                            <w:pPr>
                              <w:spacing w:after="40"/>
                              <w:ind w:right="2"/>
                              <w:rPr>
                                <w:rFonts w:eastAsia="Times New Roman" w:cs="Times New Roman"/>
                                <w:b/>
                                <w:i/>
                              </w:rPr>
                            </w:pPr>
                            <w:r w:rsidRPr="00B84285">
                              <w:rPr>
                                <w:rFonts w:eastAsia="Times New Roman" w:cs="Times New Roman"/>
                                <w:b/>
                                <w:i/>
                              </w:rPr>
                              <w:t>On completion</w:t>
                            </w:r>
                            <w:r>
                              <w:rPr>
                                <w:rFonts w:eastAsia="Times New Roman" w:cs="Times New Roman"/>
                                <w:b/>
                                <w:i/>
                              </w:rPr>
                              <w:t xml:space="preserve"> the Capacity Development Plan should be submitted with draft Compliance Monitoring Report (</w:t>
                            </w:r>
                            <w:proofErr w:type="spellStart"/>
                            <w:r>
                              <w:rPr>
                                <w:rFonts w:eastAsia="Times New Roman" w:cs="Times New Roman"/>
                                <w:b/>
                                <w:i/>
                              </w:rPr>
                              <w:t>dCMR</w:t>
                            </w:r>
                            <w:proofErr w:type="spellEnd"/>
                            <w:r>
                              <w:rPr>
                                <w:rFonts w:eastAsia="Times New Roman" w:cs="Times New Roman"/>
                                <w:b/>
                                <w:i/>
                              </w:rPr>
                              <w:t>) to the Secretariat – this is due 28 days prior to TCC.</w:t>
                            </w:r>
                          </w:p>
                        </w:txbxContent>
                      </v:textbox>
                      <w10:wrap type="through"/>
                    </v:shape>
                  </w:pict>
                </mc:Fallback>
              </mc:AlternateContent>
            </w:r>
          </w:p>
        </w:tc>
      </w:tr>
      <w:tr w:rsidR="0023652C" w14:paraId="378DA73A" w14:textId="77777777" w:rsidTr="0002252D">
        <w:trPr>
          <w:trHeight w:val="305"/>
        </w:trPr>
        <w:tc>
          <w:tcPr>
            <w:tcW w:w="9445" w:type="dxa"/>
            <w:gridSpan w:val="3"/>
            <w:shd w:val="clear" w:color="auto" w:fill="D9D9D9" w:themeFill="background1" w:themeFillShade="D9"/>
          </w:tcPr>
          <w:p w14:paraId="65C45214" w14:textId="21369080" w:rsidR="0023652C" w:rsidRPr="00471864" w:rsidRDefault="003A77D0" w:rsidP="00AB162E">
            <w:pPr>
              <w:jc w:val="center"/>
              <w:rPr>
                <w:rFonts w:asciiTheme="minorHAnsi" w:hAnsiTheme="minorHAnsi"/>
                <w:b/>
                <w:sz w:val="24"/>
              </w:rPr>
            </w:pPr>
            <w:r w:rsidRPr="00AB162E">
              <w:rPr>
                <w:rFonts w:asciiTheme="minorHAnsi" w:hAnsiTheme="minorHAnsi"/>
                <w:b/>
                <w:sz w:val="40"/>
              </w:rPr>
              <w:t xml:space="preserve">KIRIBATI </w:t>
            </w:r>
            <w:r>
              <w:rPr>
                <w:rFonts w:asciiTheme="minorHAnsi" w:hAnsiTheme="minorHAnsi"/>
                <w:b/>
                <w:sz w:val="40"/>
              </w:rPr>
              <w:t xml:space="preserve">- </w:t>
            </w:r>
            <w:r w:rsidR="0023652C" w:rsidRPr="00471864">
              <w:rPr>
                <w:rFonts w:asciiTheme="minorHAnsi" w:hAnsiTheme="minorHAnsi"/>
                <w:b/>
                <w:sz w:val="40"/>
              </w:rPr>
              <w:t xml:space="preserve">CAPACITY </w:t>
            </w:r>
            <w:r w:rsidR="00AB162E">
              <w:rPr>
                <w:rFonts w:asciiTheme="minorHAnsi" w:hAnsiTheme="minorHAnsi"/>
                <w:b/>
                <w:sz w:val="40"/>
              </w:rPr>
              <w:t>DEVELOPMENT PLAN</w:t>
            </w:r>
          </w:p>
        </w:tc>
      </w:tr>
      <w:tr w:rsidR="0023652C" w14:paraId="6EBA4C0F" w14:textId="77777777" w:rsidTr="00471864">
        <w:trPr>
          <w:trHeight w:val="818"/>
        </w:trPr>
        <w:tc>
          <w:tcPr>
            <w:tcW w:w="9445" w:type="dxa"/>
            <w:gridSpan w:val="3"/>
            <w:shd w:val="clear" w:color="auto" w:fill="D9D9D9" w:themeFill="background1" w:themeFillShade="D9"/>
          </w:tcPr>
          <w:p w14:paraId="50552D5E" w14:textId="6A3A49D1" w:rsidR="009F6D2C" w:rsidRPr="00471864" w:rsidRDefault="00471864" w:rsidP="00804058">
            <w:pPr>
              <w:jc w:val="center"/>
              <w:rPr>
                <w:rFonts w:asciiTheme="minorHAnsi" w:hAnsiTheme="minorHAnsi"/>
                <w:i/>
              </w:rPr>
            </w:pPr>
            <w:r>
              <w:rPr>
                <w:rFonts w:asciiTheme="minorHAnsi" w:eastAsia="Calibri" w:hAnsiTheme="minorHAnsi"/>
                <w:color w:val="1A1A1A"/>
              </w:rPr>
              <w:t xml:space="preserve">In accordance with paragraph 5 of CMM 2015-07, </w:t>
            </w:r>
            <w:r w:rsidRPr="00471864">
              <w:rPr>
                <w:rFonts w:asciiTheme="minorHAnsi" w:eastAsia="Calibri" w:hAnsiTheme="minorHAnsi"/>
                <w:color w:val="1A1A1A"/>
              </w:rPr>
              <w:t>a SIDS, Participating Territory, Indonesia or the Philippines</w:t>
            </w:r>
            <w:r w:rsidRPr="00471864">
              <w:rPr>
                <w:rFonts w:asciiTheme="minorHAnsi" w:hAnsiTheme="minorHAnsi"/>
              </w:rPr>
              <w:t xml:space="preserve"> </w:t>
            </w:r>
            <w:r>
              <w:rPr>
                <w:rFonts w:asciiTheme="minorHAnsi" w:hAnsiTheme="minorHAnsi"/>
              </w:rPr>
              <w:t xml:space="preserve">may submit a Capacity Development Plan </w:t>
            </w:r>
            <w:r w:rsidR="008D18D2">
              <w:rPr>
                <w:rFonts w:asciiTheme="minorHAnsi" w:hAnsiTheme="minorHAnsi"/>
              </w:rPr>
              <w:t xml:space="preserve">with their </w:t>
            </w:r>
            <w:proofErr w:type="spellStart"/>
            <w:r w:rsidR="008D18D2">
              <w:rPr>
                <w:rFonts w:asciiTheme="minorHAnsi" w:hAnsiTheme="minorHAnsi"/>
              </w:rPr>
              <w:t>dCMR</w:t>
            </w:r>
            <w:proofErr w:type="spellEnd"/>
            <w:r w:rsidR="008D18D2">
              <w:rPr>
                <w:rFonts w:asciiTheme="minorHAnsi" w:hAnsiTheme="minorHAnsi"/>
              </w:rPr>
              <w:t xml:space="preserve"> </w:t>
            </w:r>
            <w:r>
              <w:rPr>
                <w:rFonts w:asciiTheme="minorHAnsi" w:hAnsiTheme="minorHAnsi"/>
              </w:rPr>
              <w:t xml:space="preserve">to </w:t>
            </w:r>
            <w:r w:rsidRPr="00471864">
              <w:rPr>
                <w:rFonts w:asciiTheme="minorHAnsi" w:hAnsiTheme="minorHAnsi"/>
              </w:rPr>
              <w:t>confirm t</w:t>
            </w:r>
            <w:r w:rsidR="0023652C" w:rsidRPr="00471864">
              <w:rPr>
                <w:rFonts w:asciiTheme="minorHAnsi" w:hAnsiTheme="minorHAnsi"/>
              </w:rPr>
              <w:t>hat</w:t>
            </w:r>
            <w:r>
              <w:rPr>
                <w:rFonts w:asciiTheme="minorHAnsi" w:hAnsiTheme="minorHAnsi"/>
              </w:rPr>
              <w:t xml:space="preserve"> they </w:t>
            </w:r>
            <w:r w:rsidR="0023652C" w:rsidRPr="00471864">
              <w:rPr>
                <w:rFonts w:asciiTheme="minorHAnsi" w:hAnsiTheme="minorHAnsi"/>
              </w:rPr>
              <w:t>cannot meet a particular obligation that is being assessed</w:t>
            </w:r>
            <w:r w:rsidRPr="00471864">
              <w:rPr>
                <w:rFonts w:asciiTheme="minorHAnsi" w:hAnsiTheme="minorHAnsi"/>
              </w:rPr>
              <w:t xml:space="preserve"> in the CMR</w:t>
            </w:r>
            <w:r w:rsidR="0023652C" w:rsidRPr="00471864">
              <w:rPr>
                <w:rFonts w:asciiTheme="minorHAnsi" w:hAnsiTheme="minorHAnsi"/>
              </w:rPr>
              <w:t>, due to a lack of capacity</w:t>
            </w:r>
            <w:r w:rsidRPr="00471864">
              <w:rPr>
                <w:rFonts w:asciiTheme="minorHAnsi" w:hAnsiTheme="minorHAnsi"/>
              </w:rPr>
              <w:t>.</w:t>
            </w:r>
          </w:p>
        </w:tc>
      </w:tr>
      <w:tr w:rsidR="00471864" w14:paraId="149908CE" w14:textId="77777777" w:rsidTr="00186B07">
        <w:trPr>
          <w:trHeight w:val="449"/>
        </w:trPr>
        <w:tc>
          <w:tcPr>
            <w:tcW w:w="9445" w:type="dxa"/>
            <w:gridSpan w:val="3"/>
          </w:tcPr>
          <w:p w14:paraId="5D049A1C" w14:textId="45523A84" w:rsidR="00471864" w:rsidRPr="00EF34A7" w:rsidRDefault="00471864" w:rsidP="00186B07">
            <w:pPr>
              <w:rPr>
                <w:rFonts w:asciiTheme="minorHAnsi" w:hAnsiTheme="minorHAnsi"/>
                <w:b/>
                <w:sz w:val="28"/>
              </w:rPr>
            </w:pPr>
            <w:r w:rsidRPr="00EF34A7">
              <w:rPr>
                <w:rFonts w:asciiTheme="minorHAnsi" w:hAnsiTheme="minorHAnsi"/>
                <w:b/>
                <w:sz w:val="28"/>
              </w:rPr>
              <w:t>CCM:</w:t>
            </w:r>
            <w:r w:rsidR="00C77310">
              <w:rPr>
                <w:rFonts w:asciiTheme="minorHAnsi" w:hAnsiTheme="minorHAnsi"/>
                <w:b/>
                <w:sz w:val="28"/>
              </w:rPr>
              <w:t xml:space="preserve"> </w:t>
            </w:r>
            <w:r w:rsidR="00AB162E">
              <w:rPr>
                <w:rFonts w:asciiTheme="minorHAnsi" w:hAnsiTheme="minorHAnsi"/>
                <w:b/>
                <w:sz w:val="28"/>
              </w:rPr>
              <w:t xml:space="preserve"> </w:t>
            </w:r>
            <w:r w:rsidR="00186B07" w:rsidRPr="00AB162E">
              <w:rPr>
                <w:rFonts w:asciiTheme="minorHAnsi" w:hAnsiTheme="minorHAnsi"/>
                <w:b/>
                <w:sz w:val="28"/>
              </w:rPr>
              <w:t>CMM2007-01</w:t>
            </w:r>
            <w:r w:rsidR="00630DFC" w:rsidRPr="00AB162E">
              <w:rPr>
                <w:rFonts w:asciiTheme="minorHAnsi" w:hAnsiTheme="minorHAnsi"/>
                <w:b/>
                <w:sz w:val="28"/>
              </w:rPr>
              <w:t xml:space="preserve"> attachment K, Annex C-06</w:t>
            </w:r>
          </w:p>
        </w:tc>
      </w:tr>
      <w:tr w:rsidR="00471864" w14:paraId="43C80948" w14:textId="77777777" w:rsidTr="0002252D">
        <w:trPr>
          <w:trHeight w:val="467"/>
        </w:trPr>
        <w:tc>
          <w:tcPr>
            <w:tcW w:w="9445" w:type="dxa"/>
            <w:gridSpan w:val="3"/>
          </w:tcPr>
          <w:p w14:paraId="1F02A6DC" w14:textId="558A351D" w:rsidR="00471864" w:rsidRPr="00EF34A7" w:rsidRDefault="00471864" w:rsidP="00186B07">
            <w:pPr>
              <w:rPr>
                <w:rFonts w:asciiTheme="minorHAnsi" w:hAnsiTheme="minorHAnsi"/>
                <w:b/>
                <w:sz w:val="28"/>
              </w:rPr>
            </w:pPr>
            <w:r w:rsidRPr="00EF34A7">
              <w:rPr>
                <w:rFonts w:asciiTheme="minorHAnsi" w:hAnsiTheme="minorHAnsi"/>
                <w:b/>
                <w:sz w:val="28"/>
              </w:rPr>
              <w:t xml:space="preserve">Obligation: </w:t>
            </w:r>
            <w:r w:rsidR="00186B07">
              <w:rPr>
                <w:rFonts w:asciiTheme="minorHAnsi" w:hAnsiTheme="minorHAnsi"/>
                <w:b/>
                <w:sz w:val="28"/>
              </w:rPr>
              <w:t>Observer data provision</w:t>
            </w:r>
          </w:p>
        </w:tc>
      </w:tr>
      <w:tr w:rsidR="0023652C" w14:paraId="0F76B428" w14:textId="77777777" w:rsidTr="0002252D">
        <w:trPr>
          <w:trHeight w:val="431"/>
        </w:trPr>
        <w:tc>
          <w:tcPr>
            <w:tcW w:w="4428" w:type="dxa"/>
            <w:gridSpan w:val="2"/>
          </w:tcPr>
          <w:p w14:paraId="58E42F11" w14:textId="03562DF0" w:rsidR="0023652C" w:rsidRPr="00EF34A7" w:rsidRDefault="00471864" w:rsidP="00186B07">
            <w:pPr>
              <w:rPr>
                <w:rFonts w:asciiTheme="minorHAnsi" w:hAnsiTheme="minorHAnsi"/>
                <w:b/>
                <w:sz w:val="28"/>
              </w:rPr>
            </w:pPr>
            <w:r w:rsidRPr="00EF34A7">
              <w:rPr>
                <w:rFonts w:asciiTheme="minorHAnsi" w:hAnsiTheme="minorHAnsi"/>
                <w:b/>
                <w:sz w:val="28"/>
              </w:rPr>
              <w:t xml:space="preserve">CMR reporting year: </w:t>
            </w:r>
            <w:r w:rsidR="00186B07">
              <w:rPr>
                <w:rFonts w:asciiTheme="minorHAnsi" w:hAnsiTheme="minorHAnsi"/>
                <w:b/>
                <w:sz w:val="28"/>
              </w:rPr>
              <w:t>2018</w:t>
            </w:r>
          </w:p>
        </w:tc>
        <w:tc>
          <w:tcPr>
            <w:tcW w:w="5017" w:type="dxa"/>
          </w:tcPr>
          <w:p w14:paraId="44EE927E" w14:textId="5A5C3ADB" w:rsidR="0023652C" w:rsidRPr="00EF34A7" w:rsidRDefault="00471864" w:rsidP="00186B07">
            <w:pPr>
              <w:rPr>
                <w:rFonts w:asciiTheme="minorHAnsi" w:hAnsiTheme="minorHAnsi"/>
                <w:b/>
                <w:sz w:val="28"/>
              </w:rPr>
            </w:pPr>
            <w:r w:rsidRPr="00EF34A7">
              <w:rPr>
                <w:rFonts w:asciiTheme="minorHAnsi" w:hAnsiTheme="minorHAnsi"/>
                <w:b/>
                <w:sz w:val="28"/>
              </w:rPr>
              <w:t xml:space="preserve">Date submitted: </w:t>
            </w:r>
            <w:r w:rsidR="00186B07">
              <w:rPr>
                <w:rFonts w:asciiTheme="minorHAnsi" w:hAnsiTheme="minorHAnsi"/>
                <w:b/>
                <w:sz w:val="28"/>
              </w:rPr>
              <w:t>27</w:t>
            </w:r>
            <w:r w:rsidR="00186B07" w:rsidRPr="00186B07">
              <w:rPr>
                <w:rFonts w:asciiTheme="minorHAnsi" w:hAnsiTheme="minorHAnsi"/>
                <w:b/>
                <w:sz w:val="28"/>
                <w:vertAlign w:val="superscript"/>
              </w:rPr>
              <w:t>th</w:t>
            </w:r>
            <w:r w:rsidR="00186B07">
              <w:rPr>
                <w:rFonts w:asciiTheme="minorHAnsi" w:hAnsiTheme="minorHAnsi"/>
                <w:b/>
                <w:sz w:val="28"/>
              </w:rPr>
              <w:t xml:space="preserve"> August, 2018</w:t>
            </w:r>
          </w:p>
        </w:tc>
      </w:tr>
      <w:tr w:rsidR="0023652C" w14:paraId="4D073D9E" w14:textId="77777777" w:rsidTr="00186B07">
        <w:trPr>
          <w:trHeight w:val="215"/>
        </w:trPr>
        <w:tc>
          <w:tcPr>
            <w:tcW w:w="9445" w:type="dxa"/>
            <w:gridSpan w:val="3"/>
            <w:shd w:val="clear" w:color="auto" w:fill="D9D9D9" w:themeFill="background1" w:themeFillShade="D9"/>
          </w:tcPr>
          <w:p w14:paraId="57EA27D7" w14:textId="7E3E876C" w:rsidR="0023652C" w:rsidRPr="00471864" w:rsidRDefault="00471864" w:rsidP="00EF34A7">
            <w:pPr>
              <w:rPr>
                <w:rFonts w:asciiTheme="minorHAnsi" w:hAnsiTheme="minorHAnsi"/>
                <w:b/>
                <w:sz w:val="24"/>
                <w:szCs w:val="24"/>
              </w:rPr>
            </w:pPr>
            <w:r w:rsidRPr="00471864">
              <w:rPr>
                <w:rFonts w:asciiTheme="minorHAnsi" w:hAnsiTheme="minorHAnsi"/>
                <w:b/>
                <w:sz w:val="24"/>
                <w:szCs w:val="24"/>
              </w:rPr>
              <w:t xml:space="preserve">i) </w:t>
            </w:r>
            <w:r w:rsidR="00EF34A7">
              <w:rPr>
                <w:rFonts w:asciiTheme="minorHAnsi" w:hAnsiTheme="minorHAnsi"/>
                <w:b/>
                <w:sz w:val="24"/>
                <w:szCs w:val="24"/>
              </w:rPr>
              <w:t xml:space="preserve">CCM to clearly </w:t>
            </w:r>
            <w:r w:rsidRPr="00471864">
              <w:rPr>
                <w:rFonts w:asciiTheme="minorHAnsi" w:hAnsiTheme="minorHAnsi"/>
                <w:b/>
                <w:sz w:val="24"/>
                <w:szCs w:val="24"/>
              </w:rPr>
              <w:t>identif</w:t>
            </w:r>
            <w:r w:rsidR="00EF34A7">
              <w:rPr>
                <w:rFonts w:asciiTheme="minorHAnsi" w:hAnsiTheme="minorHAnsi"/>
                <w:b/>
                <w:sz w:val="24"/>
                <w:szCs w:val="24"/>
              </w:rPr>
              <w:t>y</w:t>
            </w:r>
            <w:r w:rsidRPr="00471864">
              <w:rPr>
                <w:rFonts w:asciiTheme="minorHAnsi" w:hAnsiTheme="minorHAnsi"/>
                <w:b/>
                <w:sz w:val="24"/>
                <w:szCs w:val="24"/>
              </w:rPr>
              <w:t xml:space="preserve"> and expla</w:t>
            </w:r>
            <w:r w:rsidR="00EF34A7">
              <w:rPr>
                <w:rFonts w:asciiTheme="minorHAnsi" w:hAnsiTheme="minorHAnsi"/>
                <w:b/>
                <w:sz w:val="24"/>
                <w:szCs w:val="24"/>
              </w:rPr>
              <w:t>i</w:t>
            </w:r>
            <w:r w:rsidRPr="00471864">
              <w:rPr>
                <w:rFonts w:asciiTheme="minorHAnsi" w:hAnsiTheme="minorHAnsi"/>
                <w:b/>
                <w:sz w:val="24"/>
                <w:szCs w:val="24"/>
              </w:rPr>
              <w:t>n what is preventing the CCM from meeting that obligation</w:t>
            </w:r>
          </w:p>
        </w:tc>
      </w:tr>
      <w:tr w:rsidR="00471864" w14:paraId="3B89C9E6" w14:textId="77777777" w:rsidTr="00471864">
        <w:trPr>
          <w:trHeight w:val="998"/>
        </w:trPr>
        <w:tc>
          <w:tcPr>
            <w:tcW w:w="9445" w:type="dxa"/>
            <w:gridSpan w:val="3"/>
          </w:tcPr>
          <w:p w14:paraId="29D3C06C" w14:textId="1EAC2AB4" w:rsidR="00186B07" w:rsidRPr="00471864" w:rsidRDefault="00186B07" w:rsidP="00630DFC">
            <w:pPr>
              <w:rPr>
                <w:rFonts w:asciiTheme="minorHAnsi" w:hAnsiTheme="minorHAnsi"/>
                <w:b/>
              </w:rPr>
            </w:pPr>
            <w:r>
              <w:rPr>
                <w:rFonts w:asciiTheme="minorHAnsi" w:hAnsiTheme="minorHAnsi"/>
                <w:b/>
              </w:rPr>
              <w:t xml:space="preserve">The issue identified in the </w:t>
            </w:r>
            <w:proofErr w:type="spellStart"/>
            <w:r>
              <w:rPr>
                <w:rFonts w:asciiTheme="minorHAnsi" w:hAnsiTheme="minorHAnsi"/>
                <w:b/>
              </w:rPr>
              <w:t>dCMR</w:t>
            </w:r>
            <w:proofErr w:type="spellEnd"/>
            <w:r>
              <w:rPr>
                <w:rFonts w:asciiTheme="minorHAnsi" w:hAnsiTheme="minorHAnsi"/>
                <w:b/>
              </w:rPr>
              <w:t xml:space="preserve"> is the data issue regarding observer therefore to clear or achieve this obligation in future</w:t>
            </w:r>
            <w:r w:rsidR="00630DFC">
              <w:rPr>
                <w:rFonts w:asciiTheme="minorHAnsi" w:hAnsiTheme="minorHAnsi"/>
                <w:b/>
              </w:rPr>
              <w:t xml:space="preserve">. As such there is a need for </w:t>
            </w:r>
            <w:r>
              <w:rPr>
                <w:rFonts w:asciiTheme="minorHAnsi" w:hAnsiTheme="minorHAnsi"/>
                <w:b/>
              </w:rPr>
              <w:t>SPC to unde</w:t>
            </w:r>
            <w:r w:rsidR="00630DFC">
              <w:rPr>
                <w:rFonts w:asciiTheme="minorHAnsi" w:hAnsiTheme="minorHAnsi"/>
                <w:b/>
              </w:rPr>
              <w:t>rtake national consultation to assist Kiribati to address these data gaps as noted.</w:t>
            </w:r>
          </w:p>
        </w:tc>
      </w:tr>
      <w:tr w:rsidR="0023652C" w14:paraId="618B0782" w14:textId="77777777" w:rsidTr="00186B07">
        <w:trPr>
          <w:trHeight w:val="242"/>
        </w:trPr>
        <w:tc>
          <w:tcPr>
            <w:tcW w:w="9445" w:type="dxa"/>
            <w:gridSpan w:val="3"/>
            <w:shd w:val="clear" w:color="auto" w:fill="D9D9D9" w:themeFill="background1" w:themeFillShade="D9"/>
          </w:tcPr>
          <w:p w14:paraId="34955FDA" w14:textId="3C6BC113" w:rsidR="0023652C" w:rsidRPr="0002252D" w:rsidRDefault="00471864" w:rsidP="00EF34A7">
            <w:pPr>
              <w:rPr>
                <w:rFonts w:asciiTheme="minorHAnsi" w:hAnsiTheme="minorHAnsi"/>
                <w:b/>
                <w:i/>
                <w:sz w:val="24"/>
                <w:szCs w:val="24"/>
              </w:rPr>
            </w:pPr>
            <w:r>
              <w:rPr>
                <w:rFonts w:asciiTheme="minorHAnsi" w:hAnsiTheme="minorHAnsi"/>
                <w:b/>
                <w:sz w:val="24"/>
                <w:szCs w:val="24"/>
              </w:rPr>
              <w:t xml:space="preserve">ii) </w:t>
            </w:r>
            <w:r w:rsidR="00EF34A7">
              <w:rPr>
                <w:rFonts w:asciiTheme="minorHAnsi" w:hAnsiTheme="minorHAnsi"/>
                <w:b/>
                <w:sz w:val="24"/>
                <w:szCs w:val="24"/>
              </w:rPr>
              <w:t xml:space="preserve">CCM to </w:t>
            </w:r>
            <w:r w:rsidRPr="00471864">
              <w:rPr>
                <w:rFonts w:asciiTheme="minorHAnsi" w:hAnsiTheme="minorHAnsi"/>
                <w:b/>
                <w:sz w:val="24"/>
                <w:szCs w:val="24"/>
              </w:rPr>
              <w:t>identif</w:t>
            </w:r>
            <w:r w:rsidR="00EF34A7">
              <w:rPr>
                <w:rFonts w:asciiTheme="minorHAnsi" w:hAnsiTheme="minorHAnsi"/>
                <w:b/>
                <w:sz w:val="24"/>
                <w:szCs w:val="24"/>
              </w:rPr>
              <w:t xml:space="preserve">y </w:t>
            </w:r>
            <w:r w:rsidRPr="00471864">
              <w:rPr>
                <w:rFonts w:asciiTheme="minorHAnsi" w:hAnsiTheme="minorHAnsi"/>
                <w:b/>
                <w:sz w:val="24"/>
                <w:szCs w:val="24"/>
              </w:rPr>
              <w:t>the capacity building assistance needed to allow that CCM to meet that obligation</w:t>
            </w:r>
            <w:r w:rsidR="0002252D">
              <w:rPr>
                <w:rFonts w:asciiTheme="minorHAnsi" w:hAnsiTheme="minorHAnsi"/>
                <w:b/>
                <w:sz w:val="24"/>
                <w:szCs w:val="24"/>
              </w:rPr>
              <w:t xml:space="preserve"> </w:t>
            </w:r>
            <w:r w:rsidR="0002252D" w:rsidRPr="00EF34A7">
              <w:rPr>
                <w:rFonts w:asciiTheme="minorHAnsi" w:hAnsiTheme="minorHAnsi"/>
                <w:i/>
                <w:szCs w:val="24"/>
              </w:rPr>
              <w:t>(there may be steps before a CCM can become compliant with the obligation)</w:t>
            </w:r>
          </w:p>
        </w:tc>
      </w:tr>
      <w:tr w:rsidR="00471864" w14:paraId="50803A5B" w14:textId="77777777" w:rsidTr="00471864">
        <w:trPr>
          <w:trHeight w:val="1097"/>
        </w:trPr>
        <w:tc>
          <w:tcPr>
            <w:tcW w:w="9445" w:type="dxa"/>
            <w:gridSpan w:val="3"/>
          </w:tcPr>
          <w:p w14:paraId="3450FC88" w14:textId="77777777" w:rsidR="00186B07" w:rsidRDefault="00186B07" w:rsidP="00186B07">
            <w:pPr>
              <w:rPr>
                <w:rFonts w:asciiTheme="minorHAnsi" w:hAnsiTheme="minorHAnsi"/>
                <w:b/>
              </w:rPr>
            </w:pPr>
            <w:r>
              <w:rPr>
                <w:rFonts w:asciiTheme="minorHAnsi" w:hAnsiTheme="minorHAnsi"/>
                <w:b/>
              </w:rPr>
              <w:t xml:space="preserve">The national consultation on these data gaps can assist Kiribati to meet data requirement as in most cases the gaps relates with unclear or unreadable data upon receiving at SPC. Therefore to address this issue SPC shall visit Kiribati to assist in collecting and verifying data available at national level to clear issue. In addition the opportunity can also provide capacity building at national </w:t>
            </w:r>
            <w:r w:rsidR="00630DFC">
              <w:rPr>
                <w:rFonts w:asciiTheme="minorHAnsi" w:hAnsiTheme="minorHAnsi"/>
                <w:b/>
              </w:rPr>
              <w:t>level to learn from SPC on other related data</w:t>
            </w:r>
            <w:r>
              <w:rPr>
                <w:rFonts w:asciiTheme="minorHAnsi" w:hAnsiTheme="minorHAnsi"/>
                <w:b/>
              </w:rPr>
              <w:t xml:space="preserve"> issues.</w:t>
            </w:r>
          </w:p>
          <w:p w14:paraId="38B69BB5" w14:textId="03A12764" w:rsidR="004010A1" w:rsidRPr="00471864" w:rsidRDefault="004010A1" w:rsidP="00186B07">
            <w:pPr>
              <w:rPr>
                <w:rFonts w:asciiTheme="minorHAnsi" w:hAnsiTheme="minorHAnsi"/>
                <w:b/>
              </w:rPr>
            </w:pPr>
            <w:bookmarkStart w:id="0" w:name="_GoBack"/>
            <w:bookmarkEnd w:id="0"/>
          </w:p>
        </w:tc>
      </w:tr>
      <w:tr w:rsidR="0023652C" w14:paraId="16402BEC" w14:textId="77777777" w:rsidTr="00186B07">
        <w:trPr>
          <w:trHeight w:val="323"/>
        </w:trPr>
        <w:tc>
          <w:tcPr>
            <w:tcW w:w="9445" w:type="dxa"/>
            <w:gridSpan w:val="3"/>
            <w:shd w:val="clear" w:color="auto" w:fill="D9D9D9" w:themeFill="background1" w:themeFillShade="D9"/>
          </w:tcPr>
          <w:p w14:paraId="0EC42806" w14:textId="3DEB2587" w:rsidR="0023652C" w:rsidRDefault="00471864" w:rsidP="00471864">
            <w:pPr>
              <w:rPr>
                <w:b/>
                <w:sz w:val="24"/>
              </w:rPr>
            </w:pPr>
            <w:r w:rsidRPr="00471864">
              <w:rPr>
                <w:rFonts w:asciiTheme="minorHAnsi" w:hAnsiTheme="minorHAnsi"/>
                <w:b/>
                <w:sz w:val="24"/>
                <w:szCs w:val="24"/>
              </w:rPr>
              <w:t xml:space="preserve">iii) </w:t>
            </w:r>
            <w:r w:rsidR="00EF34A7">
              <w:rPr>
                <w:rFonts w:asciiTheme="minorHAnsi" w:hAnsiTheme="minorHAnsi"/>
                <w:b/>
                <w:sz w:val="24"/>
                <w:szCs w:val="24"/>
              </w:rPr>
              <w:t xml:space="preserve">CCM to provide </w:t>
            </w:r>
            <w:r w:rsidRPr="00471864">
              <w:rPr>
                <w:rFonts w:asciiTheme="minorHAnsi" w:hAnsiTheme="minorHAnsi"/>
                <w:b/>
                <w:sz w:val="24"/>
                <w:szCs w:val="24"/>
              </w:rPr>
              <w:t xml:space="preserve">estimates </w:t>
            </w:r>
            <w:r w:rsidR="00EF34A7">
              <w:rPr>
                <w:rFonts w:asciiTheme="minorHAnsi" w:hAnsiTheme="minorHAnsi"/>
                <w:b/>
                <w:sz w:val="24"/>
                <w:szCs w:val="24"/>
              </w:rPr>
              <w:t xml:space="preserve">of </w:t>
            </w:r>
            <w:r w:rsidRPr="00471864">
              <w:rPr>
                <w:rFonts w:asciiTheme="minorHAnsi" w:hAnsiTheme="minorHAnsi"/>
                <w:b/>
                <w:sz w:val="24"/>
                <w:szCs w:val="24"/>
              </w:rPr>
              <w:t>the costs and/or technical resources associated with such assistance, including, if possible, funding and technical assistance sources where necessary</w:t>
            </w:r>
          </w:p>
        </w:tc>
      </w:tr>
      <w:tr w:rsidR="009F6D2C" w14:paraId="41080FA9" w14:textId="77777777" w:rsidTr="00186B07">
        <w:trPr>
          <w:trHeight w:val="881"/>
        </w:trPr>
        <w:tc>
          <w:tcPr>
            <w:tcW w:w="9445" w:type="dxa"/>
            <w:gridSpan w:val="3"/>
          </w:tcPr>
          <w:p w14:paraId="7077194F" w14:textId="42A62B94" w:rsidR="00804058" w:rsidRPr="003A77D0" w:rsidRDefault="00630DFC" w:rsidP="003A77D0">
            <w:pPr>
              <w:rPr>
                <w:i/>
                <w:sz w:val="24"/>
                <w:szCs w:val="24"/>
              </w:rPr>
            </w:pPr>
            <w:r>
              <w:rPr>
                <w:i/>
                <w:sz w:val="24"/>
                <w:szCs w:val="24"/>
              </w:rPr>
              <w:t>The estimates cost will be more</w:t>
            </w:r>
            <w:r w:rsidR="00186B07">
              <w:rPr>
                <w:i/>
                <w:sz w:val="24"/>
                <w:szCs w:val="24"/>
              </w:rPr>
              <w:t xml:space="preserve"> relates with Travel and DSA</w:t>
            </w:r>
            <w:r w:rsidR="00E60182">
              <w:rPr>
                <w:i/>
                <w:sz w:val="24"/>
                <w:szCs w:val="24"/>
              </w:rPr>
              <w:t xml:space="preserve"> cost</w:t>
            </w:r>
            <w:r w:rsidR="00186B07">
              <w:rPr>
                <w:i/>
                <w:sz w:val="24"/>
                <w:szCs w:val="24"/>
              </w:rPr>
              <w:t xml:space="preserve"> for SPC to </w:t>
            </w:r>
            <w:r w:rsidR="00E60182">
              <w:rPr>
                <w:i/>
                <w:sz w:val="24"/>
                <w:szCs w:val="24"/>
              </w:rPr>
              <w:t xml:space="preserve">visit Kiribati prior the </w:t>
            </w:r>
            <w:r>
              <w:rPr>
                <w:i/>
                <w:sz w:val="24"/>
                <w:szCs w:val="24"/>
              </w:rPr>
              <w:t>next TCC in 2019</w:t>
            </w:r>
            <w:r w:rsidR="00E60182">
              <w:rPr>
                <w:i/>
                <w:sz w:val="24"/>
                <w:szCs w:val="24"/>
              </w:rPr>
              <w:t xml:space="preserve"> to undertake this exercise</w:t>
            </w:r>
            <w:r>
              <w:rPr>
                <w:i/>
                <w:sz w:val="24"/>
                <w:szCs w:val="24"/>
              </w:rPr>
              <w:t>.</w:t>
            </w:r>
          </w:p>
          <w:p w14:paraId="0F0EACCE" w14:textId="4A51F9E6" w:rsidR="00804058" w:rsidRPr="00177D42" w:rsidRDefault="00804058" w:rsidP="00186B07">
            <w:pPr>
              <w:pStyle w:val="ListParagraph"/>
              <w:rPr>
                <w:i/>
                <w:sz w:val="24"/>
                <w:szCs w:val="24"/>
              </w:rPr>
            </w:pPr>
          </w:p>
        </w:tc>
      </w:tr>
      <w:tr w:rsidR="0023652C" w14:paraId="565C4BB8" w14:textId="77777777" w:rsidTr="0002252D">
        <w:trPr>
          <w:trHeight w:val="251"/>
        </w:trPr>
        <w:tc>
          <w:tcPr>
            <w:tcW w:w="9445" w:type="dxa"/>
            <w:gridSpan w:val="3"/>
            <w:tcBorders>
              <w:bottom w:val="single" w:sz="4" w:space="0" w:color="auto"/>
            </w:tcBorders>
            <w:shd w:val="clear" w:color="auto" w:fill="D9D9D9" w:themeFill="background1" w:themeFillShade="D9"/>
          </w:tcPr>
          <w:p w14:paraId="1B487CE8" w14:textId="031DA4A1" w:rsidR="0023652C" w:rsidRDefault="00471864" w:rsidP="00471864">
            <w:pPr>
              <w:rPr>
                <w:rFonts w:asciiTheme="minorHAnsi" w:hAnsiTheme="minorHAnsi"/>
                <w:b/>
                <w:sz w:val="24"/>
                <w:szCs w:val="24"/>
              </w:rPr>
            </w:pPr>
            <w:r w:rsidRPr="00471864">
              <w:rPr>
                <w:rFonts w:asciiTheme="minorHAnsi" w:hAnsiTheme="minorHAnsi"/>
                <w:b/>
                <w:sz w:val="24"/>
                <w:szCs w:val="24"/>
              </w:rPr>
              <w:t xml:space="preserve">iv) </w:t>
            </w:r>
            <w:r w:rsidR="00EF34A7">
              <w:rPr>
                <w:rFonts w:asciiTheme="minorHAnsi" w:hAnsiTheme="minorHAnsi"/>
                <w:b/>
                <w:sz w:val="24"/>
                <w:szCs w:val="24"/>
              </w:rPr>
              <w:t xml:space="preserve">CCM to set out </w:t>
            </w:r>
            <w:r w:rsidRPr="00471864">
              <w:rPr>
                <w:rFonts w:asciiTheme="minorHAnsi" w:hAnsiTheme="minorHAnsi"/>
                <w:b/>
                <w:sz w:val="24"/>
                <w:szCs w:val="24"/>
              </w:rPr>
              <w:t>an anticipated timeframe in which, if the identified assistance needs are provided, that CCM will be able to meet that obligation</w:t>
            </w:r>
          </w:p>
          <w:p w14:paraId="6D4DA267" w14:textId="2304BA51" w:rsidR="00EF34A7" w:rsidRPr="00EF34A7" w:rsidRDefault="00EF34A7" w:rsidP="00471864">
            <w:pPr>
              <w:rPr>
                <w:i/>
                <w:sz w:val="24"/>
                <w:szCs w:val="24"/>
              </w:rPr>
            </w:pPr>
            <w:r w:rsidRPr="00EF34A7">
              <w:rPr>
                <w:rFonts w:asciiTheme="minorHAnsi" w:hAnsiTheme="minorHAnsi"/>
                <w:i/>
                <w:szCs w:val="24"/>
              </w:rPr>
              <w:t>CCM shall report its progress under the Capacity Development Plan every year in its Annual Report Part II</w:t>
            </w:r>
          </w:p>
        </w:tc>
      </w:tr>
      <w:tr w:rsidR="009F6D2C" w14:paraId="39145EC7" w14:textId="77777777" w:rsidTr="0002252D">
        <w:trPr>
          <w:trHeight w:val="555"/>
        </w:trPr>
        <w:tc>
          <w:tcPr>
            <w:tcW w:w="9445" w:type="dxa"/>
            <w:gridSpan w:val="3"/>
            <w:tcBorders>
              <w:top w:val="single" w:sz="4" w:space="0" w:color="auto"/>
              <w:left w:val="single" w:sz="4" w:space="0" w:color="auto"/>
              <w:bottom w:val="nil"/>
              <w:right w:val="single" w:sz="4" w:space="0" w:color="auto"/>
            </w:tcBorders>
            <w:shd w:val="clear" w:color="auto" w:fill="auto"/>
          </w:tcPr>
          <w:p w14:paraId="187E1C67" w14:textId="3A4E3C03" w:rsidR="009F6D2C" w:rsidRPr="00471864" w:rsidRDefault="00E60182" w:rsidP="00471864">
            <w:pPr>
              <w:rPr>
                <w:b/>
                <w:sz w:val="24"/>
                <w:szCs w:val="24"/>
              </w:rPr>
            </w:pPr>
            <w:r>
              <w:rPr>
                <w:b/>
                <w:sz w:val="24"/>
                <w:szCs w:val="24"/>
              </w:rPr>
              <w:t>Depend on the outcome of the assistance provided as required in this capacity assistance plan.</w:t>
            </w:r>
          </w:p>
        </w:tc>
      </w:tr>
      <w:tr w:rsidR="009F6D2C" w14:paraId="6F146B64" w14:textId="77777777" w:rsidTr="0002252D">
        <w:trPr>
          <w:trHeight w:val="555"/>
        </w:trPr>
        <w:tc>
          <w:tcPr>
            <w:tcW w:w="2448" w:type="dxa"/>
            <w:tcBorders>
              <w:top w:val="nil"/>
              <w:left w:val="single" w:sz="4" w:space="0" w:color="auto"/>
            </w:tcBorders>
            <w:shd w:val="clear" w:color="auto" w:fill="auto"/>
          </w:tcPr>
          <w:p w14:paraId="00322802" w14:textId="77777777" w:rsidR="009F6D2C" w:rsidRDefault="009F6D2C" w:rsidP="00471864">
            <w:pPr>
              <w:rPr>
                <w:b/>
                <w:sz w:val="24"/>
                <w:szCs w:val="24"/>
              </w:rPr>
            </w:pPr>
          </w:p>
        </w:tc>
        <w:tc>
          <w:tcPr>
            <w:tcW w:w="6997" w:type="dxa"/>
            <w:gridSpan w:val="2"/>
            <w:tcBorders>
              <w:top w:val="single" w:sz="4" w:space="0" w:color="auto"/>
            </w:tcBorders>
            <w:shd w:val="clear" w:color="auto" w:fill="auto"/>
          </w:tcPr>
          <w:p w14:paraId="30A94A34" w14:textId="77777777" w:rsidR="008D18D2" w:rsidRDefault="0002252D" w:rsidP="008D18D2">
            <w:pPr>
              <w:rPr>
                <w:rFonts w:asciiTheme="minorHAnsi" w:hAnsiTheme="minorHAnsi"/>
                <w:b/>
                <w:sz w:val="28"/>
              </w:rPr>
            </w:pPr>
            <w:r w:rsidRPr="00EF34A7">
              <w:rPr>
                <w:rFonts w:asciiTheme="minorHAnsi" w:hAnsiTheme="minorHAnsi"/>
                <w:b/>
                <w:sz w:val="28"/>
              </w:rPr>
              <w:t xml:space="preserve">Anticipated </w:t>
            </w:r>
            <w:r w:rsidR="00EF34A7">
              <w:rPr>
                <w:rFonts w:asciiTheme="minorHAnsi" w:hAnsiTheme="minorHAnsi"/>
                <w:b/>
                <w:sz w:val="28"/>
              </w:rPr>
              <w:t xml:space="preserve">end </w:t>
            </w:r>
            <w:r w:rsidRPr="00EF34A7">
              <w:rPr>
                <w:rFonts w:asciiTheme="minorHAnsi" w:hAnsiTheme="minorHAnsi"/>
                <w:b/>
                <w:sz w:val="28"/>
              </w:rPr>
              <w:t>d</w:t>
            </w:r>
            <w:r w:rsidR="009F6D2C" w:rsidRPr="00EF34A7">
              <w:rPr>
                <w:rFonts w:asciiTheme="minorHAnsi" w:hAnsiTheme="minorHAnsi"/>
                <w:b/>
                <w:sz w:val="28"/>
              </w:rPr>
              <w:t xml:space="preserve">ate </w:t>
            </w:r>
            <w:r w:rsidR="00EF34A7">
              <w:rPr>
                <w:rFonts w:asciiTheme="minorHAnsi" w:hAnsiTheme="minorHAnsi"/>
                <w:b/>
                <w:sz w:val="28"/>
              </w:rPr>
              <w:t>for the Plan</w:t>
            </w:r>
            <w:r w:rsidR="009F6D2C" w:rsidRPr="00EF34A7">
              <w:rPr>
                <w:rFonts w:asciiTheme="minorHAnsi" w:hAnsiTheme="minorHAnsi"/>
                <w:b/>
                <w:sz w:val="28"/>
              </w:rPr>
              <w:t>:</w:t>
            </w:r>
            <w:r w:rsidR="008D18D2">
              <w:rPr>
                <w:rFonts w:asciiTheme="minorHAnsi" w:hAnsiTheme="minorHAnsi"/>
                <w:b/>
                <w:sz w:val="28"/>
              </w:rPr>
              <w:t xml:space="preserve"> </w:t>
            </w:r>
          </w:p>
          <w:p w14:paraId="1CC93C20" w14:textId="355D2F1E" w:rsidR="009F6D2C" w:rsidRDefault="008D18D2" w:rsidP="008D18D2">
            <w:pPr>
              <w:rPr>
                <w:b/>
                <w:sz w:val="24"/>
                <w:szCs w:val="24"/>
              </w:rPr>
            </w:pPr>
            <w:r>
              <w:rPr>
                <w:rFonts w:asciiTheme="minorHAnsi" w:hAnsiTheme="minorHAnsi"/>
                <w:i/>
                <w:szCs w:val="24"/>
              </w:rPr>
              <w:t>(assuming assistance delivery set out herein)</w:t>
            </w:r>
            <w:r w:rsidR="00E60182">
              <w:rPr>
                <w:rFonts w:asciiTheme="minorHAnsi" w:hAnsiTheme="minorHAnsi"/>
                <w:i/>
                <w:szCs w:val="24"/>
              </w:rPr>
              <w:t xml:space="preserve"> </w:t>
            </w:r>
            <w:r w:rsidR="003A77D0">
              <w:rPr>
                <w:rFonts w:asciiTheme="minorHAnsi" w:hAnsiTheme="minorHAnsi"/>
                <w:i/>
                <w:szCs w:val="24"/>
              </w:rPr>
              <w:t xml:space="preserve">                      </w:t>
            </w:r>
            <w:r w:rsidR="00E60182">
              <w:rPr>
                <w:rFonts w:asciiTheme="minorHAnsi" w:hAnsiTheme="minorHAnsi"/>
                <w:i/>
                <w:szCs w:val="24"/>
              </w:rPr>
              <w:t>2020</w:t>
            </w:r>
          </w:p>
        </w:tc>
      </w:tr>
    </w:tbl>
    <w:p w14:paraId="2F256731" w14:textId="2E30B5CB" w:rsidR="00CC4EC4" w:rsidRPr="004442BA" w:rsidRDefault="00CC4EC4" w:rsidP="009F6D2C">
      <w:pPr>
        <w:ind w:firstLine="720"/>
        <w:rPr>
          <w:rFonts w:ascii="Times New Roman" w:hAnsi="Times New Roman" w:cs="Times New Roman"/>
          <w:b/>
          <w:lang w:val="en-NZ"/>
        </w:rPr>
      </w:pPr>
    </w:p>
    <w:sectPr w:rsidR="00CC4EC4" w:rsidRPr="004442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5047B" w14:textId="77777777" w:rsidR="00305537" w:rsidRDefault="00305537" w:rsidP="00277403">
      <w:pPr>
        <w:spacing w:after="0" w:line="240" w:lineRule="auto"/>
      </w:pPr>
      <w:r>
        <w:separator/>
      </w:r>
    </w:p>
  </w:endnote>
  <w:endnote w:type="continuationSeparator" w:id="0">
    <w:p w14:paraId="18788F95" w14:textId="77777777" w:rsidR="00305537" w:rsidRDefault="00305537" w:rsidP="0027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00E3" w14:textId="77777777" w:rsidR="00186B07" w:rsidRDefault="00186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106259"/>
      <w:docPartObj>
        <w:docPartGallery w:val="Page Numbers (Bottom of Page)"/>
        <w:docPartUnique/>
      </w:docPartObj>
    </w:sdtPr>
    <w:sdtEndPr/>
    <w:sdtContent>
      <w:sdt>
        <w:sdtPr>
          <w:id w:val="1728636285"/>
          <w:docPartObj>
            <w:docPartGallery w:val="Page Numbers (Top of Page)"/>
            <w:docPartUnique/>
          </w:docPartObj>
        </w:sdtPr>
        <w:sdtEndPr/>
        <w:sdtContent>
          <w:p w14:paraId="2DCFDACC" w14:textId="7EA9BD30" w:rsidR="00186B07" w:rsidRDefault="00186B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10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10A1">
              <w:rPr>
                <w:b/>
                <w:bCs/>
                <w:noProof/>
              </w:rPr>
              <w:t>1</w:t>
            </w:r>
            <w:r>
              <w:rPr>
                <w:b/>
                <w:bCs/>
                <w:sz w:val="24"/>
                <w:szCs w:val="24"/>
              </w:rPr>
              <w:fldChar w:fldCharType="end"/>
            </w:r>
          </w:p>
        </w:sdtContent>
      </w:sdt>
    </w:sdtContent>
  </w:sdt>
  <w:p w14:paraId="45E0E25F" w14:textId="77777777" w:rsidR="00186B07" w:rsidRDefault="00186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808D3" w14:textId="77777777" w:rsidR="00186B07" w:rsidRDefault="00186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A4F47" w14:textId="77777777" w:rsidR="00305537" w:rsidRDefault="00305537" w:rsidP="00277403">
      <w:pPr>
        <w:spacing w:after="0" w:line="240" w:lineRule="auto"/>
      </w:pPr>
      <w:r>
        <w:separator/>
      </w:r>
    </w:p>
  </w:footnote>
  <w:footnote w:type="continuationSeparator" w:id="0">
    <w:p w14:paraId="283D3078" w14:textId="77777777" w:rsidR="00305537" w:rsidRDefault="00305537" w:rsidP="00277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7E8E" w14:textId="77777777" w:rsidR="00186B07" w:rsidRDefault="00186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AC42C" w14:textId="709F20AC" w:rsidR="00186B07" w:rsidRPr="004442BA" w:rsidRDefault="00186B07" w:rsidP="003B65F4">
    <w:pPr>
      <w:pStyle w:val="Header"/>
      <w:ind w:left="7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ABA2B" w14:textId="77777777" w:rsidR="00186B07" w:rsidRDefault="0018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019"/>
    <w:multiLevelType w:val="hybridMultilevel"/>
    <w:tmpl w:val="C5C220D2"/>
    <w:lvl w:ilvl="0" w:tplc="D818AD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8494A"/>
    <w:multiLevelType w:val="hybridMultilevel"/>
    <w:tmpl w:val="AF98FF2E"/>
    <w:lvl w:ilvl="0" w:tplc="D818ADC0">
      <w:start w:val="1"/>
      <w:numFmt w:val="lowerLetter"/>
      <w:lvlText w:val="%1."/>
      <w:lvlJc w:val="left"/>
      <w:pPr>
        <w:ind w:left="1183" w:hanging="360"/>
      </w:pPr>
      <w:rPr>
        <w:rFonts w:hint="default"/>
      </w:rPr>
    </w:lvl>
    <w:lvl w:ilvl="1" w:tplc="04090019">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
    <w:nsid w:val="37585D4F"/>
    <w:multiLevelType w:val="hybridMultilevel"/>
    <w:tmpl w:val="C5BC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F1C6B"/>
    <w:multiLevelType w:val="hybridMultilevel"/>
    <w:tmpl w:val="55889666"/>
    <w:lvl w:ilvl="0" w:tplc="A2A293CA">
      <w:start w:val="1"/>
      <w:numFmt w:val="decimal"/>
      <w:lvlText w:val="(%1)"/>
      <w:lvlJc w:val="left"/>
      <w:pPr>
        <w:ind w:left="720" w:hanging="360"/>
      </w:pPr>
      <w:rPr>
        <w:rFonts w:hint="default"/>
      </w:rPr>
    </w:lvl>
    <w:lvl w:ilvl="1" w:tplc="9A121A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45BE3"/>
    <w:multiLevelType w:val="hybridMultilevel"/>
    <w:tmpl w:val="B4AE249A"/>
    <w:lvl w:ilvl="0" w:tplc="A0EA9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03"/>
    <w:rsid w:val="0000063F"/>
    <w:rsid w:val="0002252D"/>
    <w:rsid w:val="00043B03"/>
    <w:rsid w:val="000710B2"/>
    <w:rsid w:val="000740CA"/>
    <w:rsid w:val="000A1142"/>
    <w:rsid w:val="000D1614"/>
    <w:rsid w:val="00172F28"/>
    <w:rsid w:val="0017483A"/>
    <w:rsid w:val="00186B07"/>
    <w:rsid w:val="002233DA"/>
    <w:rsid w:val="0023652C"/>
    <w:rsid w:val="00277403"/>
    <w:rsid w:val="00305537"/>
    <w:rsid w:val="003120B2"/>
    <w:rsid w:val="00363132"/>
    <w:rsid w:val="00382A23"/>
    <w:rsid w:val="003A77D0"/>
    <w:rsid w:val="003B65F4"/>
    <w:rsid w:val="003E7ABD"/>
    <w:rsid w:val="004010A1"/>
    <w:rsid w:val="004442BA"/>
    <w:rsid w:val="00471864"/>
    <w:rsid w:val="00490369"/>
    <w:rsid w:val="004F67BF"/>
    <w:rsid w:val="00536942"/>
    <w:rsid w:val="00581595"/>
    <w:rsid w:val="00595BF3"/>
    <w:rsid w:val="005B4E54"/>
    <w:rsid w:val="005C747E"/>
    <w:rsid w:val="005D4EA6"/>
    <w:rsid w:val="00604D61"/>
    <w:rsid w:val="00620932"/>
    <w:rsid w:val="00621DBD"/>
    <w:rsid w:val="00630DFC"/>
    <w:rsid w:val="00635292"/>
    <w:rsid w:val="00636867"/>
    <w:rsid w:val="00636D80"/>
    <w:rsid w:val="006501D3"/>
    <w:rsid w:val="00685003"/>
    <w:rsid w:val="006C500C"/>
    <w:rsid w:val="006F46A1"/>
    <w:rsid w:val="00701593"/>
    <w:rsid w:val="00702069"/>
    <w:rsid w:val="00720F3B"/>
    <w:rsid w:val="00725D5D"/>
    <w:rsid w:val="00731245"/>
    <w:rsid w:val="007460E1"/>
    <w:rsid w:val="00756EED"/>
    <w:rsid w:val="007A484C"/>
    <w:rsid w:val="007A5DF1"/>
    <w:rsid w:val="007B6539"/>
    <w:rsid w:val="00804058"/>
    <w:rsid w:val="00875851"/>
    <w:rsid w:val="008963A7"/>
    <w:rsid w:val="008D17AA"/>
    <w:rsid w:val="008D18D2"/>
    <w:rsid w:val="008E5ABD"/>
    <w:rsid w:val="00982D80"/>
    <w:rsid w:val="00983609"/>
    <w:rsid w:val="009F6D2C"/>
    <w:rsid w:val="00A2331F"/>
    <w:rsid w:val="00AB162E"/>
    <w:rsid w:val="00AD18A3"/>
    <w:rsid w:val="00AE5C40"/>
    <w:rsid w:val="00AF7C60"/>
    <w:rsid w:val="00B02D89"/>
    <w:rsid w:val="00B0617C"/>
    <w:rsid w:val="00B57CEB"/>
    <w:rsid w:val="00B71F96"/>
    <w:rsid w:val="00BA1125"/>
    <w:rsid w:val="00BF1311"/>
    <w:rsid w:val="00C77310"/>
    <w:rsid w:val="00C95B9A"/>
    <w:rsid w:val="00CC4EC4"/>
    <w:rsid w:val="00CD30D8"/>
    <w:rsid w:val="00CF4BE4"/>
    <w:rsid w:val="00DA2614"/>
    <w:rsid w:val="00DB6FF0"/>
    <w:rsid w:val="00E60182"/>
    <w:rsid w:val="00E84D36"/>
    <w:rsid w:val="00EF34A7"/>
    <w:rsid w:val="00F26CAC"/>
    <w:rsid w:val="00F52C9A"/>
    <w:rsid w:val="00F74293"/>
    <w:rsid w:val="00F77787"/>
    <w:rsid w:val="00FD0E87"/>
    <w:rsid w:val="00FF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F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03"/>
    <w:rPr>
      <w:rFonts w:ascii="Tahoma" w:hAnsi="Tahoma" w:cs="Tahoma"/>
      <w:sz w:val="16"/>
      <w:szCs w:val="16"/>
    </w:rPr>
  </w:style>
  <w:style w:type="paragraph" w:styleId="BodyText">
    <w:name w:val="Body Text"/>
    <w:basedOn w:val="Normal"/>
    <w:link w:val="BodyTextChar"/>
    <w:rsid w:val="00277403"/>
    <w:pPr>
      <w:spacing w:before="120" w:after="0" w:line="240" w:lineRule="auto"/>
      <w:jc w:val="both"/>
    </w:pPr>
    <w:rPr>
      <w:rFonts w:ascii="Times New (W1)" w:eastAsia="Times New Roman" w:hAnsi="Times New (W1)" w:cs="Times New Roman"/>
    </w:rPr>
  </w:style>
  <w:style w:type="character" w:customStyle="1" w:styleId="BodyTextChar">
    <w:name w:val="Body Text Char"/>
    <w:basedOn w:val="DefaultParagraphFont"/>
    <w:link w:val="BodyText"/>
    <w:rsid w:val="00277403"/>
    <w:rPr>
      <w:rFonts w:ascii="Times New (W1)" w:eastAsia="Times New Roman" w:hAnsi="Times New (W1)" w:cs="Times New Roman"/>
    </w:rPr>
  </w:style>
  <w:style w:type="table" w:styleId="TableGrid">
    <w:name w:val="Table Grid"/>
    <w:basedOn w:val="TableNormal"/>
    <w:uiPriority w:val="39"/>
    <w:rsid w:val="00277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03"/>
  </w:style>
  <w:style w:type="paragraph" w:styleId="Footer">
    <w:name w:val="footer"/>
    <w:basedOn w:val="Normal"/>
    <w:link w:val="FooterChar"/>
    <w:uiPriority w:val="99"/>
    <w:unhideWhenUsed/>
    <w:rsid w:val="0027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03"/>
  </w:style>
  <w:style w:type="character" w:styleId="CommentReference">
    <w:name w:val="annotation reference"/>
    <w:basedOn w:val="DefaultParagraphFont"/>
    <w:uiPriority w:val="99"/>
    <w:semiHidden/>
    <w:unhideWhenUsed/>
    <w:rsid w:val="00725D5D"/>
    <w:rPr>
      <w:sz w:val="16"/>
      <w:szCs w:val="16"/>
    </w:rPr>
  </w:style>
  <w:style w:type="paragraph" w:styleId="CommentText">
    <w:name w:val="annotation text"/>
    <w:basedOn w:val="Normal"/>
    <w:link w:val="CommentTextChar"/>
    <w:uiPriority w:val="99"/>
    <w:unhideWhenUsed/>
    <w:rsid w:val="00725D5D"/>
    <w:pPr>
      <w:spacing w:line="240" w:lineRule="auto"/>
    </w:pPr>
    <w:rPr>
      <w:sz w:val="20"/>
      <w:szCs w:val="20"/>
    </w:rPr>
  </w:style>
  <w:style w:type="character" w:customStyle="1" w:styleId="CommentTextChar">
    <w:name w:val="Comment Text Char"/>
    <w:basedOn w:val="DefaultParagraphFont"/>
    <w:link w:val="CommentText"/>
    <w:uiPriority w:val="99"/>
    <w:rsid w:val="00725D5D"/>
    <w:rPr>
      <w:sz w:val="20"/>
      <w:szCs w:val="20"/>
    </w:rPr>
  </w:style>
  <w:style w:type="paragraph" w:styleId="CommentSubject">
    <w:name w:val="annotation subject"/>
    <w:basedOn w:val="CommentText"/>
    <w:next w:val="CommentText"/>
    <w:link w:val="CommentSubjectChar"/>
    <w:uiPriority w:val="99"/>
    <w:semiHidden/>
    <w:unhideWhenUsed/>
    <w:rsid w:val="00725D5D"/>
    <w:rPr>
      <w:b/>
      <w:bCs/>
    </w:rPr>
  </w:style>
  <w:style w:type="character" w:customStyle="1" w:styleId="CommentSubjectChar">
    <w:name w:val="Comment Subject Char"/>
    <w:basedOn w:val="CommentTextChar"/>
    <w:link w:val="CommentSubject"/>
    <w:uiPriority w:val="99"/>
    <w:semiHidden/>
    <w:rsid w:val="00725D5D"/>
    <w:rPr>
      <w:b/>
      <w:bCs/>
      <w:sz w:val="20"/>
      <w:szCs w:val="20"/>
    </w:rPr>
  </w:style>
  <w:style w:type="paragraph" w:styleId="ListParagraph">
    <w:name w:val="List Paragraph"/>
    <w:basedOn w:val="Normal"/>
    <w:uiPriority w:val="34"/>
    <w:qFormat/>
    <w:rsid w:val="006F46A1"/>
    <w:pPr>
      <w:ind w:left="720"/>
      <w:contextualSpacing/>
    </w:pPr>
    <w:rPr>
      <w:rFonts w:eastAsiaTheme="minorEastAsia"/>
    </w:rPr>
  </w:style>
  <w:style w:type="paragraph" w:styleId="FootnoteText">
    <w:name w:val="footnote text"/>
    <w:basedOn w:val="Normal"/>
    <w:link w:val="FootnoteTextChar"/>
    <w:uiPriority w:val="99"/>
    <w:unhideWhenUsed/>
    <w:rsid w:val="00172F28"/>
    <w:pPr>
      <w:spacing w:after="0" w:line="240" w:lineRule="auto"/>
    </w:pPr>
    <w:rPr>
      <w:sz w:val="20"/>
      <w:szCs w:val="20"/>
    </w:rPr>
  </w:style>
  <w:style w:type="character" w:customStyle="1" w:styleId="FootnoteTextChar">
    <w:name w:val="Footnote Text Char"/>
    <w:basedOn w:val="DefaultParagraphFont"/>
    <w:link w:val="FootnoteText"/>
    <w:uiPriority w:val="99"/>
    <w:rsid w:val="00172F28"/>
    <w:rPr>
      <w:sz w:val="20"/>
      <w:szCs w:val="20"/>
    </w:rPr>
  </w:style>
  <w:style w:type="character" w:styleId="FootnoteReference">
    <w:name w:val="footnote reference"/>
    <w:basedOn w:val="DefaultParagraphFont"/>
    <w:uiPriority w:val="99"/>
    <w:unhideWhenUsed/>
    <w:rsid w:val="00172F28"/>
    <w:rPr>
      <w:vertAlign w:val="superscript"/>
    </w:rPr>
  </w:style>
  <w:style w:type="paragraph" w:customStyle="1" w:styleId="Default">
    <w:name w:val="Default"/>
    <w:rsid w:val="00471864"/>
    <w:pPr>
      <w:autoSpaceDE w:val="0"/>
      <w:autoSpaceDN w:val="0"/>
      <w:adjustRightInd w:val="0"/>
      <w:spacing w:after="0" w:line="240" w:lineRule="auto"/>
    </w:pPr>
    <w:rPr>
      <w:rFonts w:ascii="Times New Roman" w:eastAsia="Calibri" w:hAnsi="Times New Roman" w:cs="Times New Roman"/>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03"/>
    <w:rPr>
      <w:rFonts w:ascii="Tahoma" w:hAnsi="Tahoma" w:cs="Tahoma"/>
      <w:sz w:val="16"/>
      <w:szCs w:val="16"/>
    </w:rPr>
  </w:style>
  <w:style w:type="paragraph" w:styleId="BodyText">
    <w:name w:val="Body Text"/>
    <w:basedOn w:val="Normal"/>
    <w:link w:val="BodyTextChar"/>
    <w:rsid w:val="00277403"/>
    <w:pPr>
      <w:spacing w:before="120" w:after="0" w:line="240" w:lineRule="auto"/>
      <w:jc w:val="both"/>
    </w:pPr>
    <w:rPr>
      <w:rFonts w:ascii="Times New (W1)" w:eastAsia="Times New Roman" w:hAnsi="Times New (W1)" w:cs="Times New Roman"/>
    </w:rPr>
  </w:style>
  <w:style w:type="character" w:customStyle="1" w:styleId="BodyTextChar">
    <w:name w:val="Body Text Char"/>
    <w:basedOn w:val="DefaultParagraphFont"/>
    <w:link w:val="BodyText"/>
    <w:rsid w:val="00277403"/>
    <w:rPr>
      <w:rFonts w:ascii="Times New (W1)" w:eastAsia="Times New Roman" w:hAnsi="Times New (W1)" w:cs="Times New Roman"/>
    </w:rPr>
  </w:style>
  <w:style w:type="table" w:styleId="TableGrid">
    <w:name w:val="Table Grid"/>
    <w:basedOn w:val="TableNormal"/>
    <w:uiPriority w:val="39"/>
    <w:rsid w:val="00277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03"/>
  </w:style>
  <w:style w:type="paragraph" w:styleId="Footer">
    <w:name w:val="footer"/>
    <w:basedOn w:val="Normal"/>
    <w:link w:val="FooterChar"/>
    <w:uiPriority w:val="99"/>
    <w:unhideWhenUsed/>
    <w:rsid w:val="0027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03"/>
  </w:style>
  <w:style w:type="character" w:styleId="CommentReference">
    <w:name w:val="annotation reference"/>
    <w:basedOn w:val="DefaultParagraphFont"/>
    <w:uiPriority w:val="99"/>
    <w:semiHidden/>
    <w:unhideWhenUsed/>
    <w:rsid w:val="00725D5D"/>
    <w:rPr>
      <w:sz w:val="16"/>
      <w:szCs w:val="16"/>
    </w:rPr>
  </w:style>
  <w:style w:type="paragraph" w:styleId="CommentText">
    <w:name w:val="annotation text"/>
    <w:basedOn w:val="Normal"/>
    <w:link w:val="CommentTextChar"/>
    <w:uiPriority w:val="99"/>
    <w:unhideWhenUsed/>
    <w:rsid w:val="00725D5D"/>
    <w:pPr>
      <w:spacing w:line="240" w:lineRule="auto"/>
    </w:pPr>
    <w:rPr>
      <w:sz w:val="20"/>
      <w:szCs w:val="20"/>
    </w:rPr>
  </w:style>
  <w:style w:type="character" w:customStyle="1" w:styleId="CommentTextChar">
    <w:name w:val="Comment Text Char"/>
    <w:basedOn w:val="DefaultParagraphFont"/>
    <w:link w:val="CommentText"/>
    <w:uiPriority w:val="99"/>
    <w:rsid w:val="00725D5D"/>
    <w:rPr>
      <w:sz w:val="20"/>
      <w:szCs w:val="20"/>
    </w:rPr>
  </w:style>
  <w:style w:type="paragraph" w:styleId="CommentSubject">
    <w:name w:val="annotation subject"/>
    <w:basedOn w:val="CommentText"/>
    <w:next w:val="CommentText"/>
    <w:link w:val="CommentSubjectChar"/>
    <w:uiPriority w:val="99"/>
    <w:semiHidden/>
    <w:unhideWhenUsed/>
    <w:rsid w:val="00725D5D"/>
    <w:rPr>
      <w:b/>
      <w:bCs/>
    </w:rPr>
  </w:style>
  <w:style w:type="character" w:customStyle="1" w:styleId="CommentSubjectChar">
    <w:name w:val="Comment Subject Char"/>
    <w:basedOn w:val="CommentTextChar"/>
    <w:link w:val="CommentSubject"/>
    <w:uiPriority w:val="99"/>
    <w:semiHidden/>
    <w:rsid w:val="00725D5D"/>
    <w:rPr>
      <w:b/>
      <w:bCs/>
      <w:sz w:val="20"/>
      <w:szCs w:val="20"/>
    </w:rPr>
  </w:style>
  <w:style w:type="paragraph" w:styleId="ListParagraph">
    <w:name w:val="List Paragraph"/>
    <w:basedOn w:val="Normal"/>
    <w:uiPriority w:val="34"/>
    <w:qFormat/>
    <w:rsid w:val="006F46A1"/>
    <w:pPr>
      <w:ind w:left="720"/>
      <w:contextualSpacing/>
    </w:pPr>
    <w:rPr>
      <w:rFonts w:eastAsiaTheme="minorEastAsia"/>
    </w:rPr>
  </w:style>
  <w:style w:type="paragraph" w:styleId="FootnoteText">
    <w:name w:val="footnote text"/>
    <w:basedOn w:val="Normal"/>
    <w:link w:val="FootnoteTextChar"/>
    <w:uiPriority w:val="99"/>
    <w:unhideWhenUsed/>
    <w:rsid w:val="00172F28"/>
    <w:pPr>
      <w:spacing w:after="0" w:line="240" w:lineRule="auto"/>
    </w:pPr>
    <w:rPr>
      <w:sz w:val="20"/>
      <w:szCs w:val="20"/>
    </w:rPr>
  </w:style>
  <w:style w:type="character" w:customStyle="1" w:styleId="FootnoteTextChar">
    <w:name w:val="Footnote Text Char"/>
    <w:basedOn w:val="DefaultParagraphFont"/>
    <w:link w:val="FootnoteText"/>
    <w:uiPriority w:val="99"/>
    <w:rsid w:val="00172F28"/>
    <w:rPr>
      <w:sz w:val="20"/>
      <w:szCs w:val="20"/>
    </w:rPr>
  </w:style>
  <w:style w:type="character" w:styleId="FootnoteReference">
    <w:name w:val="footnote reference"/>
    <w:basedOn w:val="DefaultParagraphFont"/>
    <w:uiPriority w:val="99"/>
    <w:unhideWhenUsed/>
    <w:rsid w:val="00172F28"/>
    <w:rPr>
      <w:vertAlign w:val="superscript"/>
    </w:rPr>
  </w:style>
  <w:style w:type="paragraph" w:customStyle="1" w:styleId="Default">
    <w:name w:val="Default"/>
    <w:rsid w:val="00471864"/>
    <w:pPr>
      <w:autoSpaceDE w:val="0"/>
      <w:autoSpaceDN w:val="0"/>
      <w:adjustRightInd w:val="0"/>
      <w:spacing w:after="0" w:line="240" w:lineRule="auto"/>
    </w:pPr>
    <w:rPr>
      <w:rFonts w:ascii="Times New Roman" w:eastAsia="Calibri" w:hAnsi="Times New Roman" w:cs="Times New Roman"/>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2D1F-0398-4409-9FEE-1D922B27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042782-9FA0-4A49-AEE7-ED22841F42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775EE-D5EC-4643-8E08-A21A32A4B1E4}">
  <ds:schemaRefs>
    <ds:schemaRef ds:uri="http://schemas.microsoft.com/sharepoint/v3/contenttype/forms"/>
  </ds:schemaRefs>
</ds:datastoreItem>
</file>

<file path=customXml/itemProps4.xml><?xml version="1.0" encoding="utf-8"?>
<ds:datastoreItem xmlns:ds="http://schemas.openxmlformats.org/officeDocument/2006/customXml" ds:itemID="{B7EE1C07-EE49-4280-AAEB-C87DE5C6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WCPFC Capacity Development Plan Template ver1.0 22 Mar 2017</vt:lpstr>
    </vt:vector>
  </TitlesOfParts>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 Capacity Development Plan Template ver1.0 22 Mar 2017</dc:title>
  <dc:creator/>
  <cp:lastModifiedBy/>
  <cp:revision>1</cp:revision>
  <dcterms:created xsi:type="dcterms:W3CDTF">2018-09-12T07:34:00Z</dcterms:created>
  <dcterms:modified xsi:type="dcterms:W3CDTF">2018-09-12T07:37:00Z</dcterms:modified>
</cp:coreProperties>
</file>