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17264" w14:textId="77777777" w:rsidR="00487246" w:rsidRPr="00EA7C95" w:rsidRDefault="00487246" w:rsidP="00487246">
      <w:pPr>
        <w:autoSpaceDE w:val="0"/>
        <w:autoSpaceDN w:val="0"/>
        <w:adjustRightInd w:val="0"/>
        <w:snapToGrid w:val="0"/>
        <w:spacing w:after="0" w:line="240" w:lineRule="auto"/>
        <w:jc w:val="center"/>
        <w:rPr>
          <w:rFonts w:ascii="Times New Roman" w:hAnsi="Times New Roman" w:cs="Times New Roman"/>
          <w:b/>
          <w:bCs/>
          <w:lang w:val="en-AU" w:eastAsia="en-NZ"/>
        </w:rPr>
      </w:pPr>
    </w:p>
    <w:p w14:paraId="544E4DCE" w14:textId="77777777" w:rsidR="00487246" w:rsidRPr="00EA7C95" w:rsidRDefault="00487246" w:rsidP="00487246">
      <w:pPr>
        <w:autoSpaceDE w:val="0"/>
        <w:autoSpaceDN w:val="0"/>
        <w:adjustRightInd w:val="0"/>
        <w:snapToGrid w:val="0"/>
        <w:spacing w:after="0" w:line="240" w:lineRule="auto"/>
        <w:jc w:val="center"/>
        <w:rPr>
          <w:rFonts w:ascii="Times New Roman" w:hAnsi="Times New Roman" w:cs="Times New Roman"/>
          <w:b/>
          <w:bCs/>
          <w:lang w:val="en-AU" w:eastAsia="en-NZ"/>
        </w:rPr>
      </w:pPr>
    </w:p>
    <w:p w14:paraId="5B0BABD4" w14:textId="77777777" w:rsidR="00487246" w:rsidRPr="00EA7C95" w:rsidRDefault="00487246" w:rsidP="00487246">
      <w:pPr>
        <w:autoSpaceDE w:val="0"/>
        <w:autoSpaceDN w:val="0"/>
        <w:adjustRightInd w:val="0"/>
        <w:snapToGrid w:val="0"/>
        <w:spacing w:after="0" w:line="240" w:lineRule="auto"/>
        <w:jc w:val="center"/>
        <w:rPr>
          <w:rFonts w:ascii="Times New Roman" w:hAnsi="Times New Roman" w:cs="Times New Roman"/>
          <w:b/>
          <w:bCs/>
          <w:lang w:val="en-AU" w:eastAsia="en-NZ"/>
        </w:rPr>
      </w:pPr>
      <w:r w:rsidRPr="00EA7C95">
        <w:rPr>
          <w:rFonts w:ascii="Times New Roman" w:hAnsi="Times New Roman" w:cs="Times New Roman"/>
          <w:noProof/>
          <w:lang w:eastAsia="zh-CN" w:bidi="mn-Mong-CN"/>
        </w:rPr>
        <w:drawing>
          <wp:inline distT="0" distB="0" distL="0" distR="0" wp14:anchorId="58AECA81" wp14:editId="449BA0BD">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69CBD59B" w14:textId="77777777" w:rsidR="00487246" w:rsidRPr="00EA7C95" w:rsidRDefault="00487246" w:rsidP="00487246">
      <w:pPr>
        <w:autoSpaceDE w:val="0"/>
        <w:autoSpaceDN w:val="0"/>
        <w:adjustRightInd w:val="0"/>
        <w:snapToGrid w:val="0"/>
        <w:spacing w:after="0" w:line="240" w:lineRule="auto"/>
        <w:jc w:val="center"/>
        <w:rPr>
          <w:rFonts w:ascii="Times New Roman" w:hAnsi="Times New Roman" w:cs="Times New Roman"/>
          <w:b/>
          <w:bCs/>
          <w:lang w:val="en-AU" w:eastAsia="en-NZ"/>
        </w:rPr>
      </w:pPr>
    </w:p>
    <w:p w14:paraId="4BCE833C" w14:textId="77777777" w:rsidR="00487246" w:rsidRPr="00EA7C95" w:rsidRDefault="00487246" w:rsidP="00487246">
      <w:pPr>
        <w:autoSpaceDE w:val="0"/>
        <w:autoSpaceDN w:val="0"/>
        <w:adjustRightInd w:val="0"/>
        <w:snapToGrid w:val="0"/>
        <w:spacing w:after="0" w:line="240" w:lineRule="auto"/>
        <w:jc w:val="center"/>
        <w:rPr>
          <w:rFonts w:ascii="Times New Roman" w:hAnsi="Times New Roman" w:cs="Times New Roman"/>
          <w:b/>
          <w:bCs/>
          <w:lang w:val="en-AU" w:eastAsia="en-NZ"/>
        </w:rPr>
      </w:pPr>
    </w:p>
    <w:p w14:paraId="4C8D6C2A"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r w:rsidRPr="00EA7C95">
        <w:rPr>
          <w:rFonts w:ascii="Times New Roman" w:hAnsi="Times New Roman" w:cs="Times New Roman"/>
          <w:b/>
          <w:lang w:val="en-NZ"/>
        </w:rPr>
        <w:t xml:space="preserve">The Commission for the Conservation and Management of </w:t>
      </w:r>
    </w:p>
    <w:p w14:paraId="687B5927"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r w:rsidRPr="00EA7C95">
        <w:rPr>
          <w:rFonts w:ascii="Times New Roman" w:hAnsi="Times New Roman" w:cs="Times New Roman"/>
          <w:b/>
          <w:lang w:val="en-NZ"/>
        </w:rPr>
        <w:t xml:space="preserve">Highly Migratory Fish Stocks in the Western and Central Pacific Ocean </w:t>
      </w:r>
    </w:p>
    <w:p w14:paraId="5F181B76"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p>
    <w:p w14:paraId="3AE26618"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p>
    <w:p w14:paraId="1A737399"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p>
    <w:p w14:paraId="5A2675FE" w14:textId="2C6ABA82" w:rsidR="00487246" w:rsidRPr="0023671B" w:rsidRDefault="00487246" w:rsidP="00487246">
      <w:pPr>
        <w:adjustRightInd w:val="0"/>
        <w:snapToGrid w:val="0"/>
        <w:spacing w:after="0" w:line="240" w:lineRule="auto"/>
        <w:jc w:val="center"/>
        <w:rPr>
          <w:rFonts w:ascii="Times New Roman Bold" w:hAnsi="Times New Roman Bold" w:cs="Times New Roman" w:hint="eastAsia"/>
          <w:b/>
          <w:caps/>
          <w:lang w:val="en-NZ"/>
        </w:rPr>
      </w:pPr>
      <w:r w:rsidRPr="0023671B">
        <w:rPr>
          <w:rFonts w:ascii="Times New Roman Bold" w:hAnsi="Times New Roman Bold" w:cs="Times New Roman"/>
          <w:b/>
          <w:caps/>
          <w:lang w:val="en-NZ"/>
        </w:rPr>
        <w:t>Scientific Committee</w:t>
      </w:r>
    </w:p>
    <w:p w14:paraId="10898112" w14:textId="77777777" w:rsidR="00487246" w:rsidRPr="00EA7C95" w:rsidRDefault="00487246" w:rsidP="00487246">
      <w:pPr>
        <w:adjustRightInd w:val="0"/>
        <w:snapToGrid w:val="0"/>
        <w:spacing w:after="0" w:line="240" w:lineRule="auto"/>
        <w:jc w:val="center"/>
        <w:rPr>
          <w:rFonts w:ascii="Times New Roman" w:hAnsi="Times New Roman" w:cs="Times New Roman"/>
          <w:b/>
          <w:lang w:val="en-NZ"/>
        </w:rPr>
      </w:pPr>
    </w:p>
    <w:p w14:paraId="659D0E3F" w14:textId="77777777" w:rsidR="00487246" w:rsidRPr="00EA7C95" w:rsidRDefault="00487246" w:rsidP="00487246">
      <w:pPr>
        <w:adjustRightInd w:val="0"/>
        <w:snapToGrid w:val="0"/>
        <w:spacing w:after="0" w:line="240" w:lineRule="auto"/>
        <w:jc w:val="center"/>
        <w:rPr>
          <w:rFonts w:ascii="Times New Roman" w:hAnsi="Times New Roman" w:cs="Times New Roman"/>
          <w:b/>
          <w:caps/>
        </w:rPr>
      </w:pPr>
    </w:p>
    <w:p w14:paraId="70C95B62" w14:textId="77777777" w:rsidR="00487246" w:rsidRPr="00EA7C95" w:rsidRDefault="00487246" w:rsidP="00487246">
      <w:pPr>
        <w:adjustRightInd w:val="0"/>
        <w:snapToGrid w:val="0"/>
        <w:spacing w:after="0" w:line="240" w:lineRule="auto"/>
        <w:jc w:val="center"/>
        <w:rPr>
          <w:rFonts w:ascii="Times New Roman" w:hAnsi="Times New Roman" w:cs="Times New Roman"/>
          <w:b/>
          <w:caps/>
        </w:rPr>
      </w:pPr>
    </w:p>
    <w:p w14:paraId="46AE00AE" w14:textId="55386D63" w:rsidR="004B05DF" w:rsidRPr="0023671B" w:rsidRDefault="00487246" w:rsidP="00487246">
      <w:pPr>
        <w:adjustRightInd w:val="0"/>
        <w:snapToGrid w:val="0"/>
        <w:spacing w:after="0" w:line="240" w:lineRule="auto"/>
        <w:jc w:val="center"/>
        <w:rPr>
          <w:rFonts w:ascii="Times New Roman" w:hAnsi="Times New Roman" w:cs="Times New Roman"/>
          <w:b/>
          <w:sz w:val="28"/>
          <w:szCs w:val="28"/>
        </w:rPr>
      </w:pPr>
      <w:r w:rsidRPr="0023671B">
        <w:rPr>
          <w:rFonts w:ascii="Times New Roman" w:hAnsi="Times New Roman" w:cs="Times New Roman"/>
          <w:b/>
          <w:caps/>
          <w:sz w:val="28"/>
          <w:szCs w:val="28"/>
        </w:rPr>
        <w:t xml:space="preserve">wcpo </w:t>
      </w:r>
      <w:r w:rsidR="00570E6C" w:rsidRPr="0023671B">
        <w:rPr>
          <w:rFonts w:ascii="Times New Roman" w:hAnsi="Times New Roman" w:cs="Times New Roman"/>
          <w:b/>
          <w:caps/>
          <w:sz w:val="28"/>
          <w:szCs w:val="28"/>
        </w:rPr>
        <w:t>Bigeye Tuna</w:t>
      </w:r>
      <w:r w:rsidR="00570E6C" w:rsidRPr="0023671B">
        <w:rPr>
          <w:rFonts w:ascii="Times New Roman" w:hAnsi="Times New Roman" w:cs="Times New Roman"/>
          <w:b/>
          <w:sz w:val="28"/>
          <w:szCs w:val="28"/>
        </w:rPr>
        <w:t xml:space="preserve"> </w:t>
      </w:r>
      <w:r w:rsidR="004B05DF" w:rsidRPr="0023671B">
        <w:rPr>
          <w:rFonts w:ascii="Times New Roman" w:hAnsi="Times New Roman" w:cs="Times New Roman"/>
          <w:b/>
          <w:sz w:val="28"/>
          <w:szCs w:val="28"/>
        </w:rPr>
        <w:t>(</w:t>
      </w:r>
      <w:r w:rsidR="005828AD" w:rsidRPr="0023671B">
        <w:rPr>
          <w:rFonts w:ascii="Times New Roman" w:hAnsi="Times New Roman" w:cs="Times New Roman"/>
          <w:b/>
          <w:i/>
          <w:iCs/>
          <w:sz w:val="28"/>
          <w:szCs w:val="28"/>
        </w:rPr>
        <w:t>Thunnus obesus</w:t>
      </w:r>
      <w:r w:rsidR="004B05DF" w:rsidRPr="0023671B">
        <w:rPr>
          <w:rFonts w:ascii="Times New Roman" w:hAnsi="Times New Roman" w:cs="Times New Roman"/>
          <w:b/>
          <w:sz w:val="28"/>
          <w:szCs w:val="28"/>
        </w:rPr>
        <w:t>)</w:t>
      </w:r>
    </w:p>
    <w:p w14:paraId="4B5EFD73" w14:textId="77777777" w:rsidR="00487246" w:rsidRPr="00EA7C95" w:rsidRDefault="00487246" w:rsidP="00487246">
      <w:pPr>
        <w:adjustRightInd w:val="0"/>
        <w:snapToGrid w:val="0"/>
        <w:spacing w:after="0" w:line="240" w:lineRule="auto"/>
        <w:jc w:val="center"/>
        <w:rPr>
          <w:rFonts w:ascii="Times New Roman" w:hAnsi="Times New Roman" w:cs="Times New Roman"/>
          <w:bCs/>
          <w:caps/>
        </w:rPr>
      </w:pPr>
    </w:p>
    <w:p w14:paraId="1C5CE9AF" w14:textId="64347450" w:rsidR="004B05DF" w:rsidRPr="00EA7C95" w:rsidRDefault="004B05DF" w:rsidP="00487246">
      <w:pPr>
        <w:adjustRightInd w:val="0"/>
        <w:snapToGrid w:val="0"/>
        <w:spacing w:after="0" w:line="240" w:lineRule="auto"/>
        <w:jc w:val="center"/>
        <w:rPr>
          <w:rFonts w:ascii="Times New Roman" w:hAnsi="Times New Roman" w:cs="Times New Roman"/>
          <w:bCs/>
          <w:caps/>
        </w:rPr>
      </w:pPr>
      <w:r w:rsidRPr="00EA7C95">
        <w:rPr>
          <w:rFonts w:ascii="Times New Roman" w:hAnsi="Times New Roman" w:cs="Times New Roman"/>
          <w:bCs/>
          <w:caps/>
        </w:rPr>
        <w:t xml:space="preserve">Stock Status </w:t>
      </w:r>
      <w:r w:rsidR="00487246" w:rsidRPr="00EA7C95">
        <w:rPr>
          <w:rFonts w:ascii="Times New Roman" w:hAnsi="Times New Roman" w:cs="Times New Roman"/>
          <w:bCs/>
          <w:caps/>
        </w:rPr>
        <w:t>and</w:t>
      </w:r>
      <w:r w:rsidRPr="00EA7C95">
        <w:rPr>
          <w:rFonts w:ascii="Times New Roman" w:hAnsi="Times New Roman" w:cs="Times New Roman"/>
          <w:bCs/>
          <w:caps/>
        </w:rPr>
        <w:t xml:space="preserve"> Management Advice</w:t>
      </w:r>
    </w:p>
    <w:p w14:paraId="73788095" w14:textId="77777777" w:rsidR="00487246" w:rsidRPr="00EA7C95" w:rsidRDefault="00487246" w:rsidP="00487246">
      <w:pPr>
        <w:adjustRightInd w:val="0"/>
        <w:snapToGrid w:val="0"/>
        <w:spacing w:after="0" w:line="240" w:lineRule="auto"/>
        <w:jc w:val="center"/>
        <w:rPr>
          <w:rFonts w:ascii="Times New Roman" w:hAnsi="Times New Roman" w:cs="Times New Roman"/>
          <w:b/>
        </w:rPr>
      </w:pPr>
    </w:p>
    <w:p w14:paraId="337D9A38" w14:textId="162DFD32" w:rsidR="004B05DF" w:rsidRPr="00EA7C95" w:rsidRDefault="004B05DF" w:rsidP="00487246">
      <w:pPr>
        <w:adjustRightInd w:val="0"/>
        <w:snapToGrid w:val="0"/>
        <w:spacing w:after="0" w:line="240" w:lineRule="auto"/>
        <w:rPr>
          <w:rFonts w:ascii="Times New Roman" w:hAnsi="Times New Roman" w:cs="Times New Roman"/>
          <w:b/>
        </w:rPr>
      </w:pPr>
    </w:p>
    <w:p w14:paraId="1CCFAD0B" w14:textId="662E2EF3" w:rsidR="0023671B" w:rsidRDefault="0023671B" w:rsidP="00487246">
      <w:pPr>
        <w:adjustRightInd w:val="0"/>
        <w:snapToGrid w:val="0"/>
        <w:spacing w:after="0" w:line="240" w:lineRule="auto"/>
        <w:rPr>
          <w:rFonts w:ascii="Times New Roman" w:hAnsi="Times New Roman" w:cs="Times New Roman"/>
          <w:b/>
        </w:rPr>
      </w:pPr>
    </w:p>
    <w:p w14:paraId="14CC03B6" w14:textId="71B71204" w:rsidR="0023671B" w:rsidRDefault="0023671B" w:rsidP="00487246">
      <w:pPr>
        <w:adjustRightInd w:val="0"/>
        <w:snapToGrid w:val="0"/>
        <w:spacing w:after="0" w:line="240" w:lineRule="auto"/>
        <w:rPr>
          <w:rFonts w:ascii="Times New Roman" w:hAnsi="Times New Roman" w:cs="Times New Roman"/>
          <w:b/>
        </w:rPr>
      </w:pPr>
    </w:p>
    <w:p w14:paraId="173B0670" w14:textId="77777777" w:rsidR="0023671B" w:rsidRPr="00EA7C95" w:rsidRDefault="0023671B" w:rsidP="00487246">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rFonts w:eastAsia="Batang"/>
          <w:b/>
          <w:bCs/>
          <w:noProof/>
        </w:rPr>
      </w:sdtEndPr>
      <w:sdtContent>
        <w:p w14:paraId="7492204C" w14:textId="77777777" w:rsidR="004B05DF" w:rsidRPr="008017E1" w:rsidRDefault="004B05DF" w:rsidP="00487246">
          <w:pPr>
            <w:pStyle w:val="TOCHeading"/>
            <w:adjustRightInd w:val="0"/>
            <w:snapToGrid w:val="0"/>
            <w:spacing w:before="0" w:after="240" w:line="240" w:lineRule="auto"/>
            <w:rPr>
              <w:rFonts w:ascii="Times New Roman" w:hAnsi="Times New Roman" w:cs="Times New Roman"/>
              <w:b/>
              <w:bCs/>
              <w:sz w:val="28"/>
              <w:szCs w:val="28"/>
            </w:rPr>
          </w:pPr>
          <w:r w:rsidRPr="008017E1">
            <w:rPr>
              <w:rFonts w:ascii="Times New Roman" w:hAnsi="Times New Roman" w:cs="Times New Roman"/>
              <w:b/>
              <w:bCs/>
              <w:sz w:val="28"/>
              <w:szCs w:val="28"/>
            </w:rPr>
            <w:t>Contents</w:t>
          </w:r>
        </w:p>
        <w:p w14:paraId="17483525" w14:textId="00F7A0E0" w:rsidR="00282A9D" w:rsidRDefault="004B05DF">
          <w:pPr>
            <w:pStyle w:val="TOC1"/>
            <w:tabs>
              <w:tab w:val="right" w:leader="dot" w:pos="9350"/>
            </w:tabs>
            <w:rPr>
              <w:noProof/>
              <w:lang w:eastAsia="ko-KR"/>
            </w:rPr>
          </w:pPr>
          <w:r w:rsidRPr="00702120">
            <w:rPr>
              <w:rFonts w:ascii="Times New Roman" w:hAnsi="Times New Roman" w:cs="Times New Roman"/>
            </w:rPr>
            <w:fldChar w:fldCharType="begin"/>
          </w:r>
          <w:r w:rsidRPr="008017E1">
            <w:rPr>
              <w:rFonts w:ascii="Times New Roman" w:hAnsi="Times New Roman" w:cs="Times New Roman"/>
            </w:rPr>
            <w:instrText xml:space="preserve"> TOC \o "1-3" \h \z \u </w:instrText>
          </w:r>
          <w:r w:rsidRPr="00702120">
            <w:rPr>
              <w:rFonts w:ascii="Times New Roman" w:hAnsi="Times New Roman" w:cs="Times New Roman"/>
            </w:rPr>
            <w:fldChar w:fldCharType="separate"/>
          </w:r>
          <w:hyperlink w:anchor="_Toc64388039" w:history="1">
            <w:r w:rsidR="00282A9D" w:rsidRPr="00781AF8">
              <w:rPr>
                <w:rStyle w:val="Hyperlink"/>
                <w:rFonts w:ascii="Times New Roman" w:hAnsi="Times New Roman" w:cs="Times New Roman"/>
                <w:b/>
                <w:bCs/>
                <w:noProof/>
              </w:rPr>
              <w:t>SC16 2020 (STOCK ASSESSMENT CONDUCTED)</w:t>
            </w:r>
            <w:r w:rsidR="00282A9D">
              <w:rPr>
                <w:noProof/>
                <w:webHidden/>
              </w:rPr>
              <w:tab/>
            </w:r>
            <w:r w:rsidR="00282A9D">
              <w:rPr>
                <w:noProof/>
                <w:webHidden/>
              </w:rPr>
              <w:fldChar w:fldCharType="begin"/>
            </w:r>
            <w:r w:rsidR="00282A9D">
              <w:rPr>
                <w:noProof/>
                <w:webHidden/>
              </w:rPr>
              <w:instrText xml:space="preserve"> PAGEREF _Toc64388039 \h </w:instrText>
            </w:r>
            <w:r w:rsidR="00282A9D">
              <w:rPr>
                <w:noProof/>
                <w:webHidden/>
              </w:rPr>
            </w:r>
            <w:r w:rsidR="00282A9D">
              <w:rPr>
                <w:noProof/>
                <w:webHidden/>
              </w:rPr>
              <w:fldChar w:fldCharType="separate"/>
            </w:r>
            <w:r w:rsidR="00282A9D">
              <w:rPr>
                <w:noProof/>
                <w:webHidden/>
              </w:rPr>
              <w:t>2</w:t>
            </w:r>
            <w:r w:rsidR="00282A9D">
              <w:rPr>
                <w:noProof/>
                <w:webHidden/>
              </w:rPr>
              <w:fldChar w:fldCharType="end"/>
            </w:r>
          </w:hyperlink>
        </w:p>
        <w:p w14:paraId="482B8097" w14:textId="4B72FE72" w:rsidR="00282A9D" w:rsidRDefault="00282A9D">
          <w:pPr>
            <w:pStyle w:val="TOC1"/>
            <w:tabs>
              <w:tab w:val="right" w:leader="dot" w:pos="9350"/>
            </w:tabs>
            <w:rPr>
              <w:noProof/>
              <w:lang w:eastAsia="ko-KR"/>
            </w:rPr>
          </w:pPr>
          <w:hyperlink w:anchor="_Toc64388040" w:history="1">
            <w:r w:rsidRPr="00781AF8">
              <w:rPr>
                <w:rStyle w:val="Hyperlink"/>
                <w:rFonts w:ascii="Times New Roman" w:hAnsi="Times New Roman" w:cs="Times New Roman"/>
                <w:b/>
                <w:bCs/>
                <w:noProof/>
              </w:rPr>
              <w:t>SC15 2019 (FISHERY INDICATORS UPDATED)</w:t>
            </w:r>
            <w:r>
              <w:rPr>
                <w:noProof/>
                <w:webHidden/>
              </w:rPr>
              <w:tab/>
            </w:r>
            <w:r>
              <w:rPr>
                <w:noProof/>
                <w:webHidden/>
              </w:rPr>
              <w:fldChar w:fldCharType="begin"/>
            </w:r>
            <w:r>
              <w:rPr>
                <w:noProof/>
                <w:webHidden/>
              </w:rPr>
              <w:instrText xml:space="preserve"> PAGEREF _Toc64388040 \h </w:instrText>
            </w:r>
            <w:r>
              <w:rPr>
                <w:noProof/>
                <w:webHidden/>
              </w:rPr>
            </w:r>
            <w:r>
              <w:rPr>
                <w:noProof/>
                <w:webHidden/>
              </w:rPr>
              <w:fldChar w:fldCharType="separate"/>
            </w:r>
            <w:r>
              <w:rPr>
                <w:noProof/>
                <w:webHidden/>
              </w:rPr>
              <w:t>12</w:t>
            </w:r>
            <w:r>
              <w:rPr>
                <w:noProof/>
                <w:webHidden/>
              </w:rPr>
              <w:fldChar w:fldCharType="end"/>
            </w:r>
          </w:hyperlink>
        </w:p>
        <w:p w14:paraId="47F10AE1" w14:textId="0E816AC9" w:rsidR="00282A9D" w:rsidRDefault="00282A9D">
          <w:pPr>
            <w:pStyle w:val="TOC1"/>
            <w:tabs>
              <w:tab w:val="right" w:leader="dot" w:pos="9350"/>
            </w:tabs>
            <w:rPr>
              <w:noProof/>
              <w:lang w:eastAsia="ko-KR"/>
            </w:rPr>
          </w:pPr>
          <w:hyperlink w:anchor="_Toc64388041" w:history="1">
            <w:r w:rsidRPr="00781AF8">
              <w:rPr>
                <w:rStyle w:val="Hyperlink"/>
                <w:rFonts w:ascii="Times New Roman" w:hAnsi="Times New Roman" w:cs="Times New Roman"/>
                <w:b/>
                <w:bCs/>
                <w:noProof/>
                <w:spacing w:val="-4"/>
              </w:rPr>
              <w:t>SC14 2018 (ASSESSMENT UPDATE CONDUCTED)</w:t>
            </w:r>
            <w:r>
              <w:rPr>
                <w:noProof/>
                <w:webHidden/>
              </w:rPr>
              <w:tab/>
            </w:r>
            <w:r>
              <w:rPr>
                <w:noProof/>
                <w:webHidden/>
              </w:rPr>
              <w:fldChar w:fldCharType="begin"/>
            </w:r>
            <w:r>
              <w:rPr>
                <w:noProof/>
                <w:webHidden/>
              </w:rPr>
              <w:instrText xml:space="preserve"> PAGEREF _Toc64388041 \h </w:instrText>
            </w:r>
            <w:r>
              <w:rPr>
                <w:noProof/>
                <w:webHidden/>
              </w:rPr>
            </w:r>
            <w:r>
              <w:rPr>
                <w:noProof/>
                <w:webHidden/>
              </w:rPr>
              <w:fldChar w:fldCharType="separate"/>
            </w:r>
            <w:r>
              <w:rPr>
                <w:noProof/>
                <w:webHidden/>
              </w:rPr>
              <w:t>13</w:t>
            </w:r>
            <w:r>
              <w:rPr>
                <w:noProof/>
                <w:webHidden/>
              </w:rPr>
              <w:fldChar w:fldCharType="end"/>
            </w:r>
          </w:hyperlink>
        </w:p>
        <w:p w14:paraId="053B3468" w14:textId="58C6E8AC" w:rsidR="00282A9D" w:rsidRDefault="00282A9D">
          <w:pPr>
            <w:pStyle w:val="TOC1"/>
            <w:tabs>
              <w:tab w:val="right" w:leader="dot" w:pos="9350"/>
            </w:tabs>
            <w:rPr>
              <w:noProof/>
              <w:lang w:eastAsia="ko-KR"/>
            </w:rPr>
          </w:pPr>
          <w:hyperlink w:anchor="_Toc64388042" w:history="1">
            <w:r w:rsidRPr="00781AF8">
              <w:rPr>
                <w:rStyle w:val="Hyperlink"/>
                <w:rFonts w:ascii="Times New Roman" w:hAnsi="Times New Roman" w:cs="Times New Roman"/>
                <w:b/>
                <w:bCs/>
                <w:noProof/>
              </w:rPr>
              <w:t>SC13 2017 (STOCK ASS</w:t>
            </w:r>
            <w:r w:rsidRPr="00781AF8">
              <w:rPr>
                <w:rStyle w:val="Hyperlink"/>
                <w:rFonts w:ascii="Times New Roman" w:hAnsi="Times New Roman" w:cs="Times New Roman"/>
                <w:b/>
                <w:bCs/>
                <w:noProof/>
              </w:rPr>
              <w:t>E</w:t>
            </w:r>
            <w:r w:rsidRPr="00781AF8">
              <w:rPr>
                <w:rStyle w:val="Hyperlink"/>
                <w:rFonts w:ascii="Times New Roman" w:hAnsi="Times New Roman" w:cs="Times New Roman"/>
                <w:b/>
                <w:bCs/>
                <w:noProof/>
              </w:rPr>
              <w:t>SSMENT CONDUCTED)</w:t>
            </w:r>
            <w:r>
              <w:rPr>
                <w:noProof/>
                <w:webHidden/>
              </w:rPr>
              <w:tab/>
            </w:r>
            <w:r>
              <w:rPr>
                <w:noProof/>
                <w:webHidden/>
              </w:rPr>
              <w:fldChar w:fldCharType="begin"/>
            </w:r>
            <w:r>
              <w:rPr>
                <w:noProof/>
                <w:webHidden/>
              </w:rPr>
              <w:instrText xml:space="preserve"> PAGEREF _Toc64388042 \h </w:instrText>
            </w:r>
            <w:r>
              <w:rPr>
                <w:noProof/>
                <w:webHidden/>
              </w:rPr>
            </w:r>
            <w:r>
              <w:rPr>
                <w:noProof/>
                <w:webHidden/>
              </w:rPr>
              <w:fldChar w:fldCharType="separate"/>
            </w:r>
            <w:r>
              <w:rPr>
                <w:noProof/>
                <w:webHidden/>
              </w:rPr>
              <w:t>23</w:t>
            </w:r>
            <w:r>
              <w:rPr>
                <w:noProof/>
                <w:webHidden/>
              </w:rPr>
              <w:fldChar w:fldCharType="end"/>
            </w:r>
          </w:hyperlink>
        </w:p>
        <w:p w14:paraId="4B562504" w14:textId="5966C90C" w:rsidR="00282A9D" w:rsidRDefault="00282A9D">
          <w:pPr>
            <w:pStyle w:val="TOC1"/>
            <w:tabs>
              <w:tab w:val="right" w:leader="dot" w:pos="9350"/>
            </w:tabs>
            <w:rPr>
              <w:noProof/>
              <w:lang w:eastAsia="ko-KR"/>
            </w:rPr>
          </w:pPr>
          <w:hyperlink w:anchor="_Toc64388043" w:history="1">
            <w:r w:rsidRPr="00781AF8">
              <w:rPr>
                <w:rStyle w:val="Hyperlink"/>
                <w:rFonts w:ascii="Times New Roman" w:eastAsia="MS Mincho" w:hAnsi="Times New Roman" w:cs="Times New Roman"/>
                <w:b/>
                <w:bCs/>
                <w:caps/>
                <w:noProof/>
                <w:lang w:val="en-NZ" w:eastAsia="en-NZ"/>
              </w:rPr>
              <w:t>Ref</w:t>
            </w:r>
            <w:r w:rsidRPr="00781AF8">
              <w:rPr>
                <w:rStyle w:val="Hyperlink"/>
                <w:rFonts w:ascii="Times New Roman" w:eastAsia="MS Mincho" w:hAnsi="Times New Roman" w:cs="Times New Roman"/>
                <w:b/>
                <w:bCs/>
                <w:caps/>
                <w:noProof/>
                <w:lang w:val="en-NZ" w:eastAsia="en-NZ"/>
              </w:rPr>
              <w:t>e</w:t>
            </w:r>
            <w:r w:rsidRPr="00781AF8">
              <w:rPr>
                <w:rStyle w:val="Hyperlink"/>
                <w:rFonts w:ascii="Times New Roman" w:eastAsia="MS Mincho" w:hAnsi="Times New Roman" w:cs="Times New Roman"/>
                <w:b/>
                <w:bCs/>
                <w:caps/>
                <w:noProof/>
                <w:lang w:val="en-NZ" w:eastAsia="en-NZ"/>
              </w:rPr>
              <w:t>r</w:t>
            </w:r>
            <w:r w:rsidRPr="00781AF8">
              <w:rPr>
                <w:rStyle w:val="Hyperlink"/>
                <w:rFonts w:ascii="Times New Roman" w:eastAsia="MS Mincho" w:hAnsi="Times New Roman" w:cs="Times New Roman"/>
                <w:b/>
                <w:bCs/>
                <w:caps/>
                <w:noProof/>
                <w:lang w:val="en-NZ" w:eastAsia="en-NZ"/>
              </w:rPr>
              <w:t>e</w:t>
            </w:r>
            <w:r w:rsidRPr="00781AF8">
              <w:rPr>
                <w:rStyle w:val="Hyperlink"/>
                <w:rFonts w:ascii="Times New Roman" w:eastAsia="MS Mincho" w:hAnsi="Times New Roman" w:cs="Times New Roman"/>
                <w:b/>
                <w:bCs/>
                <w:caps/>
                <w:noProof/>
                <w:lang w:val="en-NZ" w:eastAsia="en-NZ"/>
              </w:rPr>
              <w:t>nces</w:t>
            </w:r>
            <w:r>
              <w:rPr>
                <w:noProof/>
                <w:webHidden/>
              </w:rPr>
              <w:tab/>
            </w:r>
            <w:r>
              <w:rPr>
                <w:noProof/>
                <w:webHidden/>
              </w:rPr>
              <w:fldChar w:fldCharType="begin"/>
            </w:r>
            <w:r>
              <w:rPr>
                <w:noProof/>
                <w:webHidden/>
              </w:rPr>
              <w:instrText xml:space="preserve"> PAGEREF _Toc64388043 \h </w:instrText>
            </w:r>
            <w:r>
              <w:rPr>
                <w:noProof/>
                <w:webHidden/>
              </w:rPr>
            </w:r>
            <w:r>
              <w:rPr>
                <w:noProof/>
                <w:webHidden/>
              </w:rPr>
              <w:fldChar w:fldCharType="separate"/>
            </w:r>
            <w:r>
              <w:rPr>
                <w:noProof/>
                <w:webHidden/>
              </w:rPr>
              <w:t>33</w:t>
            </w:r>
            <w:r>
              <w:rPr>
                <w:noProof/>
                <w:webHidden/>
              </w:rPr>
              <w:fldChar w:fldCharType="end"/>
            </w:r>
          </w:hyperlink>
        </w:p>
        <w:p w14:paraId="42D6DCE0" w14:textId="3E5B289F" w:rsidR="00282A9D" w:rsidRDefault="00282A9D">
          <w:pPr>
            <w:pStyle w:val="TOC1"/>
            <w:tabs>
              <w:tab w:val="right" w:leader="dot" w:pos="9350"/>
            </w:tabs>
            <w:rPr>
              <w:noProof/>
              <w:lang w:eastAsia="ko-KR"/>
            </w:rPr>
          </w:pPr>
        </w:p>
        <w:p w14:paraId="64F04CC2" w14:textId="47E44FB9" w:rsidR="004B05DF" w:rsidRPr="00EA7C95" w:rsidRDefault="004B05DF" w:rsidP="00487246">
          <w:pPr>
            <w:adjustRightInd w:val="0"/>
            <w:snapToGrid w:val="0"/>
            <w:spacing w:after="240" w:line="240" w:lineRule="auto"/>
            <w:rPr>
              <w:rFonts w:ascii="Times New Roman" w:hAnsi="Times New Roman" w:cs="Times New Roman"/>
            </w:rPr>
          </w:pPr>
          <w:r w:rsidRPr="00702120">
            <w:rPr>
              <w:rFonts w:ascii="Times New Roman" w:hAnsi="Times New Roman" w:cs="Times New Roman"/>
              <w:b/>
              <w:bCs/>
              <w:noProof/>
            </w:rPr>
            <w:fldChar w:fldCharType="end"/>
          </w:r>
        </w:p>
      </w:sdtContent>
    </w:sdt>
    <w:p w14:paraId="71BD91D3" w14:textId="77777777" w:rsidR="00FA3BCD" w:rsidRPr="00EA7C95" w:rsidRDefault="00FA3BCD" w:rsidP="00487246">
      <w:pPr>
        <w:pStyle w:val="Heading1"/>
        <w:adjustRightInd w:val="0"/>
        <w:snapToGrid w:val="0"/>
        <w:spacing w:before="0" w:line="240" w:lineRule="auto"/>
        <w:rPr>
          <w:rFonts w:ascii="Times New Roman" w:hAnsi="Times New Roman" w:cs="Times New Roman"/>
          <w:sz w:val="22"/>
          <w:szCs w:val="22"/>
        </w:rPr>
      </w:pPr>
    </w:p>
    <w:p w14:paraId="10903EAC" w14:textId="77777777" w:rsidR="00FA3BCD" w:rsidRPr="00EA7C95" w:rsidRDefault="00FA3BCD" w:rsidP="00487246">
      <w:pPr>
        <w:adjustRightInd w:val="0"/>
        <w:snapToGrid w:val="0"/>
        <w:spacing w:after="0" w:line="240" w:lineRule="auto"/>
        <w:rPr>
          <w:rFonts w:ascii="Times New Roman" w:eastAsiaTheme="majorEastAsia" w:hAnsi="Times New Roman" w:cs="Times New Roman"/>
          <w:color w:val="2F5496" w:themeColor="accent1" w:themeShade="BF"/>
        </w:rPr>
      </w:pPr>
      <w:r w:rsidRPr="00EA7C95">
        <w:rPr>
          <w:rFonts w:ascii="Times New Roman" w:hAnsi="Times New Roman" w:cs="Times New Roman"/>
        </w:rPr>
        <w:br w:type="page"/>
      </w:r>
    </w:p>
    <w:p w14:paraId="78D69228" w14:textId="49ABBE22" w:rsidR="00C578A4" w:rsidRDefault="00C578A4" w:rsidP="00E465D9">
      <w:pPr>
        <w:pStyle w:val="Heading1"/>
        <w:adjustRightInd w:val="0"/>
        <w:snapToGrid w:val="0"/>
        <w:spacing w:before="0" w:line="240" w:lineRule="auto"/>
        <w:rPr>
          <w:rFonts w:ascii="Times New Roman" w:hAnsi="Times New Roman" w:cs="Times New Roman"/>
          <w:b/>
          <w:bCs/>
          <w:sz w:val="28"/>
          <w:szCs w:val="28"/>
        </w:rPr>
      </w:pPr>
      <w:bookmarkStart w:id="0" w:name="_Toc64388039"/>
      <w:r w:rsidRPr="00EA7C95">
        <w:rPr>
          <w:rFonts w:ascii="Times New Roman" w:hAnsi="Times New Roman" w:cs="Times New Roman"/>
          <w:b/>
          <w:bCs/>
          <w:sz w:val="28"/>
          <w:szCs w:val="28"/>
        </w:rPr>
        <w:lastRenderedPageBreak/>
        <w:t>SC</w:t>
      </w:r>
      <w:r>
        <w:rPr>
          <w:rFonts w:ascii="Times New Roman" w:hAnsi="Times New Roman" w:cs="Times New Roman"/>
          <w:b/>
          <w:bCs/>
          <w:sz w:val="28"/>
          <w:szCs w:val="28"/>
        </w:rPr>
        <w:t>16</w:t>
      </w:r>
      <w:r w:rsidRPr="00EA7C95">
        <w:rPr>
          <w:rFonts w:ascii="Times New Roman" w:hAnsi="Times New Roman" w:cs="Times New Roman"/>
          <w:b/>
          <w:bCs/>
          <w:sz w:val="28"/>
          <w:szCs w:val="28"/>
        </w:rPr>
        <w:t xml:space="preserve"> 20</w:t>
      </w:r>
      <w:r>
        <w:rPr>
          <w:rFonts w:ascii="Times New Roman" w:hAnsi="Times New Roman" w:cs="Times New Roman"/>
          <w:b/>
          <w:bCs/>
          <w:sz w:val="28"/>
          <w:szCs w:val="28"/>
        </w:rPr>
        <w:t>20</w:t>
      </w:r>
      <w:r w:rsidRPr="00EA7C95">
        <w:rPr>
          <w:rFonts w:ascii="Times New Roman" w:hAnsi="Times New Roman" w:cs="Times New Roman"/>
          <w:b/>
          <w:bCs/>
          <w:sz w:val="28"/>
          <w:szCs w:val="28"/>
        </w:rPr>
        <w:t xml:space="preserve"> (</w:t>
      </w:r>
      <w:r>
        <w:rPr>
          <w:rFonts w:ascii="Times New Roman" w:hAnsi="Times New Roman" w:cs="Times New Roman"/>
          <w:b/>
          <w:bCs/>
          <w:sz w:val="28"/>
          <w:szCs w:val="28"/>
        </w:rPr>
        <w:t>STOCK ASSESSMENT CONDUCTED</w:t>
      </w:r>
      <w:r w:rsidRPr="00EA7C95">
        <w:rPr>
          <w:rFonts w:ascii="Times New Roman" w:hAnsi="Times New Roman" w:cs="Times New Roman"/>
          <w:b/>
          <w:bCs/>
          <w:sz w:val="28"/>
          <w:szCs w:val="28"/>
        </w:rPr>
        <w:t>)</w:t>
      </w:r>
      <w:bookmarkEnd w:id="0"/>
    </w:p>
    <w:p w14:paraId="5386944B" w14:textId="77777777" w:rsidR="008017E1" w:rsidRPr="009A541E" w:rsidRDefault="008017E1" w:rsidP="008017E1">
      <w:pPr>
        <w:kinsoku w:val="0"/>
        <w:overflowPunct w:val="0"/>
        <w:autoSpaceDE w:val="0"/>
        <w:autoSpaceDN w:val="0"/>
        <w:adjustRightInd w:val="0"/>
        <w:snapToGrid w:val="0"/>
        <w:spacing w:after="0" w:line="240" w:lineRule="auto"/>
        <w:jc w:val="both"/>
        <w:rPr>
          <w:lang w:eastAsia="ko-KR"/>
        </w:rPr>
      </w:pPr>
    </w:p>
    <w:p w14:paraId="6CF3E460" w14:textId="77777777" w:rsidR="008017E1" w:rsidRPr="009A541E" w:rsidRDefault="008017E1" w:rsidP="008017E1">
      <w:pPr>
        <w:pStyle w:val="ListParagraph"/>
        <w:widowControl/>
        <w:numPr>
          <w:ilvl w:val="0"/>
          <w:numId w:val="21"/>
        </w:numPr>
        <w:kinsoku w:val="0"/>
        <w:overflowPunct w:val="0"/>
        <w:adjustRightInd w:val="0"/>
        <w:snapToGrid w:val="0"/>
        <w:ind w:left="0" w:right="0" w:firstLine="0"/>
        <w:rPr>
          <w:rFonts w:eastAsia="Batang"/>
          <w:b/>
          <w:bCs/>
          <w:lang w:eastAsia="ko-KR"/>
        </w:rPr>
      </w:pPr>
      <w:r w:rsidRPr="009A541E">
        <w:rPr>
          <w:rFonts w:eastAsia="Batang"/>
          <w:b/>
          <w:bCs/>
          <w:lang w:eastAsia="ko-KR"/>
        </w:rPr>
        <w:t>Stock status and trends</w:t>
      </w:r>
    </w:p>
    <w:p w14:paraId="638D1CA0" w14:textId="77777777" w:rsidR="008017E1" w:rsidRPr="009A541E" w:rsidRDefault="008017E1" w:rsidP="008017E1">
      <w:pPr>
        <w:pStyle w:val="ListParagraph"/>
        <w:kinsoku w:val="0"/>
        <w:overflowPunct w:val="0"/>
        <w:adjustRightInd w:val="0"/>
        <w:snapToGrid w:val="0"/>
        <w:rPr>
          <w:rFonts w:eastAsia="Batang"/>
          <w:lang w:eastAsia="ko-KR"/>
        </w:rPr>
      </w:pPr>
    </w:p>
    <w:p w14:paraId="379019BD" w14:textId="77777777" w:rsidR="008017E1" w:rsidRPr="009A541E" w:rsidRDefault="008017E1" w:rsidP="00702120">
      <w:pPr>
        <w:pStyle w:val="WCPFC"/>
        <w:adjustRightInd w:val="0"/>
        <w:spacing w:after="0"/>
        <w:ind w:left="0" w:firstLine="0"/>
        <w:rPr>
          <w:bCs/>
        </w:rPr>
      </w:pPr>
      <w:r w:rsidRPr="009A541E">
        <w:rPr>
          <w:bCs/>
        </w:rPr>
        <w:t xml:space="preserve">The </w:t>
      </w:r>
      <w:r w:rsidRPr="0009493F">
        <w:t>median</w:t>
      </w:r>
      <w:r w:rsidRPr="009A541E">
        <w:rPr>
          <w:bCs/>
        </w:rPr>
        <w:t xml:space="preserve"> values of relative recent (2015-2018) spawning biomass depletion (</w:t>
      </w:r>
      <w:proofErr w:type="spellStart"/>
      <w:r w:rsidRPr="009A541E">
        <w:rPr>
          <w:bCs/>
          <w:i/>
        </w:rPr>
        <w:t>SB</w:t>
      </w:r>
      <w:r w:rsidRPr="009A541E">
        <w:rPr>
          <w:bCs/>
          <w:i/>
          <w:vertAlign w:val="subscript"/>
        </w:rPr>
        <w:t>recent</w:t>
      </w:r>
      <w:proofErr w:type="spellEnd"/>
      <w:r w:rsidRPr="009A541E">
        <w:rPr>
          <w:bCs/>
          <w:i/>
        </w:rPr>
        <w:t>/ SB</w:t>
      </w:r>
      <w:r w:rsidRPr="009A541E">
        <w:rPr>
          <w:bCs/>
          <w:i/>
          <w:vertAlign w:val="subscript"/>
        </w:rPr>
        <w:t>F=0</w:t>
      </w:r>
      <w:r w:rsidRPr="009A541E">
        <w:rPr>
          <w:bCs/>
        </w:rPr>
        <w:t>) and relative recent (2014-2017) fishing mortality (</w:t>
      </w:r>
      <w:proofErr w:type="spellStart"/>
      <w:r w:rsidRPr="009A541E">
        <w:rPr>
          <w:bCs/>
          <w:i/>
        </w:rPr>
        <w:t>F</w:t>
      </w:r>
      <w:r w:rsidRPr="009A541E">
        <w:rPr>
          <w:bCs/>
          <w:i/>
          <w:vertAlign w:val="subscript"/>
        </w:rPr>
        <w:t>recent</w:t>
      </w:r>
      <w:proofErr w:type="spellEnd"/>
      <w:r w:rsidRPr="009A541E">
        <w:rPr>
          <w:bCs/>
          <w:i/>
        </w:rPr>
        <w:t>/F</w:t>
      </w:r>
      <w:r w:rsidRPr="009A541E">
        <w:rPr>
          <w:bCs/>
          <w:i/>
          <w:vertAlign w:val="subscript"/>
        </w:rPr>
        <w:t>MSY</w:t>
      </w:r>
      <w:r w:rsidRPr="009A541E">
        <w:rPr>
          <w:bCs/>
        </w:rPr>
        <w:t>) over the uncertainty grid of 24 models (Table BET-1) were used to define stock status. The values of the upper 90</w:t>
      </w:r>
      <w:r w:rsidRPr="009A541E">
        <w:rPr>
          <w:bCs/>
          <w:vertAlign w:val="superscript"/>
          <w:lang w:eastAsia="ko-KR"/>
        </w:rPr>
        <w:t>th</w:t>
      </w:r>
      <w:r w:rsidRPr="009A541E">
        <w:rPr>
          <w:bCs/>
        </w:rPr>
        <w:t>and lower 10</w:t>
      </w:r>
      <w:r w:rsidRPr="009A541E">
        <w:rPr>
          <w:bCs/>
          <w:vertAlign w:val="superscript"/>
          <w:lang w:eastAsia="ko-KR"/>
        </w:rPr>
        <w:t>th</w:t>
      </w:r>
      <w:r w:rsidRPr="009A541E">
        <w:rPr>
          <w:bCs/>
        </w:rPr>
        <w:t xml:space="preserve">percentiles of the empirical distributions of relative spawning biomass and relative fishing mortality from the uncertainty grid were used to characterize the probable range of stock status. </w:t>
      </w:r>
    </w:p>
    <w:p w14:paraId="2E384BEA" w14:textId="77777777" w:rsidR="008017E1" w:rsidRPr="009A541E" w:rsidRDefault="008017E1" w:rsidP="008017E1">
      <w:pPr>
        <w:autoSpaceDE w:val="0"/>
        <w:autoSpaceDN w:val="0"/>
        <w:adjustRightInd w:val="0"/>
        <w:snapToGrid w:val="0"/>
        <w:spacing w:after="0" w:line="240" w:lineRule="auto"/>
        <w:jc w:val="both"/>
        <w:rPr>
          <w:bCs/>
        </w:rPr>
      </w:pPr>
    </w:p>
    <w:p w14:paraId="40C52B32" w14:textId="77777777" w:rsidR="008017E1" w:rsidRPr="009A541E" w:rsidRDefault="008017E1" w:rsidP="008017E1">
      <w:pPr>
        <w:pStyle w:val="WCPFC"/>
        <w:adjustRightInd w:val="0"/>
        <w:spacing w:after="0"/>
        <w:ind w:left="0" w:firstLine="0"/>
        <w:rPr>
          <w:bCs/>
        </w:rPr>
      </w:pPr>
      <w:r w:rsidRPr="009A541E">
        <w:rPr>
          <w:bCs/>
        </w:rPr>
        <w:t>A description of the updated structural sensitivity grid used to characterize uncertainty in the assessment is illustrated in Table BET-1. The s</w:t>
      </w:r>
      <w:r w:rsidRPr="009A541E">
        <w:t xml:space="preserve">patial structure used in the 2020 stock assessment is shown in Figure BET-1. </w:t>
      </w:r>
      <w:r w:rsidRPr="009A541E">
        <w:rPr>
          <w:bCs/>
        </w:rPr>
        <w:t>Time series of total annual catch by fishing gear over the full assessment period is shown in Figure BET-2. The t</w:t>
      </w:r>
      <w:r w:rsidRPr="009A541E">
        <w:t>ime series of total annual catch by fishing gear and assessment region is shown in Figure BET-3. Estimated annual average recruitment, spawning potential</w:t>
      </w:r>
      <w:r>
        <w:t>,</w:t>
      </w:r>
      <w:r w:rsidRPr="009A541E">
        <w:t xml:space="preserve"> and total biomass by model region is shown in Figure BET-4. </w:t>
      </w:r>
      <w:r w:rsidRPr="009A541E">
        <w:rPr>
          <w:bCs/>
        </w:rPr>
        <w:t xml:space="preserve">Estimated trends in spawning potential by region for the diagnostic case is shown in Figure BET-5, and juvenile and adult fishing mortality rates from the diagnostic model is shown in Figure BET-6. Estimates of the reduction in </w:t>
      </w:r>
      <w:r w:rsidRPr="009A541E">
        <w:t>spawning potential due to fishing by region is shown in Figure BET-7. Time-dynamic percentiles of depletion (</w:t>
      </w:r>
      <w:proofErr w:type="spellStart"/>
      <w:r w:rsidRPr="009A541E">
        <w:t>SB</w:t>
      </w:r>
      <w:r w:rsidRPr="009A541E">
        <w:rPr>
          <w:vertAlign w:val="subscript"/>
        </w:rPr>
        <w:t>t</w:t>
      </w:r>
      <w:proofErr w:type="spellEnd"/>
      <w:r w:rsidRPr="009A541E">
        <w:t>/</w:t>
      </w:r>
      <w:proofErr w:type="spellStart"/>
      <w:proofErr w:type="gramStart"/>
      <w:r w:rsidRPr="009A541E">
        <w:t>SB</w:t>
      </w:r>
      <w:r w:rsidRPr="009A541E">
        <w:rPr>
          <w:vertAlign w:val="subscript"/>
        </w:rPr>
        <w:t>t,F</w:t>
      </w:r>
      <w:proofErr w:type="spellEnd"/>
      <w:proofErr w:type="gramEnd"/>
      <w:r w:rsidRPr="009A541E">
        <w:rPr>
          <w:vertAlign w:val="subscript"/>
        </w:rPr>
        <w:t>=0</w:t>
      </w:r>
      <w:r w:rsidRPr="009A541E">
        <w:t xml:space="preserve">) for the 24 models are shown in Figure BET-8. </w:t>
      </w:r>
      <w:r w:rsidRPr="009A541E">
        <w:rPr>
          <w:bCs/>
        </w:rPr>
        <w:t xml:space="preserve">A Majuro and Kobe plot summarising the results for each of the 24 models in the structural uncertainty grid are shown in Figures BET 9 and 10, respectively. Projections are illustrated in Figures BET-11 and BET-12. Table </w:t>
      </w:r>
      <w:proofErr w:type="gramStart"/>
      <w:r w:rsidRPr="009A541E">
        <w:rPr>
          <w:bCs/>
        </w:rPr>
        <w:t>BET-2</w:t>
      </w:r>
      <w:proofErr w:type="gramEnd"/>
      <w:r w:rsidRPr="009A541E">
        <w:rPr>
          <w:bCs/>
        </w:rPr>
        <w:t xml:space="preserve"> provides a summary of reference points over the 24 models in the structural uncertainty grid. </w:t>
      </w:r>
    </w:p>
    <w:p w14:paraId="6716F92D" w14:textId="77777777" w:rsidR="008017E1" w:rsidRPr="00702120" w:rsidRDefault="008017E1" w:rsidP="00702120">
      <w:pPr>
        <w:autoSpaceDE w:val="0"/>
        <w:autoSpaceDN w:val="0"/>
        <w:adjustRightInd w:val="0"/>
        <w:snapToGrid w:val="0"/>
        <w:spacing w:after="0" w:line="240" w:lineRule="auto"/>
        <w:jc w:val="both"/>
        <w:rPr>
          <w:rFonts w:ascii="Times New Roman" w:hAnsi="Times New Roman" w:cs="Times New Roman"/>
          <w:bCs/>
        </w:rPr>
      </w:pPr>
    </w:p>
    <w:p w14:paraId="77620F48" w14:textId="77777777" w:rsidR="008017E1" w:rsidRPr="00702120" w:rsidRDefault="008017E1" w:rsidP="00702120">
      <w:pPr>
        <w:pStyle w:val="WCPFC"/>
        <w:adjustRightInd w:val="0"/>
        <w:spacing w:after="0"/>
        <w:ind w:left="0" w:firstLine="0"/>
        <w:rPr>
          <w:bCs/>
        </w:rPr>
      </w:pPr>
      <w:r w:rsidRPr="00702120">
        <w:t xml:space="preserve">A </w:t>
      </w:r>
      <w:r w:rsidRPr="00702120">
        <w:rPr>
          <w:bCs/>
        </w:rPr>
        <w:t>number</w:t>
      </w:r>
      <w:r w:rsidRPr="00702120">
        <w:t xml:space="preserve"> of investigative models were run with growth, such as: 1) </w:t>
      </w:r>
      <w:r w:rsidRPr="00702120">
        <w:rPr>
          <w:i/>
        </w:rPr>
        <w:t>Oto-Only</w:t>
      </w:r>
      <w:r w:rsidRPr="00702120">
        <w:t xml:space="preserve">, a growth curve that was a ﬁxed Richards growth curve based on high-readability otoliths, 2) </w:t>
      </w:r>
      <w:r w:rsidRPr="00702120">
        <w:rPr>
          <w:i/>
        </w:rPr>
        <w:t>Tag-Int</w:t>
      </w:r>
      <w:r w:rsidRPr="00702120">
        <w:t>: a growth curve that was a ﬁxed Richards growth curve based on the same high-readability otolith data-set in addition to bigeye tun</w:t>
      </w:r>
      <w:r w:rsidRPr="00843C43">
        <w:t xml:space="preserve">a tag-recapture data, and 3) </w:t>
      </w:r>
      <w:r w:rsidRPr="00843C43">
        <w:rPr>
          <w:i/>
        </w:rPr>
        <w:t>Est-Richards</w:t>
      </w:r>
      <w:r w:rsidRPr="00843C43">
        <w:t>: A conditional age-length data-set was constru</w:t>
      </w:r>
      <w:r w:rsidRPr="00F2719B">
        <w:t xml:space="preserve">cted from the combined daily and annual otolith dataset. The </w:t>
      </w:r>
      <w:r w:rsidRPr="00163867">
        <w:rPr>
          <w:i/>
        </w:rPr>
        <w:t>Oto-Only</w:t>
      </w:r>
      <w:r w:rsidRPr="00163867">
        <w:t xml:space="preserve"> growth model predicted very high levels of biomass and corresponding low level of depletion. The </w:t>
      </w:r>
      <w:r w:rsidRPr="00163867">
        <w:rPr>
          <w:i/>
          <w:iCs/>
        </w:rPr>
        <w:t>Est Richards</w:t>
      </w:r>
      <w:r w:rsidRPr="00163867">
        <w:t xml:space="preserve"> growth model showed sensitivity to the initial values given for the estimate</w:t>
      </w:r>
      <w:r w:rsidRPr="00702120">
        <w:t xml:space="preserve">d growth parameters. </w:t>
      </w:r>
      <w:r w:rsidRPr="00702120">
        <w:rPr>
          <w:bCs/>
        </w:rPr>
        <w:t xml:space="preserve">The implausible results from the </w:t>
      </w:r>
      <w:r w:rsidRPr="00702120">
        <w:rPr>
          <w:bCs/>
          <w:i/>
        </w:rPr>
        <w:t xml:space="preserve">Oto-Only </w:t>
      </w:r>
      <w:r w:rsidRPr="00702120">
        <w:rPr>
          <w:bCs/>
        </w:rPr>
        <w:t xml:space="preserve">growth and differing results from the </w:t>
      </w:r>
      <w:r w:rsidRPr="00702120">
        <w:rPr>
          <w:bCs/>
          <w:i/>
        </w:rPr>
        <w:t>Est-Richards</w:t>
      </w:r>
      <w:r w:rsidRPr="00702120">
        <w:rPr>
          <w:bCs/>
        </w:rPr>
        <w:t xml:space="preserve"> indicate questions </w:t>
      </w:r>
      <w:proofErr w:type="gramStart"/>
      <w:r w:rsidRPr="00702120">
        <w:rPr>
          <w:bCs/>
        </w:rPr>
        <w:t>still remain</w:t>
      </w:r>
      <w:proofErr w:type="gramEnd"/>
      <w:r w:rsidRPr="00702120">
        <w:rPr>
          <w:bCs/>
        </w:rPr>
        <w:t xml:space="preserve"> regarding bigeye tuna growth. </w:t>
      </w:r>
    </w:p>
    <w:p w14:paraId="07F1387E" w14:textId="77777777" w:rsidR="008017E1" w:rsidRPr="00702120" w:rsidRDefault="008017E1" w:rsidP="00702120">
      <w:pPr>
        <w:adjustRightInd w:val="0"/>
        <w:snapToGrid w:val="0"/>
        <w:spacing w:after="0" w:line="240" w:lineRule="auto"/>
        <w:rPr>
          <w:rFonts w:ascii="Times New Roman" w:hAnsi="Times New Roman" w:cs="Times New Roman"/>
        </w:rPr>
      </w:pPr>
    </w:p>
    <w:p w14:paraId="4C10ECA6" w14:textId="77777777" w:rsidR="008017E1" w:rsidRPr="00702120" w:rsidRDefault="008017E1" w:rsidP="00702120">
      <w:pPr>
        <w:pStyle w:val="WCPFC"/>
        <w:adjustRightInd w:val="0"/>
        <w:spacing w:after="0"/>
        <w:ind w:left="0" w:firstLine="0"/>
      </w:pPr>
      <w:r w:rsidRPr="00702120">
        <w:rPr>
          <w:bCs/>
        </w:rPr>
        <w:t xml:space="preserve">SC16 </w:t>
      </w:r>
      <w:r w:rsidRPr="00702120">
        <w:t>requested</w:t>
      </w:r>
      <w:r w:rsidRPr="00702120">
        <w:rPr>
          <w:bCs/>
        </w:rPr>
        <w:t xml:space="preserve"> the bigeye tuna assessment to try and fit the data for those small bigeye tuna as they are increasingly caught by domestic fisheries in region 7, but the current diagnostic model does not fit those fish that well because the L1 parameter is larger than most of those fish. SPC could consider additional developments to </w:t>
      </w:r>
      <w:proofErr w:type="spellStart"/>
      <w:r w:rsidRPr="00702120">
        <w:rPr>
          <w:bCs/>
        </w:rPr>
        <w:t>Multifan</w:t>
      </w:r>
      <w:proofErr w:type="spellEnd"/>
      <w:r w:rsidRPr="00702120">
        <w:rPr>
          <w:bCs/>
        </w:rPr>
        <w:t>-CL to model greater variability in size around the growth curve at small ages.</w:t>
      </w:r>
    </w:p>
    <w:p w14:paraId="405382F5" w14:textId="77777777" w:rsidR="008017E1" w:rsidRPr="00702120" w:rsidRDefault="008017E1" w:rsidP="00702120">
      <w:pPr>
        <w:autoSpaceDE w:val="0"/>
        <w:autoSpaceDN w:val="0"/>
        <w:adjustRightInd w:val="0"/>
        <w:snapToGrid w:val="0"/>
        <w:spacing w:after="0" w:line="240" w:lineRule="auto"/>
        <w:jc w:val="both"/>
        <w:rPr>
          <w:rFonts w:ascii="Times New Roman" w:hAnsi="Times New Roman" w:cs="Times New Roman"/>
          <w:bCs/>
        </w:rPr>
      </w:pPr>
    </w:p>
    <w:p w14:paraId="5ED3C4FF" w14:textId="77777777" w:rsidR="008017E1" w:rsidRPr="00702120" w:rsidRDefault="008017E1" w:rsidP="00702120">
      <w:pPr>
        <w:pStyle w:val="WCPFC"/>
        <w:adjustRightInd w:val="0"/>
        <w:spacing w:after="0"/>
        <w:ind w:left="0" w:firstLine="0"/>
        <w:rPr>
          <w:bCs/>
        </w:rPr>
      </w:pPr>
      <w:r w:rsidRPr="00702120">
        <w:rPr>
          <w:bCs/>
        </w:rPr>
        <w:t xml:space="preserve">The most inﬂuential grid axis is the size-frequency data-weighting axis and further research is </w:t>
      </w:r>
      <w:r w:rsidRPr="00702120">
        <w:t>required</w:t>
      </w:r>
      <w:r w:rsidRPr="00702120">
        <w:rPr>
          <w:bCs/>
        </w:rPr>
        <w:t xml:space="preserve"> to develop model diagnostics and objective criteria for model inclusion. </w:t>
      </w:r>
    </w:p>
    <w:p w14:paraId="7D395C39" w14:textId="77777777" w:rsidR="008017E1" w:rsidRPr="00702120" w:rsidRDefault="008017E1" w:rsidP="00702120">
      <w:pPr>
        <w:adjustRightInd w:val="0"/>
        <w:snapToGrid w:val="0"/>
        <w:spacing w:after="0" w:line="240" w:lineRule="auto"/>
        <w:jc w:val="both"/>
        <w:rPr>
          <w:rFonts w:ascii="Times New Roman" w:hAnsi="Times New Roman" w:cs="Times New Roman"/>
          <w:b/>
          <w:bCs/>
        </w:rPr>
      </w:pPr>
    </w:p>
    <w:p w14:paraId="1C940500" w14:textId="77777777" w:rsidR="008017E1" w:rsidRPr="00702120" w:rsidRDefault="008017E1" w:rsidP="00702120">
      <w:pPr>
        <w:adjustRightInd w:val="0"/>
        <w:snapToGrid w:val="0"/>
        <w:spacing w:after="0" w:line="240" w:lineRule="auto"/>
        <w:jc w:val="both"/>
        <w:rPr>
          <w:rFonts w:ascii="Times New Roman" w:hAnsi="Times New Roman" w:cs="Times New Roman"/>
        </w:rPr>
      </w:pPr>
      <w:r w:rsidRPr="00702120">
        <w:rPr>
          <w:rFonts w:ascii="Times New Roman" w:hAnsi="Times New Roman" w:cs="Times New Roman"/>
          <w:b/>
          <w:bCs/>
        </w:rPr>
        <w:t xml:space="preserve">Table BET-1. </w:t>
      </w:r>
      <w:r w:rsidRPr="00702120">
        <w:rPr>
          <w:rFonts w:ascii="Times New Roman" w:hAnsi="Times New Roman" w:cs="Times New Roman"/>
        </w:rPr>
        <w:t>Description of the updated structural sensitivity grid used to characterize uncertainty in the assessment. The starred levels denote those assumed in the model diagnostic case.</w:t>
      </w:r>
    </w:p>
    <w:tbl>
      <w:tblPr>
        <w:tblStyle w:val="TableGrid"/>
        <w:tblW w:w="5000" w:type="pct"/>
        <w:tblLook w:val="04A0" w:firstRow="1" w:lastRow="0" w:firstColumn="1" w:lastColumn="0" w:noHBand="0" w:noVBand="1"/>
      </w:tblPr>
      <w:tblGrid>
        <w:gridCol w:w="2744"/>
        <w:gridCol w:w="1652"/>
        <w:gridCol w:w="1652"/>
        <w:gridCol w:w="1651"/>
        <w:gridCol w:w="1651"/>
      </w:tblGrid>
      <w:tr w:rsidR="008017E1" w:rsidRPr="00843C43" w14:paraId="542C7559" w14:textId="77777777" w:rsidTr="008017E1">
        <w:trPr>
          <w:trHeight w:val="386"/>
        </w:trPr>
        <w:tc>
          <w:tcPr>
            <w:tcW w:w="1467" w:type="pct"/>
            <w:shd w:val="clear" w:color="auto" w:fill="D9D9D9" w:themeFill="background1" w:themeFillShade="D9"/>
            <w:vAlign w:val="center"/>
          </w:tcPr>
          <w:p w14:paraId="75908213" w14:textId="77777777" w:rsidR="008017E1" w:rsidRPr="00843C43" w:rsidRDefault="008017E1" w:rsidP="008017E1">
            <w:pPr>
              <w:adjustRightInd w:val="0"/>
              <w:snapToGrid w:val="0"/>
              <w:jc w:val="center"/>
              <w:rPr>
                <w:rFonts w:ascii="Times New Roman" w:hAnsi="Times New Roman" w:cs="Times New Roman"/>
                <w:b/>
                <w:bCs/>
              </w:rPr>
            </w:pPr>
            <w:r w:rsidRPr="00843C43">
              <w:rPr>
                <w:rFonts w:ascii="Times New Roman" w:hAnsi="Times New Roman" w:cs="Times New Roman"/>
                <w:b/>
                <w:bCs/>
              </w:rPr>
              <w:t>Axis</w:t>
            </w:r>
          </w:p>
        </w:tc>
        <w:tc>
          <w:tcPr>
            <w:tcW w:w="883" w:type="pct"/>
            <w:shd w:val="clear" w:color="auto" w:fill="D9D9D9" w:themeFill="background1" w:themeFillShade="D9"/>
            <w:vAlign w:val="center"/>
          </w:tcPr>
          <w:p w14:paraId="43DB1221" w14:textId="77777777" w:rsidR="008017E1" w:rsidRPr="00843C43" w:rsidRDefault="008017E1" w:rsidP="008017E1">
            <w:pPr>
              <w:adjustRightInd w:val="0"/>
              <w:snapToGrid w:val="0"/>
              <w:jc w:val="center"/>
              <w:rPr>
                <w:rFonts w:ascii="Times New Roman" w:hAnsi="Times New Roman" w:cs="Times New Roman"/>
                <w:b/>
                <w:bCs/>
              </w:rPr>
            </w:pPr>
            <w:r w:rsidRPr="00843C43">
              <w:rPr>
                <w:rFonts w:ascii="Times New Roman" w:hAnsi="Times New Roman" w:cs="Times New Roman"/>
                <w:b/>
                <w:bCs/>
              </w:rPr>
              <w:t>Value 1</w:t>
            </w:r>
          </w:p>
        </w:tc>
        <w:tc>
          <w:tcPr>
            <w:tcW w:w="883" w:type="pct"/>
            <w:shd w:val="clear" w:color="auto" w:fill="D9D9D9" w:themeFill="background1" w:themeFillShade="D9"/>
            <w:vAlign w:val="center"/>
          </w:tcPr>
          <w:p w14:paraId="46536650" w14:textId="77777777" w:rsidR="008017E1" w:rsidRPr="00843C43" w:rsidRDefault="008017E1" w:rsidP="008017E1">
            <w:pPr>
              <w:adjustRightInd w:val="0"/>
              <w:snapToGrid w:val="0"/>
              <w:jc w:val="center"/>
              <w:rPr>
                <w:rFonts w:ascii="Times New Roman" w:hAnsi="Times New Roman" w:cs="Times New Roman"/>
                <w:b/>
                <w:bCs/>
              </w:rPr>
            </w:pPr>
            <w:r w:rsidRPr="00843C43">
              <w:rPr>
                <w:rFonts w:ascii="Times New Roman" w:hAnsi="Times New Roman" w:cs="Times New Roman"/>
                <w:b/>
                <w:bCs/>
              </w:rPr>
              <w:t>Value 2</w:t>
            </w:r>
          </w:p>
        </w:tc>
        <w:tc>
          <w:tcPr>
            <w:tcW w:w="883" w:type="pct"/>
            <w:shd w:val="clear" w:color="auto" w:fill="D9D9D9" w:themeFill="background1" w:themeFillShade="D9"/>
            <w:vAlign w:val="center"/>
          </w:tcPr>
          <w:p w14:paraId="0888DB3D" w14:textId="77777777" w:rsidR="008017E1" w:rsidRPr="00843C43" w:rsidRDefault="008017E1" w:rsidP="008017E1">
            <w:pPr>
              <w:adjustRightInd w:val="0"/>
              <w:snapToGrid w:val="0"/>
              <w:jc w:val="center"/>
              <w:rPr>
                <w:rFonts w:ascii="Times New Roman" w:hAnsi="Times New Roman" w:cs="Times New Roman"/>
                <w:b/>
                <w:bCs/>
              </w:rPr>
            </w:pPr>
            <w:r w:rsidRPr="00843C43">
              <w:rPr>
                <w:rFonts w:ascii="Times New Roman" w:hAnsi="Times New Roman" w:cs="Times New Roman"/>
                <w:b/>
                <w:bCs/>
              </w:rPr>
              <w:t>Value 3</w:t>
            </w:r>
          </w:p>
        </w:tc>
        <w:tc>
          <w:tcPr>
            <w:tcW w:w="883" w:type="pct"/>
            <w:shd w:val="clear" w:color="auto" w:fill="D9D9D9" w:themeFill="background1" w:themeFillShade="D9"/>
            <w:vAlign w:val="center"/>
          </w:tcPr>
          <w:p w14:paraId="054F7447" w14:textId="77777777" w:rsidR="008017E1" w:rsidRPr="00843C43" w:rsidRDefault="008017E1" w:rsidP="008017E1">
            <w:pPr>
              <w:adjustRightInd w:val="0"/>
              <w:snapToGrid w:val="0"/>
              <w:jc w:val="center"/>
              <w:rPr>
                <w:rFonts w:ascii="Times New Roman" w:hAnsi="Times New Roman" w:cs="Times New Roman"/>
                <w:b/>
                <w:bCs/>
              </w:rPr>
            </w:pPr>
            <w:r w:rsidRPr="00843C43">
              <w:rPr>
                <w:rFonts w:ascii="Times New Roman" w:hAnsi="Times New Roman" w:cs="Times New Roman"/>
                <w:b/>
                <w:bCs/>
              </w:rPr>
              <w:t>Value 4</w:t>
            </w:r>
          </w:p>
        </w:tc>
      </w:tr>
      <w:tr w:rsidR="008017E1" w:rsidRPr="00843C43" w14:paraId="13C4D5C9" w14:textId="77777777" w:rsidTr="008017E1">
        <w:tc>
          <w:tcPr>
            <w:tcW w:w="1467" w:type="pct"/>
          </w:tcPr>
          <w:p w14:paraId="489EC1F4" w14:textId="77777777" w:rsidR="008017E1" w:rsidRPr="00843C43" w:rsidRDefault="008017E1" w:rsidP="008017E1">
            <w:pPr>
              <w:adjustRightInd w:val="0"/>
              <w:snapToGrid w:val="0"/>
              <w:rPr>
                <w:rFonts w:ascii="Times New Roman" w:hAnsi="Times New Roman" w:cs="Times New Roman"/>
              </w:rPr>
            </w:pPr>
            <w:r w:rsidRPr="00843C43">
              <w:rPr>
                <w:rFonts w:ascii="Times New Roman" w:hAnsi="Times New Roman" w:cs="Times New Roman"/>
              </w:rPr>
              <w:t>Steepness</w:t>
            </w:r>
          </w:p>
        </w:tc>
        <w:tc>
          <w:tcPr>
            <w:tcW w:w="883" w:type="pct"/>
            <w:vAlign w:val="center"/>
          </w:tcPr>
          <w:p w14:paraId="0D8399B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0.65</w:t>
            </w:r>
          </w:p>
        </w:tc>
        <w:tc>
          <w:tcPr>
            <w:tcW w:w="883" w:type="pct"/>
            <w:vAlign w:val="center"/>
          </w:tcPr>
          <w:p w14:paraId="0CABCBE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0.8 *</w:t>
            </w:r>
          </w:p>
        </w:tc>
        <w:tc>
          <w:tcPr>
            <w:tcW w:w="883" w:type="pct"/>
            <w:vAlign w:val="center"/>
          </w:tcPr>
          <w:p w14:paraId="35BB3EE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0.95</w:t>
            </w:r>
          </w:p>
        </w:tc>
        <w:tc>
          <w:tcPr>
            <w:tcW w:w="883" w:type="pct"/>
            <w:vAlign w:val="center"/>
          </w:tcPr>
          <w:p w14:paraId="6B681A46" w14:textId="77777777" w:rsidR="008017E1" w:rsidRPr="00843C43" w:rsidRDefault="008017E1" w:rsidP="008017E1">
            <w:pPr>
              <w:adjustRightInd w:val="0"/>
              <w:snapToGrid w:val="0"/>
              <w:jc w:val="center"/>
              <w:rPr>
                <w:rFonts w:ascii="Times New Roman" w:hAnsi="Times New Roman" w:cs="Times New Roman"/>
              </w:rPr>
            </w:pPr>
          </w:p>
        </w:tc>
      </w:tr>
      <w:tr w:rsidR="008017E1" w:rsidRPr="00843C43" w14:paraId="0A5660A0" w14:textId="77777777" w:rsidTr="008017E1">
        <w:tc>
          <w:tcPr>
            <w:tcW w:w="1467" w:type="pct"/>
          </w:tcPr>
          <w:p w14:paraId="014A384B" w14:textId="77777777" w:rsidR="008017E1" w:rsidRPr="00843C43" w:rsidRDefault="008017E1" w:rsidP="008017E1">
            <w:pPr>
              <w:adjustRightInd w:val="0"/>
              <w:snapToGrid w:val="0"/>
              <w:rPr>
                <w:rFonts w:ascii="Times New Roman" w:hAnsi="Times New Roman" w:cs="Times New Roman"/>
              </w:rPr>
            </w:pPr>
            <w:bookmarkStart w:id="1" w:name="_Hlk49516489"/>
            <w:r w:rsidRPr="00843C43">
              <w:rPr>
                <w:rFonts w:ascii="Times New Roman" w:hAnsi="Times New Roman" w:cs="Times New Roman"/>
              </w:rPr>
              <w:t>Natural mortality</w:t>
            </w:r>
          </w:p>
        </w:tc>
        <w:tc>
          <w:tcPr>
            <w:tcW w:w="883" w:type="pct"/>
            <w:vAlign w:val="center"/>
          </w:tcPr>
          <w:p w14:paraId="175E5889"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Diagnostic* (0.112)</w:t>
            </w:r>
          </w:p>
        </w:tc>
        <w:tc>
          <w:tcPr>
            <w:tcW w:w="883" w:type="pct"/>
            <w:vAlign w:val="center"/>
          </w:tcPr>
          <w:p w14:paraId="1977379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M-hi</w:t>
            </w:r>
          </w:p>
          <w:p w14:paraId="0D9C8D90"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(0.146)</w:t>
            </w:r>
          </w:p>
        </w:tc>
        <w:tc>
          <w:tcPr>
            <w:tcW w:w="883" w:type="pct"/>
            <w:vAlign w:val="center"/>
          </w:tcPr>
          <w:p w14:paraId="49EF8625" w14:textId="77777777" w:rsidR="008017E1" w:rsidRPr="00843C43" w:rsidRDefault="008017E1" w:rsidP="008017E1">
            <w:pPr>
              <w:adjustRightInd w:val="0"/>
              <w:snapToGrid w:val="0"/>
              <w:jc w:val="center"/>
              <w:rPr>
                <w:rFonts w:ascii="Times New Roman" w:hAnsi="Times New Roman" w:cs="Times New Roman"/>
              </w:rPr>
            </w:pPr>
          </w:p>
        </w:tc>
        <w:tc>
          <w:tcPr>
            <w:tcW w:w="883" w:type="pct"/>
            <w:vAlign w:val="center"/>
          </w:tcPr>
          <w:p w14:paraId="04FA1DD0" w14:textId="77777777" w:rsidR="008017E1" w:rsidRPr="00843C43" w:rsidRDefault="008017E1" w:rsidP="008017E1">
            <w:pPr>
              <w:adjustRightInd w:val="0"/>
              <w:snapToGrid w:val="0"/>
              <w:jc w:val="center"/>
              <w:rPr>
                <w:rFonts w:ascii="Times New Roman" w:hAnsi="Times New Roman" w:cs="Times New Roman"/>
              </w:rPr>
            </w:pPr>
          </w:p>
        </w:tc>
      </w:tr>
      <w:bookmarkEnd w:id="1"/>
      <w:tr w:rsidR="008017E1" w:rsidRPr="00843C43" w14:paraId="4EF701EE" w14:textId="77777777" w:rsidTr="008017E1">
        <w:tc>
          <w:tcPr>
            <w:tcW w:w="1467" w:type="pct"/>
          </w:tcPr>
          <w:p w14:paraId="2EC5861C" w14:textId="77777777" w:rsidR="008017E1" w:rsidRPr="00843C43" w:rsidRDefault="008017E1" w:rsidP="008017E1">
            <w:pPr>
              <w:adjustRightInd w:val="0"/>
              <w:snapToGrid w:val="0"/>
              <w:rPr>
                <w:rFonts w:ascii="Times New Roman" w:hAnsi="Times New Roman" w:cs="Times New Roman"/>
              </w:rPr>
            </w:pPr>
            <w:r w:rsidRPr="00843C43">
              <w:rPr>
                <w:rFonts w:ascii="Times New Roman" w:hAnsi="Times New Roman" w:cs="Times New Roman"/>
              </w:rPr>
              <w:t>Size frequency weighting</w:t>
            </w:r>
          </w:p>
        </w:tc>
        <w:tc>
          <w:tcPr>
            <w:tcW w:w="883" w:type="pct"/>
            <w:vAlign w:val="center"/>
          </w:tcPr>
          <w:p w14:paraId="6AB6AB8C"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20*</w:t>
            </w:r>
          </w:p>
        </w:tc>
        <w:tc>
          <w:tcPr>
            <w:tcW w:w="883" w:type="pct"/>
            <w:vAlign w:val="center"/>
          </w:tcPr>
          <w:p w14:paraId="7CE00FB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60</w:t>
            </w:r>
          </w:p>
        </w:tc>
        <w:tc>
          <w:tcPr>
            <w:tcW w:w="883" w:type="pct"/>
            <w:vAlign w:val="center"/>
          </w:tcPr>
          <w:p w14:paraId="3AC7FB55"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200</w:t>
            </w:r>
          </w:p>
        </w:tc>
        <w:tc>
          <w:tcPr>
            <w:tcW w:w="883" w:type="pct"/>
            <w:vAlign w:val="center"/>
          </w:tcPr>
          <w:p w14:paraId="2501BE8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rPr>
              <w:t>500</w:t>
            </w:r>
          </w:p>
        </w:tc>
      </w:tr>
    </w:tbl>
    <w:p w14:paraId="7511ECD6" w14:textId="77777777" w:rsidR="008017E1" w:rsidRPr="00843C43" w:rsidRDefault="008017E1" w:rsidP="008017E1">
      <w:pPr>
        <w:adjustRightInd w:val="0"/>
        <w:snapToGrid w:val="0"/>
        <w:jc w:val="center"/>
        <w:rPr>
          <w:rFonts w:ascii="Times New Roman" w:hAnsi="Times New Roman" w:cs="Times New Roman"/>
        </w:rPr>
      </w:pPr>
    </w:p>
    <w:p w14:paraId="4BB7C4BA" w14:textId="77777777" w:rsidR="008017E1" w:rsidRPr="00843C43" w:rsidRDefault="008017E1" w:rsidP="008017E1">
      <w:pPr>
        <w:adjustRightInd w:val="0"/>
        <w:snapToGrid w:val="0"/>
        <w:jc w:val="both"/>
        <w:rPr>
          <w:rFonts w:ascii="Times New Roman" w:hAnsi="Times New Roman" w:cs="Times New Roman"/>
        </w:rPr>
      </w:pPr>
      <w:r w:rsidRPr="00843C43">
        <w:rPr>
          <w:rFonts w:ascii="Times New Roman" w:hAnsi="Times New Roman" w:cs="Times New Roman"/>
          <w:b/>
          <w:bCs/>
        </w:rPr>
        <w:lastRenderedPageBreak/>
        <w:t xml:space="preserve">Table BET-2. </w:t>
      </w:r>
      <w:r w:rsidRPr="00843C43">
        <w:rPr>
          <w:rFonts w:ascii="Times New Roman" w:hAnsi="Times New Roman" w:cs="Times New Roman"/>
        </w:rPr>
        <w:t xml:space="preserve">Summary of reference points over the 24 models in the structural uncertainty grid. Note that “recent” is the average over the period 2015-2018 for SB and 2014-2017 for fishing mortality, while “latest” is 2018. The values of the upper 90th and lower 10th percentiles of the empirical distributions are also shown.  </w:t>
      </w:r>
      <w:proofErr w:type="spellStart"/>
      <w:r w:rsidRPr="00843C43">
        <w:rPr>
          <w:rFonts w:ascii="Times New Roman" w:hAnsi="Times New Roman" w:cs="Times New Roman"/>
        </w:rPr>
        <w:t>F</w:t>
      </w:r>
      <w:r w:rsidRPr="00843C43">
        <w:rPr>
          <w:rFonts w:ascii="Times New Roman" w:hAnsi="Times New Roman" w:cs="Times New Roman"/>
          <w:vertAlign w:val="subscript"/>
        </w:rPr>
        <w:t>mult</w:t>
      </w:r>
      <w:proofErr w:type="spellEnd"/>
      <w:r w:rsidRPr="00843C43">
        <w:rPr>
          <w:rFonts w:ascii="Times New Roman" w:hAnsi="Times New Roman" w:cs="Times New Roman"/>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17"/>
        <w:gridCol w:w="1164"/>
        <w:gridCol w:w="1164"/>
        <w:gridCol w:w="1176"/>
        <w:gridCol w:w="1489"/>
        <w:gridCol w:w="1544"/>
        <w:gridCol w:w="1206"/>
      </w:tblGrid>
      <w:tr w:rsidR="008017E1" w:rsidRPr="00843C43" w14:paraId="54E7107C" w14:textId="77777777" w:rsidTr="008017E1">
        <w:trPr>
          <w:trHeight w:val="377"/>
        </w:trPr>
        <w:tc>
          <w:tcPr>
            <w:tcW w:w="883" w:type="pct"/>
            <w:tcBorders>
              <w:top w:val="single" w:sz="4" w:space="0" w:color="auto"/>
              <w:bottom w:val="single" w:sz="4" w:space="0" w:color="auto"/>
            </w:tcBorders>
            <w:shd w:val="clear" w:color="auto" w:fill="D9D9D9" w:themeFill="background1" w:themeFillShade="D9"/>
            <w:noWrap/>
            <w:vAlign w:val="center"/>
          </w:tcPr>
          <w:p w14:paraId="6402FE7E"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p>
        </w:tc>
        <w:tc>
          <w:tcPr>
            <w:tcW w:w="641" w:type="pct"/>
            <w:tcBorders>
              <w:top w:val="single" w:sz="4" w:space="0" w:color="auto"/>
              <w:bottom w:val="single" w:sz="4" w:space="0" w:color="auto"/>
            </w:tcBorders>
            <w:shd w:val="clear" w:color="auto" w:fill="D9D9D9" w:themeFill="background1" w:themeFillShade="D9"/>
            <w:noWrap/>
            <w:vAlign w:val="center"/>
          </w:tcPr>
          <w:p w14:paraId="61EA0954"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Mean</w:t>
            </w:r>
          </w:p>
        </w:tc>
        <w:tc>
          <w:tcPr>
            <w:tcW w:w="641" w:type="pct"/>
            <w:tcBorders>
              <w:top w:val="single" w:sz="4" w:space="0" w:color="auto"/>
              <w:bottom w:val="single" w:sz="4" w:space="0" w:color="auto"/>
            </w:tcBorders>
            <w:shd w:val="clear" w:color="auto" w:fill="D9D9D9" w:themeFill="background1" w:themeFillShade="D9"/>
            <w:noWrap/>
            <w:vAlign w:val="center"/>
          </w:tcPr>
          <w:p w14:paraId="6A74C862"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Median</w:t>
            </w:r>
          </w:p>
        </w:tc>
        <w:tc>
          <w:tcPr>
            <w:tcW w:w="647" w:type="pct"/>
            <w:tcBorders>
              <w:top w:val="single" w:sz="4" w:space="0" w:color="auto"/>
              <w:bottom w:val="single" w:sz="4" w:space="0" w:color="auto"/>
            </w:tcBorders>
            <w:shd w:val="clear" w:color="auto" w:fill="D9D9D9" w:themeFill="background1" w:themeFillShade="D9"/>
            <w:noWrap/>
            <w:vAlign w:val="center"/>
          </w:tcPr>
          <w:p w14:paraId="1D3854E2"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Minimum</w:t>
            </w:r>
          </w:p>
        </w:tc>
        <w:tc>
          <w:tcPr>
            <w:tcW w:w="789" w:type="pct"/>
            <w:tcBorders>
              <w:top w:val="single" w:sz="4" w:space="0" w:color="auto"/>
              <w:bottom w:val="single" w:sz="4" w:space="0" w:color="auto"/>
            </w:tcBorders>
            <w:shd w:val="clear" w:color="auto" w:fill="D9D9D9" w:themeFill="background1" w:themeFillShade="D9"/>
            <w:noWrap/>
            <w:vAlign w:val="center"/>
          </w:tcPr>
          <w:p w14:paraId="151D308E"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10</w:t>
            </w:r>
            <w:r w:rsidRPr="00843C43">
              <w:rPr>
                <w:rFonts w:ascii="Times New Roman" w:hAnsi="Times New Roman" w:cs="Times New Roman"/>
                <w:b/>
                <w:bCs/>
                <w:color w:val="000000"/>
                <w:vertAlign w:val="superscript"/>
                <w:lang w:eastAsia="en-AU"/>
              </w:rPr>
              <w:t>th</w:t>
            </w:r>
            <w:r w:rsidRPr="00843C43">
              <w:rPr>
                <w:rFonts w:ascii="Times New Roman" w:hAnsi="Times New Roman" w:cs="Times New Roman"/>
                <w:b/>
                <w:bCs/>
                <w:color w:val="000000"/>
                <w:lang w:eastAsia="en-AU"/>
              </w:rPr>
              <w:t>percentile</w:t>
            </w:r>
          </w:p>
        </w:tc>
        <w:tc>
          <w:tcPr>
            <w:tcW w:w="735" w:type="pct"/>
            <w:tcBorders>
              <w:top w:val="single" w:sz="4" w:space="0" w:color="auto"/>
              <w:bottom w:val="single" w:sz="4" w:space="0" w:color="auto"/>
            </w:tcBorders>
            <w:shd w:val="clear" w:color="auto" w:fill="D9D9D9" w:themeFill="background1" w:themeFillShade="D9"/>
            <w:noWrap/>
            <w:vAlign w:val="center"/>
          </w:tcPr>
          <w:p w14:paraId="1BDC71E2"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90</w:t>
            </w:r>
            <w:r w:rsidRPr="00843C43">
              <w:rPr>
                <w:rFonts w:ascii="Times New Roman" w:hAnsi="Times New Roman" w:cs="Times New Roman"/>
                <w:b/>
                <w:bCs/>
                <w:color w:val="000000"/>
                <w:vertAlign w:val="superscript"/>
                <w:lang w:eastAsia="en-AU"/>
              </w:rPr>
              <w:t>th</w:t>
            </w:r>
            <w:r w:rsidRPr="00843C43">
              <w:rPr>
                <w:rFonts w:ascii="Times New Roman" w:hAnsi="Times New Roman" w:cs="Times New Roman"/>
                <w:b/>
                <w:bCs/>
                <w:color w:val="000000"/>
                <w:lang w:eastAsia="en-AU"/>
              </w:rPr>
              <w:t xml:space="preserve"> percentile</w:t>
            </w:r>
          </w:p>
        </w:tc>
        <w:tc>
          <w:tcPr>
            <w:tcW w:w="663" w:type="pct"/>
            <w:tcBorders>
              <w:top w:val="single" w:sz="4" w:space="0" w:color="auto"/>
              <w:bottom w:val="single" w:sz="4" w:space="0" w:color="auto"/>
            </w:tcBorders>
            <w:shd w:val="clear" w:color="auto" w:fill="D9D9D9" w:themeFill="background1" w:themeFillShade="D9"/>
            <w:noWrap/>
            <w:vAlign w:val="center"/>
            <w:hideMark/>
          </w:tcPr>
          <w:p w14:paraId="7309AAB7" w14:textId="77777777" w:rsidR="008017E1" w:rsidRPr="00843C43" w:rsidRDefault="008017E1" w:rsidP="008017E1">
            <w:pPr>
              <w:adjustRightInd w:val="0"/>
              <w:snapToGrid w:val="0"/>
              <w:jc w:val="center"/>
              <w:rPr>
                <w:rFonts w:ascii="Times New Roman" w:hAnsi="Times New Roman" w:cs="Times New Roman"/>
                <w:b/>
                <w:bCs/>
                <w:color w:val="000000"/>
                <w:lang w:eastAsia="en-AU"/>
              </w:rPr>
            </w:pPr>
            <w:r w:rsidRPr="00843C43">
              <w:rPr>
                <w:rFonts w:ascii="Times New Roman" w:hAnsi="Times New Roman" w:cs="Times New Roman"/>
                <w:b/>
                <w:bCs/>
                <w:color w:val="000000"/>
                <w:lang w:eastAsia="en-AU"/>
              </w:rPr>
              <w:t>Maximum</w:t>
            </w:r>
          </w:p>
        </w:tc>
      </w:tr>
      <w:tr w:rsidR="008017E1" w:rsidRPr="00843C43" w14:paraId="7471C7B2" w14:textId="77777777" w:rsidTr="008017E1">
        <w:trPr>
          <w:trHeight w:val="284"/>
        </w:trPr>
        <w:tc>
          <w:tcPr>
            <w:tcW w:w="883" w:type="pct"/>
            <w:tcBorders>
              <w:top w:val="single" w:sz="4" w:space="0" w:color="auto"/>
            </w:tcBorders>
            <w:shd w:val="clear" w:color="auto" w:fill="auto"/>
            <w:noWrap/>
            <w:vAlign w:val="bottom"/>
            <w:hideMark/>
          </w:tcPr>
          <w:p w14:paraId="3F70555D" w14:textId="77777777" w:rsidR="008017E1" w:rsidRPr="00843C43" w:rsidRDefault="008017E1" w:rsidP="008017E1">
            <w:pPr>
              <w:adjustRightInd w:val="0"/>
              <w:snapToGrid w:val="0"/>
              <w:rPr>
                <w:rFonts w:ascii="Times New Roman" w:hAnsi="Times New Roman" w:cs="Times New Roman"/>
                <w:color w:val="000000"/>
                <w:lang w:eastAsia="en-AU"/>
              </w:rPr>
            </w:pPr>
            <w:proofErr w:type="spellStart"/>
            <w:r w:rsidRPr="00843C43">
              <w:rPr>
                <w:rFonts w:ascii="Times New Roman" w:hAnsi="Times New Roman" w:cs="Times New Roman"/>
                <w:color w:val="000000"/>
                <w:lang w:eastAsia="en-AU"/>
              </w:rPr>
              <w:t>C</w:t>
            </w:r>
            <w:r w:rsidRPr="00843C43">
              <w:rPr>
                <w:rFonts w:ascii="Times New Roman" w:hAnsi="Times New Roman" w:cs="Times New Roman"/>
                <w:color w:val="000000"/>
                <w:vertAlign w:val="subscript"/>
                <w:lang w:eastAsia="en-AU"/>
              </w:rPr>
              <w:t>latest</w:t>
            </w:r>
            <w:proofErr w:type="spellEnd"/>
          </w:p>
        </w:tc>
        <w:tc>
          <w:tcPr>
            <w:tcW w:w="641" w:type="pct"/>
            <w:tcBorders>
              <w:top w:val="nil"/>
              <w:left w:val="nil"/>
              <w:bottom w:val="nil"/>
              <w:right w:val="nil"/>
            </w:tcBorders>
            <w:shd w:val="clear" w:color="auto" w:fill="auto"/>
            <w:noWrap/>
            <w:vAlign w:val="bottom"/>
          </w:tcPr>
          <w:p w14:paraId="5387B55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159,738</w:t>
            </w:r>
          </w:p>
        </w:tc>
        <w:tc>
          <w:tcPr>
            <w:tcW w:w="641" w:type="pct"/>
            <w:tcBorders>
              <w:top w:val="nil"/>
              <w:left w:val="nil"/>
              <w:bottom w:val="nil"/>
              <w:right w:val="nil"/>
            </w:tcBorders>
            <w:shd w:val="clear" w:color="auto" w:fill="auto"/>
            <w:noWrap/>
            <w:vAlign w:val="bottom"/>
          </w:tcPr>
          <w:p w14:paraId="18449B4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159,288</w:t>
            </w:r>
          </w:p>
        </w:tc>
        <w:tc>
          <w:tcPr>
            <w:tcW w:w="647" w:type="pct"/>
            <w:tcBorders>
              <w:top w:val="nil"/>
              <w:left w:val="nil"/>
              <w:bottom w:val="nil"/>
              <w:right w:val="nil"/>
            </w:tcBorders>
            <w:shd w:val="clear" w:color="auto" w:fill="auto"/>
            <w:noWrap/>
            <w:vAlign w:val="bottom"/>
          </w:tcPr>
          <w:p w14:paraId="1B06CAD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157,297</w:t>
            </w:r>
          </w:p>
        </w:tc>
        <w:tc>
          <w:tcPr>
            <w:tcW w:w="789" w:type="pct"/>
            <w:tcBorders>
              <w:top w:val="nil"/>
              <w:left w:val="nil"/>
              <w:bottom w:val="nil"/>
              <w:right w:val="nil"/>
            </w:tcBorders>
            <w:shd w:val="clear" w:color="auto" w:fill="auto"/>
            <w:noWrap/>
            <w:vAlign w:val="bottom"/>
          </w:tcPr>
          <w:p w14:paraId="6EA15DB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157,722</w:t>
            </w:r>
          </w:p>
        </w:tc>
        <w:tc>
          <w:tcPr>
            <w:tcW w:w="735" w:type="pct"/>
            <w:tcBorders>
              <w:top w:val="nil"/>
              <w:left w:val="nil"/>
              <w:bottom w:val="nil"/>
              <w:right w:val="nil"/>
            </w:tcBorders>
            <w:shd w:val="clear" w:color="auto" w:fill="auto"/>
            <w:noWrap/>
            <w:vAlign w:val="bottom"/>
          </w:tcPr>
          <w:p w14:paraId="3F95491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162,033</w:t>
            </w:r>
          </w:p>
        </w:tc>
        <w:tc>
          <w:tcPr>
            <w:tcW w:w="663" w:type="pct"/>
            <w:tcBorders>
              <w:top w:val="nil"/>
              <w:left w:val="nil"/>
              <w:bottom w:val="nil"/>
              <w:right w:val="nil"/>
            </w:tcBorders>
            <w:shd w:val="clear" w:color="auto" w:fill="auto"/>
            <w:noWrap/>
            <w:vAlign w:val="bottom"/>
          </w:tcPr>
          <w:p w14:paraId="5D21CAE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162,271</w:t>
            </w:r>
          </w:p>
        </w:tc>
      </w:tr>
      <w:tr w:rsidR="008017E1" w:rsidRPr="00843C43" w14:paraId="53FFA63D" w14:textId="77777777" w:rsidTr="008017E1">
        <w:trPr>
          <w:trHeight w:val="284"/>
        </w:trPr>
        <w:tc>
          <w:tcPr>
            <w:tcW w:w="883" w:type="pct"/>
            <w:shd w:val="clear" w:color="auto" w:fill="auto"/>
            <w:noWrap/>
            <w:vAlign w:val="bottom"/>
            <w:hideMark/>
          </w:tcPr>
          <w:p w14:paraId="4C06F851" w14:textId="77777777" w:rsidR="008017E1" w:rsidRPr="00843C43" w:rsidRDefault="008017E1" w:rsidP="008017E1">
            <w:pPr>
              <w:adjustRightInd w:val="0"/>
              <w:snapToGrid w:val="0"/>
              <w:rPr>
                <w:rFonts w:ascii="Times New Roman" w:hAnsi="Times New Roman" w:cs="Times New Roman"/>
                <w:color w:val="000000"/>
                <w:lang w:eastAsia="en-AU"/>
              </w:rPr>
            </w:pPr>
            <w:proofErr w:type="spellStart"/>
            <w:r w:rsidRPr="00843C43">
              <w:rPr>
                <w:rFonts w:ascii="Times New Roman" w:hAnsi="Times New Roman" w:cs="Times New Roman"/>
                <w:color w:val="000000"/>
                <w:lang w:eastAsia="en-AU"/>
              </w:rPr>
              <w:t>Y</w:t>
            </w:r>
            <w:r w:rsidRPr="00843C43">
              <w:rPr>
                <w:rFonts w:ascii="Times New Roman" w:hAnsi="Times New Roman" w:cs="Times New Roman"/>
                <w:color w:val="000000"/>
                <w:vertAlign w:val="subscript"/>
                <w:lang w:eastAsia="en-AU"/>
              </w:rPr>
              <w:t>Frecent</w:t>
            </w:r>
            <w:proofErr w:type="spellEnd"/>
          </w:p>
        </w:tc>
        <w:tc>
          <w:tcPr>
            <w:tcW w:w="641" w:type="pct"/>
            <w:tcBorders>
              <w:top w:val="nil"/>
              <w:left w:val="nil"/>
              <w:bottom w:val="nil"/>
              <w:right w:val="nil"/>
            </w:tcBorders>
            <w:shd w:val="clear" w:color="auto" w:fill="auto"/>
            <w:noWrap/>
            <w:vAlign w:val="bottom"/>
          </w:tcPr>
          <w:p w14:paraId="4271109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136,568</w:t>
            </w:r>
          </w:p>
        </w:tc>
        <w:tc>
          <w:tcPr>
            <w:tcW w:w="641" w:type="pct"/>
            <w:tcBorders>
              <w:top w:val="nil"/>
              <w:left w:val="nil"/>
              <w:bottom w:val="nil"/>
              <w:right w:val="nil"/>
            </w:tcBorders>
            <w:shd w:val="clear" w:color="auto" w:fill="auto"/>
            <w:noWrap/>
            <w:vAlign w:val="bottom"/>
          </w:tcPr>
          <w:p w14:paraId="06976B6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134,940</w:t>
            </w:r>
          </w:p>
        </w:tc>
        <w:tc>
          <w:tcPr>
            <w:tcW w:w="647" w:type="pct"/>
            <w:tcBorders>
              <w:top w:val="nil"/>
              <w:left w:val="nil"/>
              <w:bottom w:val="nil"/>
              <w:right w:val="nil"/>
            </w:tcBorders>
            <w:shd w:val="clear" w:color="auto" w:fill="auto"/>
            <w:noWrap/>
            <w:vAlign w:val="bottom"/>
          </w:tcPr>
          <w:p w14:paraId="79FFCE0A"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117,800</w:t>
            </w:r>
          </w:p>
        </w:tc>
        <w:tc>
          <w:tcPr>
            <w:tcW w:w="789" w:type="pct"/>
            <w:tcBorders>
              <w:top w:val="nil"/>
              <w:left w:val="nil"/>
              <w:bottom w:val="nil"/>
              <w:right w:val="nil"/>
            </w:tcBorders>
            <w:shd w:val="clear" w:color="auto" w:fill="auto"/>
            <w:noWrap/>
            <w:vAlign w:val="bottom"/>
          </w:tcPr>
          <w:p w14:paraId="6590595B"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124,668</w:t>
            </w:r>
          </w:p>
        </w:tc>
        <w:tc>
          <w:tcPr>
            <w:tcW w:w="735" w:type="pct"/>
            <w:tcBorders>
              <w:top w:val="nil"/>
              <w:left w:val="nil"/>
              <w:bottom w:val="nil"/>
              <w:right w:val="nil"/>
            </w:tcBorders>
            <w:shd w:val="clear" w:color="auto" w:fill="auto"/>
            <w:noWrap/>
            <w:vAlign w:val="bottom"/>
          </w:tcPr>
          <w:p w14:paraId="6DC0DE7C"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149,424</w:t>
            </w:r>
          </w:p>
        </w:tc>
        <w:tc>
          <w:tcPr>
            <w:tcW w:w="663" w:type="pct"/>
            <w:tcBorders>
              <w:top w:val="nil"/>
              <w:left w:val="nil"/>
              <w:bottom w:val="nil"/>
              <w:right w:val="nil"/>
            </w:tcBorders>
            <w:shd w:val="clear" w:color="auto" w:fill="auto"/>
            <w:noWrap/>
            <w:vAlign w:val="bottom"/>
          </w:tcPr>
          <w:p w14:paraId="1B24208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161,520</w:t>
            </w:r>
          </w:p>
        </w:tc>
      </w:tr>
      <w:tr w:rsidR="008017E1" w:rsidRPr="00843C43" w14:paraId="5CF5C8BE" w14:textId="77777777" w:rsidTr="008017E1">
        <w:trPr>
          <w:trHeight w:val="284"/>
        </w:trPr>
        <w:tc>
          <w:tcPr>
            <w:tcW w:w="883" w:type="pct"/>
            <w:shd w:val="clear" w:color="auto" w:fill="auto"/>
            <w:noWrap/>
            <w:vAlign w:val="bottom"/>
            <w:hideMark/>
          </w:tcPr>
          <w:p w14:paraId="119966E7" w14:textId="77777777" w:rsidR="008017E1" w:rsidRPr="00843C43" w:rsidRDefault="008017E1" w:rsidP="008017E1">
            <w:pPr>
              <w:adjustRightInd w:val="0"/>
              <w:snapToGrid w:val="0"/>
              <w:rPr>
                <w:rFonts w:ascii="Times New Roman" w:hAnsi="Times New Roman" w:cs="Times New Roman"/>
                <w:color w:val="000000"/>
                <w:lang w:eastAsia="en-AU"/>
              </w:rPr>
            </w:pPr>
            <w:proofErr w:type="spellStart"/>
            <w:r w:rsidRPr="00843C43">
              <w:rPr>
                <w:rFonts w:ascii="Times New Roman" w:hAnsi="Times New Roman" w:cs="Times New Roman"/>
                <w:color w:val="000000"/>
                <w:lang w:eastAsia="en-AU"/>
              </w:rPr>
              <w:t>f</w:t>
            </w:r>
            <w:r w:rsidRPr="00843C43">
              <w:rPr>
                <w:rFonts w:ascii="Times New Roman" w:hAnsi="Times New Roman" w:cs="Times New Roman"/>
                <w:color w:val="000000"/>
                <w:vertAlign w:val="subscript"/>
                <w:lang w:eastAsia="en-AU"/>
              </w:rPr>
              <w:t>mult</w:t>
            </w:r>
            <w:proofErr w:type="spellEnd"/>
          </w:p>
        </w:tc>
        <w:tc>
          <w:tcPr>
            <w:tcW w:w="641" w:type="pct"/>
            <w:tcBorders>
              <w:top w:val="nil"/>
              <w:left w:val="nil"/>
              <w:bottom w:val="nil"/>
              <w:right w:val="nil"/>
            </w:tcBorders>
            <w:shd w:val="clear" w:color="auto" w:fill="auto"/>
            <w:noWrap/>
            <w:vAlign w:val="bottom"/>
          </w:tcPr>
          <w:p w14:paraId="450D5F3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1.45</w:t>
            </w:r>
          </w:p>
        </w:tc>
        <w:tc>
          <w:tcPr>
            <w:tcW w:w="641" w:type="pct"/>
            <w:tcBorders>
              <w:top w:val="nil"/>
              <w:left w:val="nil"/>
              <w:bottom w:val="nil"/>
              <w:right w:val="nil"/>
            </w:tcBorders>
            <w:shd w:val="clear" w:color="auto" w:fill="auto"/>
            <w:noWrap/>
            <w:vAlign w:val="bottom"/>
          </w:tcPr>
          <w:p w14:paraId="2D0BB7A0"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1.38</w:t>
            </w:r>
          </w:p>
        </w:tc>
        <w:tc>
          <w:tcPr>
            <w:tcW w:w="647" w:type="pct"/>
            <w:tcBorders>
              <w:top w:val="nil"/>
              <w:left w:val="nil"/>
              <w:bottom w:val="nil"/>
              <w:right w:val="nil"/>
            </w:tcBorders>
            <w:shd w:val="clear" w:color="auto" w:fill="auto"/>
            <w:noWrap/>
            <w:vAlign w:val="bottom"/>
          </w:tcPr>
          <w:p w14:paraId="35903065"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0.83</w:t>
            </w:r>
          </w:p>
        </w:tc>
        <w:tc>
          <w:tcPr>
            <w:tcW w:w="789" w:type="pct"/>
            <w:tcBorders>
              <w:top w:val="nil"/>
              <w:left w:val="nil"/>
              <w:bottom w:val="nil"/>
              <w:right w:val="nil"/>
            </w:tcBorders>
            <w:shd w:val="clear" w:color="auto" w:fill="auto"/>
            <w:noWrap/>
            <w:vAlign w:val="bottom"/>
          </w:tcPr>
          <w:p w14:paraId="779D602A"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0.98</w:t>
            </w:r>
          </w:p>
        </w:tc>
        <w:tc>
          <w:tcPr>
            <w:tcW w:w="735" w:type="pct"/>
            <w:tcBorders>
              <w:top w:val="nil"/>
              <w:left w:val="nil"/>
              <w:bottom w:val="nil"/>
              <w:right w:val="nil"/>
            </w:tcBorders>
            <w:shd w:val="clear" w:color="auto" w:fill="auto"/>
            <w:noWrap/>
            <w:vAlign w:val="bottom"/>
          </w:tcPr>
          <w:p w14:paraId="6B7F246A"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2.03</w:t>
            </w:r>
          </w:p>
        </w:tc>
        <w:tc>
          <w:tcPr>
            <w:tcW w:w="663" w:type="pct"/>
            <w:tcBorders>
              <w:top w:val="nil"/>
              <w:left w:val="nil"/>
              <w:bottom w:val="nil"/>
              <w:right w:val="nil"/>
            </w:tcBorders>
            <w:shd w:val="clear" w:color="auto" w:fill="auto"/>
            <w:noWrap/>
            <w:vAlign w:val="bottom"/>
          </w:tcPr>
          <w:p w14:paraId="07A4EBC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2.33</w:t>
            </w:r>
          </w:p>
        </w:tc>
      </w:tr>
      <w:tr w:rsidR="008017E1" w:rsidRPr="00843C43" w14:paraId="297B23EF" w14:textId="77777777" w:rsidTr="008017E1">
        <w:trPr>
          <w:trHeight w:val="284"/>
        </w:trPr>
        <w:tc>
          <w:tcPr>
            <w:tcW w:w="883" w:type="pct"/>
            <w:shd w:val="clear" w:color="auto" w:fill="auto"/>
            <w:noWrap/>
            <w:vAlign w:val="bottom"/>
            <w:hideMark/>
          </w:tcPr>
          <w:p w14:paraId="5C231B9B"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F</w:t>
            </w:r>
            <w:r w:rsidRPr="00843C43">
              <w:rPr>
                <w:rFonts w:ascii="Times New Roman" w:hAnsi="Times New Roman" w:cs="Times New Roman"/>
                <w:color w:val="000000"/>
                <w:vertAlign w:val="subscript"/>
                <w:lang w:eastAsia="en-AU"/>
              </w:rPr>
              <w:t>MSY</w:t>
            </w:r>
          </w:p>
        </w:tc>
        <w:tc>
          <w:tcPr>
            <w:tcW w:w="641" w:type="pct"/>
            <w:tcBorders>
              <w:top w:val="nil"/>
              <w:left w:val="nil"/>
              <w:bottom w:val="nil"/>
              <w:right w:val="nil"/>
            </w:tcBorders>
            <w:shd w:val="clear" w:color="auto" w:fill="auto"/>
            <w:noWrap/>
            <w:vAlign w:val="bottom"/>
          </w:tcPr>
          <w:p w14:paraId="49E6E97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0.05</w:t>
            </w:r>
          </w:p>
        </w:tc>
        <w:tc>
          <w:tcPr>
            <w:tcW w:w="641" w:type="pct"/>
            <w:tcBorders>
              <w:top w:val="nil"/>
              <w:left w:val="nil"/>
              <w:bottom w:val="nil"/>
              <w:right w:val="nil"/>
            </w:tcBorders>
            <w:shd w:val="clear" w:color="auto" w:fill="auto"/>
            <w:noWrap/>
            <w:vAlign w:val="bottom"/>
          </w:tcPr>
          <w:p w14:paraId="3A966F9D"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0.05</w:t>
            </w:r>
          </w:p>
        </w:tc>
        <w:tc>
          <w:tcPr>
            <w:tcW w:w="647" w:type="pct"/>
            <w:tcBorders>
              <w:top w:val="nil"/>
              <w:left w:val="nil"/>
              <w:bottom w:val="nil"/>
              <w:right w:val="nil"/>
            </w:tcBorders>
            <w:shd w:val="clear" w:color="auto" w:fill="auto"/>
            <w:noWrap/>
            <w:vAlign w:val="bottom"/>
          </w:tcPr>
          <w:p w14:paraId="3844B28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0.04</w:t>
            </w:r>
          </w:p>
        </w:tc>
        <w:tc>
          <w:tcPr>
            <w:tcW w:w="789" w:type="pct"/>
            <w:tcBorders>
              <w:top w:val="nil"/>
              <w:left w:val="nil"/>
              <w:bottom w:val="nil"/>
              <w:right w:val="nil"/>
            </w:tcBorders>
            <w:shd w:val="clear" w:color="auto" w:fill="auto"/>
            <w:noWrap/>
            <w:vAlign w:val="bottom"/>
          </w:tcPr>
          <w:p w14:paraId="3E81AC60"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0.04</w:t>
            </w:r>
          </w:p>
        </w:tc>
        <w:tc>
          <w:tcPr>
            <w:tcW w:w="735" w:type="pct"/>
            <w:tcBorders>
              <w:top w:val="nil"/>
              <w:left w:val="nil"/>
              <w:bottom w:val="nil"/>
              <w:right w:val="nil"/>
            </w:tcBorders>
            <w:shd w:val="clear" w:color="auto" w:fill="auto"/>
            <w:noWrap/>
            <w:vAlign w:val="bottom"/>
          </w:tcPr>
          <w:p w14:paraId="0FBEB5B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0.07</w:t>
            </w:r>
          </w:p>
        </w:tc>
        <w:tc>
          <w:tcPr>
            <w:tcW w:w="663" w:type="pct"/>
            <w:tcBorders>
              <w:top w:val="nil"/>
              <w:left w:val="nil"/>
              <w:bottom w:val="nil"/>
              <w:right w:val="nil"/>
            </w:tcBorders>
            <w:shd w:val="clear" w:color="auto" w:fill="auto"/>
            <w:noWrap/>
            <w:vAlign w:val="bottom"/>
          </w:tcPr>
          <w:p w14:paraId="224E1B54"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0.07</w:t>
            </w:r>
          </w:p>
        </w:tc>
      </w:tr>
      <w:tr w:rsidR="008017E1" w:rsidRPr="00843C43" w14:paraId="013B1D8F" w14:textId="77777777" w:rsidTr="008017E1">
        <w:trPr>
          <w:trHeight w:val="284"/>
        </w:trPr>
        <w:tc>
          <w:tcPr>
            <w:tcW w:w="883" w:type="pct"/>
            <w:shd w:val="clear" w:color="auto" w:fill="auto"/>
            <w:noWrap/>
            <w:vAlign w:val="bottom"/>
            <w:hideMark/>
          </w:tcPr>
          <w:p w14:paraId="741E4710"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MSY</w:t>
            </w:r>
          </w:p>
        </w:tc>
        <w:tc>
          <w:tcPr>
            <w:tcW w:w="641" w:type="pct"/>
            <w:tcBorders>
              <w:top w:val="nil"/>
              <w:left w:val="nil"/>
              <w:bottom w:val="nil"/>
              <w:right w:val="nil"/>
            </w:tcBorders>
            <w:shd w:val="clear" w:color="auto" w:fill="auto"/>
            <w:noWrap/>
            <w:vAlign w:val="bottom"/>
          </w:tcPr>
          <w:p w14:paraId="4899165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146,715</w:t>
            </w:r>
          </w:p>
        </w:tc>
        <w:tc>
          <w:tcPr>
            <w:tcW w:w="641" w:type="pct"/>
            <w:tcBorders>
              <w:top w:val="nil"/>
              <w:left w:val="nil"/>
              <w:bottom w:val="nil"/>
              <w:right w:val="nil"/>
            </w:tcBorders>
            <w:shd w:val="clear" w:color="auto" w:fill="auto"/>
            <w:noWrap/>
            <w:vAlign w:val="bottom"/>
          </w:tcPr>
          <w:p w14:paraId="33FAE63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140,720</w:t>
            </w:r>
          </w:p>
        </w:tc>
        <w:tc>
          <w:tcPr>
            <w:tcW w:w="647" w:type="pct"/>
            <w:tcBorders>
              <w:top w:val="nil"/>
              <w:left w:val="nil"/>
              <w:bottom w:val="nil"/>
              <w:right w:val="nil"/>
            </w:tcBorders>
            <w:shd w:val="clear" w:color="auto" w:fill="auto"/>
            <w:noWrap/>
            <w:vAlign w:val="bottom"/>
          </w:tcPr>
          <w:p w14:paraId="3B5F9BC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117,920</w:t>
            </w:r>
          </w:p>
        </w:tc>
        <w:tc>
          <w:tcPr>
            <w:tcW w:w="789" w:type="pct"/>
            <w:tcBorders>
              <w:top w:val="nil"/>
              <w:left w:val="nil"/>
              <w:bottom w:val="nil"/>
              <w:right w:val="nil"/>
            </w:tcBorders>
            <w:shd w:val="clear" w:color="auto" w:fill="auto"/>
            <w:noWrap/>
            <w:vAlign w:val="bottom"/>
          </w:tcPr>
          <w:p w14:paraId="5DE93262"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125,628</w:t>
            </w:r>
          </w:p>
        </w:tc>
        <w:tc>
          <w:tcPr>
            <w:tcW w:w="735" w:type="pct"/>
            <w:tcBorders>
              <w:top w:val="nil"/>
              <w:left w:val="nil"/>
              <w:bottom w:val="nil"/>
              <w:right w:val="nil"/>
            </w:tcBorders>
            <w:shd w:val="clear" w:color="auto" w:fill="auto"/>
            <w:noWrap/>
            <w:vAlign w:val="bottom"/>
          </w:tcPr>
          <w:p w14:paraId="563EBFCD"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179,164</w:t>
            </w:r>
          </w:p>
        </w:tc>
        <w:tc>
          <w:tcPr>
            <w:tcW w:w="663" w:type="pct"/>
            <w:tcBorders>
              <w:top w:val="nil"/>
              <w:left w:val="nil"/>
              <w:bottom w:val="nil"/>
              <w:right w:val="nil"/>
            </w:tcBorders>
            <w:shd w:val="clear" w:color="auto" w:fill="auto"/>
            <w:noWrap/>
            <w:vAlign w:val="bottom"/>
          </w:tcPr>
          <w:p w14:paraId="40511262"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187,520</w:t>
            </w:r>
          </w:p>
        </w:tc>
      </w:tr>
      <w:tr w:rsidR="008017E1" w:rsidRPr="00843C43" w14:paraId="1BFD81E3" w14:textId="77777777" w:rsidTr="008017E1">
        <w:trPr>
          <w:trHeight w:val="284"/>
        </w:trPr>
        <w:tc>
          <w:tcPr>
            <w:tcW w:w="883" w:type="pct"/>
            <w:shd w:val="clear" w:color="auto" w:fill="auto"/>
            <w:noWrap/>
            <w:vAlign w:val="bottom"/>
            <w:hideMark/>
          </w:tcPr>
          <w:p w14:paraId="53E9B643" w14:textId="77777777" w:rsidR="008017E1" w:rsidRPr="00843C43" w:rsidRDefault="008017E1" w:rsidP="008017E1">
            <w:pPr>
              <w:adjustRightInd w:val="0"/>
              <w:snapToGrid w:val="0"/>
              <w:rPr>
                <w:rFonts w:ascii="Times New Roman" w:hAnsi="Times New Roman" w:cs="Times New Roman"/>
                <w:color w:val="000000"/>
                <w:lang w:eastAsia="en-AU"/>
              </w:rPr>
            </w:pPr>
            <w:proofErr w:type="spellStart"/>
            <w:r w:rsidRPr="00843C43">
              <w:rPr>
                <w:rFonts w:ascii="Times New Roman" w:hAnsi="Times New Roman" w:cs="Times New Roman"/>
                <w:color w:val="000000"/>
                <w:lang w:eastAsia="en-AU"/>
              </w:rPr>
              <w:t>F</w:t>
            </w:r>
            <w:r w:rsidRPr="00843C43">
              <w:rPr>
                <w:rFonts w:ascii="Times New Roman" w:hAnsi="Times New Roman" w:cs="Times New Roman"/>
                <w:color w:val="000000"/>
                <w:vertAlign w:val="subscript"/>
                <w:lang w:eastAsia="en-AU"/>
              </w:rPr>
              <w:t>recent</w:t>
            </w:r>
            <w:proofErr w:type="spellEnd"/>
            <w:r w:rsidRPr="00843C43">
              <w:rPr>
                <w:rFonts w:ascii="Times New Roman" w:hAnsi="Times New Roman" w:cs="Times New Roman"/>
                <w:color w:val="000000"/>
                <w:lang w:eastAsia="en-AU"/>
              </w:rPr>
              <w:t>/F</w:t>
            </w:r>
            <w:r w:rsidRPr="00843C43">
              <w:rPr>
                <w:rFonts w:ascii="Times New Roman" w:hAnsi="Times New Roman" w:cs="Times New Roman"/>
                <w:color w:val="000000"/>
                <w:vertAlign w:val="subscript"/>
                <w:lang w:eastAsia="en-AU"/>
              </w:rPr>
              <w:t>MSY</w:t>
            </w:r>
          </w:p>
        </w:tc>
        <w:tc>
          <w:tcPr>
            <w:tcW w:w="641" w:type="pct"/>
            <w:tcBorders>
              <w:top w:val="nil"/>
              <w:left w:val="nil"/>
              <w:bottom w:val="nil"/>
              <w:right w:val="nil"/>
            </w:tcBorders>
            <w:shd w:val="clear" w:color="auto" w:fill="auto"/>
            <w:noWrap/>
            <w:vAlign w:val="bottom"/>
          </w:tcPr>
          <w:p w14:paraId="480214D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0.74</w:t>
            </w:r>
          </w:p>
        </w:tc>
        <w:tc>
          <w:tcPr>
            <w:tcW w:w="641" w:type="pct"/>
            <w:tcBorders>
              <w:top w:val="nil"/>
              <w:left w:val="nil"/>
              <w:bottom w:val="nil"/>
              <w:right w:val="nil"/>
            </w:tcBorders>
            <w:shd w:val="clear" w:color="auto" w:fill="auto"/>
            <w:noWrap/>
            <w:vAlign w:val="bottom"/>
          </w:tcPr>
          <w:p w14:paraId="12E63BA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0.72</w:t>
            </w:r>
          </w:p>
        </w:tc>
        <w:tc>
          <w:tcPr>
            <w:tcW w:w="647" w:type="pct"/>
            <w:tcBorders>
              <w:top w:val="nil"/>
              <w:left w:val="nil"/>
              <w:bottom w:val="nil"/>
              <w:right w:val="nil"/>
            </w:tcBorders>
            <w:shd w:val="clear" w:color="auto" w:fill="auto"/>
            <w:noWrap/>
            <w:vAlign w:val="bottom"/>
          </w:tcPr>
          <w:p w14:paraId="258B03FB"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0.43</w:t>
            </w:r>
          </w:p>
        </w:tc>
        <w:tc>
          <w:tcPr>
            <w:tcW w:w="789" w:type="pct"/>
            <w:tcBorders>
              <w:top w:val="nil"/>
              <w:left w:val="nil"/>
              <w:bottom w:val="nil"/>
              <w:right w:val="nil"/>
            </w:tcBorders>
            <w:shd w:val="clear" w:color="auto" w:fill="auto"/>
            <w:noWrap/>
            <w:vAlign w:val="bottom"/>
          </w:tcPr>
          <w:p w14:paraId="61248242"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0.49</w:t>
            </w:r>
          </w:p>
        </w:tc>
        <w:tc>
          <w:tcPr>
            <w:tcW w:w="735" w:type="pct"/>
            <w:tcBorders>
              <w:top w:val="nil"/>
              <w:left w:val="nil"/>
              <w:bottom w:val="nil"/>
              <w:right w:val="nil"/>
            </w:tcBorders>
            <w:shd w:val="clear" w:color="auto" w:fill="auto"/>
            <w:noWrap/>
            <w:vAlign w:val="bottom"/>
          </w:tcPr>
          <w:p w14:paraId="50A6022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1.02</w:t>
            </w:r>
          </w:p>
        </w:tc>
        <w:tc>
          <w:tcPr>
            <w:tcW w:w="663" w:type="pct"/>
            <w:tcBorders>
              <w:top w:val="nil"/>
              <w:left w:val="nil"/>
              <w:bottom w:val="nil"/>
              <w:right w:val="nil"/>
            </w:tcBorders>
            <w:shd w:val="clear" w:color="auto" w:fill="auto"/>
            <w:noWrap/>
            <w:vAlign w:val="bottom"/>
          </w:tcPr>
          <w:p w14:paraId="0BAD8CC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1.21</w:t>
            </w:r>
          </w:p>
        </w:tc>
      </w:tr>
      <w:tr w:rsidR="008017E1" w:rsidRPr="00843C43" w14:paraId="2B039D9C" w14:textId="77777777" w:rsidTr="008017E1">
        <w:trPr>
          <w:trHeight w:val="284"/>
        </w:trPr>
        <w:tc>
          <w:tcPr>
            <w:tcW w:w="883" w:type="pct"/>
            <w:shd w:val="clear" w:color="auto" w:fill="auto"/>
            <w:noWrap/>
            <w:vAlign w:val="bottom"/>
            <w:hideMark/>
          </w:tcPr>
          <w:p w14:paraId="676C96A9"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F=0</w:t>
            </w:r>
          </w:p>
        </w:tc>
        <w:tc>
          <w:tcPr>
            <w:tcW w:w="641" w:type="pct"/>
            <w:tcBorders>
              <w:top w:val="nil"/>
              <w:left w:val="nil"/>
              <w:bottom w:val="nil"/>
              <w:right w:val="nil"/>
            </w:tcBorders>
            <w:shd w:val="clear" w:color="auto" w:fill="auto"/>
            <w:noWrap/>
            <w:vAlign w:val="bottom"/>
          </w:tcPr>
          <w:p w14:paraId="4BDCD03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1,395,173</w:t>
            </w:r>
          </w:p>
        </w:tc>
        <w:tc>
          <w:tcPr>
            <w:tcW w:w="641" w:type="pct"/>
            <w:tcBorders>
              <w:top w:val="nil"/>
              <w:left w:val="nil"/>
              <w:bottom w:val="nil"/>
              <w:right w:val="nil"/>
            </w:tcBorders>
            <w:shd w:val="clear" w:color="auto" w:fill="auto"/>
            <w:noWrap/>
            <w:vAlign w:val="bottom"/>
          </w:tcPr>
          <w:p w14:paraId="712DEE94"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1,353,367</w:t>
            </w:r>
          </w:p>
        </w:tc>
        <w:tc>
          <w:tcPr>
            <w:tcW w:w="647" w:type="pct"/>
            <w:tcBorders>
              <w:top w:val="nil"/>
              <w:left w:val="nil"/>
              <w:bottom w:val="nil"/>
              <w:right w:val="nil"/>
            </w:tcBorders>
            <w:shd w:val="clear" w:color="auto" w:fill="auto"/>
            <w:noWrap/>
            <w:vAlign w:val="bottom"/>
          </w:tcPr>
          <w:p w14:paraId="0A26A0F9"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903,708</w:t>
            </w:r>
          </w:p>
        </w:tc>
        <w:tc>
          <w:tcPr>
            <w:tcW w:w="789" w:type="pct"/>
            <w:tcBorders>
              <w:top w:val="nil"/>
              <w:left w:val="nil"/>
              <w:bottom w:val="nil"/>
              <w:right w:val="nil"/>
            </w:tcBorders>
            <w:shd w:val="clear" w:color="auto" w:fill="auto"/>
            <w:noWrap/>
            <w:vAlign w:val="bottom"/>
          </w:tcPr>
          <w:p w14:paraId="06FA3804"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982,103</w:t>
            </w:r>
          </w:p>
        </w:tc>
        <w:tc>
          <w:tcPr>
            <w:tcW w:w="735" w:type="pct"/>
            <w:tcBorders>
              <w:top w:val="nil"/>
              <w:left w:val="nil"/>
              <w:bottom w:val="nil"/>
              <w:right w:val="nil"/>
            </w:tcBorders>
            <w:shd w:val="clear" w:color="auto" w:fill="auto"/>
            <w:noWrap/>
            <w:vAlign w:val="bottom"/>
          </w:tcPr>
          <w:p w14:paraId="4843B6D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1,780,138</w:t>
            </w:r>
          </w:p>
        </w:tc>
        <w:tc>
          <w:tcPr>
            <w:tcW w:w="663" w:type="pct"/>
            <w:tcBorders>
              <w:top w:val="nil"/>
              <w:left w:val="nil"/>
              <w:bottom w:val="nil"/>
              <w:right w:val="nil"/>
            </w:tcBorders>
            <w:shd w:val="clear" w:color="auto" w:fill="auto"/>
            <w:noWrap/>
            <w:vAlign w:val="bottom"/>
          </w:tcPr>
          <w:p w14:paraId="68CA1139"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1,908,636</w:t>
            </w:r>
          </w:p>
        </w:tc>
      </w:tr>
      <w:tr w:rsidR="008017E1" w:rsidRPr="00843C43" w14:paraId="64D0CA4A" w14:textId="77777777" w:rsidTr="008017E1">
        <w:trPr>
          <w:trHeight w:val="284"/>
        </w:trPr>
        <w:tc>
          <w:tcPr>
            <w:tcW w:w="883" w:type="pct"/>
            <w:shd w:val="clear" w:color="auto" w:fill="auto"/>
            <w:noWrap/>
            <w:vAlign w:val="bottom"/>
            <w:hideMark/>
          </w:tcPr>
          <w:p w14:paraId="44C244B6"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MSY</w:t>
            </w:r>
          </w:p>
        </w:tc>
        <w:tc>
          <w:tcPr>
            <w:tcW w:w="641" w:type="pct"/>
            <w:tcBorders>
              <w:top w:val="nil"/>
              <w:left w:val="nil"/>
              <w:bottom w:val="nil"/>
              <w:right w:val="nil"/>
            </w:tcBorders>
            <w:shd w:val="clear" w:color="auto" w:fill="auto"/>
            <w:noWrap/>
            <w:vAlign w:val="bottom"/>
          </w:tcPr>
          <w:p w14:paraId="6BD2C83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320,162</w:t>
            </w:r>
          </w:p>
        </w:tc>
        <w:tc>
          <w:tcPr>
            <w:tcW w:w="641" w:type="pct"/>
            <w:tcBorders>
              <w:top w:val="nil"/>
              <w:left w:val="nil"/>
              <w:bottom w:val="nil"/>
              <w:right w:val="nil"/>
            </w:tcBorders>
            <w:shd w:val="clear" w:color="auto" w:fill="auto"/>
            <w:noWrap/>
            <w:vAlign w:val="bottom"/>
          </w:tcPr>
          <w:p w14:paraId="1056E3FC"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321,550</w:t>
            </w:r>
          </w:p>
        </w:tc>
        <w:tc>
          <w:tcPr>
            <w:tcW w:w="647" w:type="pct"/>
            <w:tcBorders>
              <w:top w:val="nil"/>
              <w:left w:val="nil"/>
              <w:bottom w:val="nil"/>
              <w:right w:val="nil"/>
            </w:tcBorders>
            <w:shd w:val="clear" w:color="auto" w:fill="auto"/>
            <w:noWrap/>
            <w:vAlign w:val="bottom"/>
          </w:tcPr>
          <w:p w14:paraId="7074E87A"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192,500</w:t>
            </w:r>
          </w:p>
        </w:tc>
        <w:tc>
          <w:tcPr>
            <w:tcW w:w="789" w:type="pct"/>
            <w:tcBorders>
              <w:top w:val="nil"/>
              <w:left w:val="nil"/>
              <w:bottom w:val="nil"/>
              <w:right w:val="nil"/>
            </w:tcBorders>
            <w:shd w:val="clear" w:color="auto" w:fill="auto"/>
            <w:noWrap/>
            <w:vAlign w:val="bottom"/>
          </w:tcPr>
          <w:p w14:paraId="5007776C"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219,810</w:t>
            </w:r>
          </w:p>
        </w:tc>
        <w:tc>
          <w:tcPr>
            <w:tcW w:w="735" w:type="pct"/>
            <w:tcBorders>
              <w:top w:val="nil"/>
              <w:left w:val="nil"/>
              <w:bottom w:val="nil"/>
              <w:right w:val="nil"/>
            </w:tcBorders>
            <w:shd w:val="clear" w:color="auto" w:fill="auto"/>
            <w:noWrap/>
            <w:vAlign w:val="bottom"/>
          </w:tcPr>
          <w:p w14:paraId="497D41AD"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443,730</w:t>
            </w:r>
          </w:p>
        </w:tc>
        <w:tc>
          <w:tcPr>
            <w:tcW w:w="663" w:type="pct"/>
            <w:tcBorders>
              <w:top w:val="nil"/>
              <w:left w:val="nil"/>
              <w:bottom w:val="nil"/>
              <w:right w:val="nil"/>
            </w:tcBorders>
            <w:shd w:val="clear" w:color="auto" w:fill="auto"/>
            <w:noWrap/>
            <w:vAlign w:val="bottom"/>
          </w:tcPr>
          <w:p w14:paraId="654D62B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482,700</w:t>
            </w:r>
          </w:p>
        </w:tc>
      </w:tr>
      <w:tr w:rsidR="008017E1" w:rsidRPr="00843C43" w14:paraId="05CB6FA4" w14:textId="77777777" w:rsidTr="008017E1">
        <w:trPr>
          <w:trHeight w:val="284"/>
        </w:trPr>
        <w:tc>
          <w:tcPr>
            <w:tcW w:w="883" w:type="pct"/>
            <w:shd w:val="clear" w:color="auto" w:fill="auto"/>
            <w:noWrap/>
            <w:vAlign w:val="bottom"/>
            <w:hideMark/>
          </w:tcPr>
          <w:p w14:paraId="38ED617C"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MSY</w:t>
            </w: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F=0</w:t>
            </w:r>
          </w:p>
        </w:tc>
        <w:tc>
          <w:tcPr>
            <w:tcW w:w="641" w:type="pct"/>
            <w:tcBorders>
              <w:top w:val="nil"/>
              <w:left w:val="nil"/>
              <w:bottom w:val="nil"/>
              <w:right w:val="nil"/>
            </w:tcBorders>
            <w:shd w:val="clear" w:color="auto" w:fill="auto"/>
            <w:noWrap/>
            <w:vAlign w:val="bottom"/>
          </w:tcPr>
          <w:p w14:paraId="05C19B68"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0.23</w:t>
            </w:r>
          </w:p>
        </w:tc>
        <w:tc>
          <w:tcPr>
            <w:tcW w:w="641" w:type="pct"/>
            <w:tcBorders>
              <w:top w:val="nil"/>
              <w:left w:val="nil"/>
              <w:bottom w:val="nil"/>
              <w:right w:val="nil"/>
            </w:tcBorders>
            <w:shd w:val="clear" w:color="auto" w:fill="auto"/>
            <w:noWrap/>
            <w:vAlign w:val="bottom"/>
          </w:tcPr>
          <w:p w14:paraId="6F73919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0.23</w:t>
            </w:r>
          </w:p>
        </w:tc>
        <w:tc>
          <w:tcPr>
            <w:tcW w:w="647" w:type="pct"/>
            <w:tcBorders>
              <w:top w:val="nil"/>
              <w:left w:val="nil"/>
              <w:bottom w:val="nil"/>
              <w:right w:val="nil"/>
            </w:tcBorders>
            <w:shd w:val="clear" w:color="auto" w:fill="auto"/>
            <w:noWrap/>
            <w:vAlign w:val="bottom"/>
          </w:tcPr>
          <w:p w14:paraId="3FA51929"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0.19</w:t>
            </w:r>
          </w:p>
        </w:tc>
        <w:tc>
          <w:tcPr>
            <w:tcW w:w="789" w:type="pct"/>
            <w:tcBorders>
              <w:top w:val="nil"/>
              <w:left w:val="nil"/>
              <w:bottom w:val="nil"/>
              <w:right w:val="nil"/>
            </w:tcBorders>
            <w:shd w:val="clear" w:color="auto" w:fill="auto"/>
            <w:noWrap/>
            <w:vAlign w:val="bottom"/>
          </w:tcPr>
          <w:p w14:paraId="3BC30280"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w:t>
            </w:r>
          </w:p>
        </w:tc>
        <w:tc>
          <w:tcPr>
            <w:tcW w:w="735" w:type="pct"/>
            <w:tcBorders>
              <w:top w:val="nil"/>
              <w:left w:val="nil"/>
              <w:bottom w:val="nil"/>
              <w:right w:val="nil"/>
            </w:tcBorders>
            <w:shd w:val="clear" w:color="auto" w:fill="auto"/>
            <w:noWrap/>
            <w:vAlign w:val="bottom"/>
          </w:tcPr>
          <w:p w14:paraId="4343C2B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0.26</w:t>
            </w:r>
          </w:p>
        </w:tc>
        <w:tc>
          <w:tcPr>
            <w:tcW w:w="663" w:type="pct"/>
            <w:tcBorders>
              <w:top w:val="nil"/>
              <w:left w:val="nil"/>
              <w:bottom w:val="nil"/>
              <w:right w:val="nil"/>
            </w:tcBorders>
            <w:shd w:val="clear" w:color="auto" w:fill="auto"/>
            <w:noWrap/>
            <w:vAlign w:val="bottom"/>
          </w:tcPr>
          <w:p w14:paraId="1991B4A2"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0.26</w:t>
            </w:r>
          </w:p>
        </w:tc>
      </w:tr>
      <w:tr w:rsidR="008017E1" w:rsidRPr="00843C43" w14:paraId="126E5D00" w14:textId="77777777" w:rsidTr="008017E1">
        <w:trPr>
          <w:trHeight w:val="284"/>
        </w:trPr>
        <w:tc>
          <w:tcPr>
            <w:tcW w:w="883" w:type="pct"/>
            <w:shd w:val="clear" w:color="auto" w:fill="auto"/>
            <w:noWrap/>
            <w:vAlign w:val="bottom"/>
            <w:hideMark/>
          </w:tcPr>
          <w:p w14:paraId="68869050"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 xml:space="preserve">SB </w:t>
            </w:r>
            <w:r w:rsidRPr="00843C43">
              <w:rPr>
                <w:rFonts w:ascii="Times New Roman" w:hAnsi="Times New Roman" w:cs="Times New Roman"/>
                <w:color w:val="000000"/>
                <w:vertAlign w:val="subscript"/>
                <w:lang w:eastAsia="en-AU"/>
              </w:rPr>
              <w:t>latest</w:t>
            </w: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F=0</w:t>
            </w:r>
          </w:p>
        </w:tc>
        <w:tc>
          <w:tcPr>
            <w:tcW w:w="641" w:type="pct"/>
            <w:tcBorders>
              <w:top w:val="nil"/>
              <w:left w:val="nil"/>
              <w:bottom w:val="nil"/>
              <w:right w:val="nil"/>
            </w:tcBorders>
            <w:shd w:val="clear" w:color="auto" w:fill="auto"/>
            <w:noWrap/>
            <w:vAlign w:val="bottom"/>
          </w:tcPr>
          <w:p w14:paraId="0D5B2D93"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0.38</w:t>
            </w:r>
          </w:p>
        </w:tc>
        <w:tc>
          <w:tcPr>
            <w:tcW w:w="641" w:type="pct"/>
            <w:tcBorders>
              <w:top w:val="nil"/>
              <w:left w:val="nil"/>
              <w:bottom w:val="nil"/>
              <w:right w:val="nil"/>
            </w:tcBorders>
            <w:shd w:val="clear" w:color="auto" w:fill="auto"/>
            <w:noWrap/>
            <w:vAlign w:val="bottom"/>
          </w:tcPr>
          <w:p w14:paraId="7DF01214"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0.38</w:t>
            </w:r>
          </w:p>
        </w:tc>
        <w:tc>
          <w:tcPr>
            <w:tcW w:w="647" w:type="pct"/>
            <w:tcBorders>
              <w:top w:val="nil"/>
              <w:left w:val="nil"/>
              <w:bottom w:val="nil"/>
              <w:right w:val="nil"/>
            </w:tcBorders>
            <w:shd w:val="clear" w:color="auto" w:fill="auto"/>
            <w:noWrap/>
            <w:vAlign w:val="bottom"/>
          </w:tcPr>
          <w:p w14:paraId="7DF27383"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0.23</w:t>
            </w:r>
          </w:p>
        </w:tc>
        <w:tc>
          <w:tcPr>
            <w:tcW w:w="789" w:type="pct"/>
            <w:tcBorders>
              <w:top w:val="nil"/>
              <w:left w:val="nil"/>
              <w:bottom w:val="nil"/>
              <w:right w:val="nil"/>
            </w:tcBorders>
            <w:shd w:val="clear" w:color="auto" w:fill="auto"/>
            <w:noWrap/>
            <w:vAlign w:val="bottom"/>
          </w:tcPr>
          <w:p w14:paraId="5946584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0.3</w:t>
            </w:r>
          </w:p>
        </w:tc>
        <w:tc>
          <w:tcPr>
            <w:tcW w:w="735" w:type="pct"/>
            <w:tcBorders>
              <w:top w:val="nil"/>
              <w:left w:val="nil"/>
              <w:bottom w:val="nil"/>
              <w:right w:val="nil"/>
            </w:tcBorders>
            <w:shd w:val="clear" w:color="auto" w:fill="auto"/>
            <w:noWrap/>
            <w:vAlign w:val="bottom"/>
          </w:tcPr>
          <w:p w14:paraId="7AB6A1F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0.47</w:t>
            </w:r>
          </w:p>
        </w:tc>
        <w:tc>
          <w:tcPr>
            <w:tcW w:w="663" w:type="pct"/>
            <w:tcBorders>
              <w:top w:val="nil"/>
              <w:left w:val="nil"/>
              <w:bottom w:val="nil"/>
              <w:right w:val="nil"/>
            </w:tcBorders>
            <w:shd w:val="clear" w:color="auto" w:fill="auto"/>
            <w:noWrap/>
            <w:vAlign w:val="bottom"/>
          </w:tcPr>
          <w:p w14:paraId="4B6F932F"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0.51</w:t>
            </w:r>
          </w:p>
        </w:tc>
      </w:tr>
      <w:tr w:rsidR="008017E1" w:rsidRPr="00843C43" w14:paraId="028F7C5E" w14:textId="77777777" w:rsidTr="008017E1">
        <w:trPr>
          <w:trHeight w:val="284"/>
        </w:trPr>
        <w:tc>
          <w:tcPr>
            <w:tcW w:w="883" w:type="pct"/>
            <w:shd w:val="clear" w:color="auto" w:fill="auto"/>
            <w:noWrap/>
            <w:vAlign w:val="bottom"/>
            <w:hideMark/>
          </w:tcPr>
          <w:p w14:paraId="2EF28432"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 xml:space="preserve">SB </w:t>
            </w:r>
            <w:r w:rsidRPr="00843C43">
              <w:rPr>
                <w:rFonts w:ascii="Times New Roman" w:hAnsi="Times New Roman" w:cs="Times New Roman"/>
                <w:color w:val="000000"/>
                <w:vertAlign w:val="subscript"/>
                <w:lang w:eastAsia="en-AU"/>
              </w:rPr>
              <w:t>latest</w:t>
            </w: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MSY</w:t>
            </w:r>
          </w:p>
        </w:tc>
        <w:tc>
          <w:tcPr>
            <w:tcW w:w="641" w:type="pct"/>
            <w:tcBorders>
              <w:top w:val="nil"/>
              <w:left w:val="nil"/>
              <w:bottom w:val="nil"/>
              <w:right w:val="nil"/>
            </w:tcBorders>
            <w:shd w:val="clear" w:color="auto" w:fill="auto"/>
            <w:noWrap/>
            <w:vAlign w:val="bottom"/>
          </w:tcPr>
          <w:p w14:paraId="28C638AC"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1.7</w:t>
            </w:r>
          </w:p>
        </w:tc>
        <w:tc>
          <w:tcPr>
            <w:tcW w:w="641" w:type="pct"/>
            <w:tcBorders>
              <w:top w:val="nil"/>
              <w:left w:val="nil"/>
              <w:bottom w:val="nil"/>
              <w:right w:val="nil"/>
            </w:tcBorders>
            <w:shd w:val="clear" w:color="auto" w:fill="auto"/>
            <w:noWrap/>
            <w:vAlign w:val="bottom"/>
          </w:tcPr>
          <w:p w14:paraId="5778F566"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1.67</w:t>
            </w:r>
          </w:p>
        </w:tc>
        <w:tc>
          <w:tcPr>
            <w:tcW w:w="647" w:type="pct"/>
            <w:tcBorders>
              <w:top w:val="nil"/>
              <w:left w:val="nil"/>
              <w:bottom w:val="nil"/>
              <w:right w:val="nil"/>
            </w:tcBorders>
            <w:shd w:val="clear" w:color="auto" w:fill="auto"/>
            <w:noWrap/>
            <w:vAlign w:val="bottom"/>
          </w:tcPr>
          <w:p w14:paraId="566B3ED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0.95</w:t>
            </w:r>
          </w:p>
        </w:tc>
        <w:tc>
          <w:tcPr>
            <w:tcW w:w="789" w:type="pct"/>
            <w:tcBorders>
              <w:top w:val="nil"/>
              <w:left w:val="nil"/>
              <w:bottom w:val="nil"/>
              <w:right w:val="nil"/>
            </w:tcBorders>
            <w:shd w:val="clear" w:color="auto" w:fill="auto"/>
            <w:noWrap/>
            <w:vAlign w:val="bottom"/>
          </w:tcPr>
          <w:p w14:paraId="6B57AB4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1.23</w:t>
            </w:r>
          </w:p>
        </w:tc>
        <w:tc>
          <w:tcPr>
            <w:tcW w:w="735" w:type="pct"/>
            <w:tcBorders>
              <w:top w:val="nil"/>
              <w:left w:val="nil"/>
              <w:bottom w:val="nil"/>
              <w:right w:val="nil"/>
            </w:tcBorders>
            <w:shd w:val="clear" w:color="auto" w:fill="auto"/>
            <w:noWrap/>
            <w:vAlign w:val="bottom"/>
          </w:tcPr>
          <w:p w14:paraId="1D53B55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2.15</w:t>
            </w:r>
          </w:p>
        </w:tc>
        <w:tc>
          <w:tcPr>
            <w:tcW w:w="663" w:type="pct"/>
            <w:tcBorders>
              <w:top w:val="nil"/>
              <w:left w:val="nil"/>
              <w:bottom w:val="nil"/>
              <w:right w:val="nil"/>
            </w:tcBorders>
            <w:shd w:val="clear" w:color="auto" w:fill="auto"/>
            <w:noWrap/>
            <w:vAlign w:val="bottom"/>
          </w:tcPr>
          <w:p w14:paraId="2F5FA025"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2.6</w:t>
            </w:r>
          </w:p>
        </w:tc>
      </w:tr>
      <w:tr w:rsidR="008017E1" w:rsidRPr="00843C43" w14:paraId="0CCA94D3" w14:textId="77777777" w:rsidTr="008017E1">
        <w:trPr>
          <w:trHeight w:val="284"/>
        </w:trPr>
        <w:tc>
          <w:tcPr>
            <w:tcW w:w="883" w:type="pct"/>
            <w:shd w:val="clear" w:color="auto" w:fill="auto"/>
            <w:noWrap/>
            <w:vAlign w:val="bottom"/>
            <w:hideMark/>
          </w:tcPr>
          <w:p w14:paraId="55A2DC38"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 xml:space="preserve">SB </w:t>
            </w:r>
            <w:r w:rsidRPr="00843C43">
              <w:rPr>
                <w:rFonts w:ascii="Times New Roman" w:hAnsi="Times New Roman" w:cs="Times New Roman"/>
                <w:color w:val="000000"/>
                <w:vertAlign w:val="subscript"/>
                <w:lang w:eastAsia="en-AU"/>
              </w:rPr>
              <w:t>recent</w:t>
            </w: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F=0</w:t>
            </w:r>
          </w:p>
        </w:tc>
        <w:tc>
          <w:tcPr>
            <w:tcW w:w="641" w:type="pct"/>
            <w:tcBorders>
              <w:top w:val="nil"/>
              <w:left w:val="nil"/>
              <w:bottom w:val="nil"/>
              <w:right w:val="nil"/>
            </w:tcBorders>
            <w:shd w:val="clear" w:color="auto" w:fill="auto"/>
            <w:noWrap/>
            <w:vAlign w:val="bottom"/>
          </w:tcPr>
          <w:p w14:paraId="63E7216B"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0.4</w:t>
            </w:r>
          </w:p>
        </w:tc>
        <w:tc>
          <w:tcPr>
            <w:tcW w:w="641" w:type="pct"/>
            <w:tcBorders>
              <w:top w:val="nil"/>
              <w:left w:val="nil"/>
              <w:bottom w:val="nil"/>
              <w:right w:val="nil"/>
            </w:tcBorders>
            <w:shd w:val="clear" w:color="auto" w:fill="auto"/>
            <w:noWrap/>
            <w:vAlign w:val="bottom"/>
          </w:tcPr>
          <w:p w14:paraId="34F9E4E2"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0.41</w:t>
            </w:r>
          </w:p>
        </w:tc>
        <w:tc>
          <w:tcPr>
            <w:tcW w:w="647" w:type="pct"/>
            <w:tcBorders>
              <w:top w:val="nil"/>
              <w:left w:val="nil"/>
              <w:bottom w:val="nil"/>
              <w:right w:val="nil"/>
            </w:tcBorders>
            <w:shd w:val="clear" w:color="auto" w:fill="auto"/>
            <w:noWrap/>
            <w:vAlign w:val="bottom"/>
          </w:tcPr>
          <w:p w14:paraId="71CE71DD"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0.21</w:t>
            </w:r>
          </w:p>
        </w:tc>
        <w:tc>
          <w:tcPr>
            <w:tcW w:w="789" w:type="pct"/>
            <w:tcBorders>
              <w:top w:val="nil"/>
              <w:left w:val="nil"/>
              <w:bottom w:val="nil"/>
              <w:right w:val="nil"/>
            </w:tcBorders>
            <w:shd w:val="clear" w:color="auto" w:fill="auto"/>
            <w:noWrap/>
            <w:vAlign w:val="bottom"/>
          </w:tcPr>
          <w:p w14:paraId="17F31B3B"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0.27</w:t>
            </w:r>
          </w:p>
        </w:tc>
        <w:tc>
          <w:tcPr>
            <w:tcW w:w="735" w:type="pct"/>
            <w:tcBorders>
              <w:top w:val="nil"/>
              <w:left w:val="nil"/>
              <w:bottom w:val="nil"/>
              <w:right w:val="nil"/>
            </w:tcBorders>
            <w:shd w:val="clear" w:color="auto" w:fill="auto"/>
            <w:noWrap/>
            <w:vAlign w:val="bottom"/>
          </w:tcPr>
          <w:p w14:paraId="6468684B"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0.52</w:t>
            </w:r>
          </w:p>
        </w:tc>
        <w:tc>
          <w:tcPr>
            <w:tcW w:w="663" w:type="pct"/>
            <w:tcBorders>
              <w:top w:val="nil"/>
              <w:left w:val="nil"/>
              <w:bottom w:val="nil"/>
              <w:right w:val="nil"/>
            </w:tcBorders>
            <w:shd w:val="clear" w:color="auto" w:fill="auto"/>
            <w:noWrap/>
            <w:vAlign w:val="bottom"/>
          </w:tcPr>
          <w:p w14:paraId="1475F87D"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0.55</w:t>
            </w:r>
          </w:p>
        </w:tc>
      </w:tr>
      <w:tr w:rsidR="008017E1" w:rsidRPr="00843C43" w14:paraId="70A31794" w14:textId="77777777" w:rsidTr="008017E1">
        <w:trPr>
          <w:trHeight w:val="284"/>
        </w:trPr>
        <w:tc>
          <w:tcPr>
            <w:tcW w:w="883" w:type="pct"/>
            <w:tcBorders>
              <w:bottom w:val="single" w:sz="4" w:space="0" w:color="auto"/>
            </w:tcBorders>
            <w:shd w:val="clear" w:color="auto" w:fill="auto"/>
            <w:noWrap/>
            <w:vAlign w:val="bottom"/>
            <w:hideMark/>
          </w:tcPr>
          <w:p w14:paraId="52BC2C15" w14:textId="77777777" w:rsidR="008017E1" w:rsidRPr="00843C43" w:rsidRDefault="008017E1" w:rsidP="008017E1">
            <w:pPr>
              <w:adjustRightInd w:val="0"/>
              <w:snapToGrid w:val="0"/>
              <w:rPr>
                <w:rFonts w:ascii="Times New Roman" w:hAnsi="Times New Roman" w:cs="Times New Roman"/>
                <w:color w:val="000000"/>
                <w:lang w:eastAsia="en-AU"/>
              </w:rPr>
            </w:pPr>
            <w:r w:rsidRPr="00843C43">
              <w:rPr>
                <w:rFonts w:ascii="Times New Roman" w:hAnsi="Times New Roman" w:cs="Times New Roman"/>
                <w:color w:val="000000"/>
                <w:lang w:eastAsia="en-AU"/>
              </w:rPr>
              <w:t xml:space="preserve">SB </w:t>
            </w:r>
            <w:r w:rsidRPr="00843C43">
              <w:rPr>
                <w:rFonts w:ascii="Times New Roman" w:hAnsi="Times New Roman" w:cs="Times New Roman"/>
                <w:color w:val="000000"/>
                <w:vertAlign w:val="subscript"/>
                <w:lang w:eastAsia="en-AU"/>
              </w:rPr>
              <w:t>recent</w:t>
            </w:r>
            <w:r w:rsidRPr="00843C43">
              <w:rPr>
                <w:rFonts w:ascii="Times New Roman" w:hAnsi="Times New Roman" w:cs="Times New Roman"/>
                <w:color w:val="000000"/>
                <w:lang w:eastAsia="en-AU"/>
              </w:rPr>
              <w:t>/SB</w:t>
            </w:r>
            <w:r w:rsidRPr="00843C43">
              <w:rPr>
                <w:rFonts w:ascii="Times New Roman" w:hAnsi="Times New Roman" w:cs="Times New Roman"/>
                <w:color w:val="000000"/>
                <w:vertAlign w:val="subscript"/>
                <w:lang w:eastAsia="en-AU"/>
              </w:rPr>
              <w:t>MSY</w:t>
            </w:r>
          </w:p>
        </w:tc>
        <w:tc>
          <w:tcPr>
            <w:tcW w:w="641" w:type="pct"/>
            <w:tcBorders>
              <w:top w:val="nil"/>
              <w:left w:val="nil"/>
              <w:bottom w:val="single" w:sz="4" w:space="0" w:color="auto"/>
              <w:right w:val="nil"/>
            </w:tcBorders>
            <w:shd w:val="clear" w:color="auto" w:fill="auto"/>
            <w:noWrap/>
            <w:vAlign w:val="bottom"/>
          </w:tcPr>
          <w:p w14:paraId="17F3FBC5"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1.78</w:t>
            </w:r>
          </w:p>
        </w:tc>
        <w:tc>
          <w:tcPr>
            <w:tcW w:w="641" w:type="pct"/>
            <w:tcBorders>
              <w:top w:val="nil"/>
              <w:left w:val="nil"/>
              <w:bottom w:val="single" w:sz="4" w:space="0" w:color="auto"/>
              <w:right w:val="nil"/>
            </w:tcBorders>
            <w:shd w:val="clear" w:color="auto" w:fill="auto"/>
            <w:noWrap/>
            <w:vAlign w:val="bottom"/>
          </w:tcPr>
          <w:p w14:paraId="060E7BC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1.83</w:t>
            </w:r>
          </w:p>
        </w:tc>
        <w:tc>
          <w:tcPr>
            <w:tcW w:w="647" w:type="pct"/>
            <w:tcBorders>
              <w:top w:val="nil"/>
              <w:left w:val="nil"/>
              <w:bottom w:val="single" w:sz="4" w:space="0" w:color="auto"/>
              <w:right w:val="nil"/>
            </w:tcBorders>
            <w:shd w:val="clear" w:color="auto" w:fill="auto"/>
            <w:noWrap/>
            <w:vAlign w:val="bottom"/>
          </w:tcPr>
          <w:p w14:paraId="74AE3DA7"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0.87</w:t>
            </w:r>
          </w:p>
        </w:tc>
        <w:tc>
          <w:tcPr>
            <w:tcW w:w="789" w:type="pct"/>
            <w:tcBorders>
              <w:top w:val="nil"/>
              <w:left w:val="nil"/>
              <w:bottom w:val="single" w:sz="4" w:space="0" w:color="auto"/>
              <w:right w:val="nil"/>
            </w:tcBorders>
            <w:shd w:val="clear" w:color="auto" w:fill="auto"/>
            <w:noWrap/>
            <w:vAlign w:val="bottom"/>
          </w:tcPr>
          <w:p w14:paraId="5B8025C1"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1.18</w:t>
            </w:r>
          </w:p>
        </w:tc>
        <w:tc>
          <w:tcPr>
            <w:tcW w:w="735" w:type="pct"/>
            <w:tcBorders>
              <w:top w:val="nil"/>
              <w:left w:val="nil"/>
              <w:bottom w:val="single" w:sz="4" w:space="0" w:color="auto"/>
              <w:right w:val="nil"/>
            </w:tcBorders>
            <w:shd w:val="clear" w:color="auto" w:fill="auto"/>
            <w:noWrap/>
            <w:vAlign w:val="bottom"/>
          </w:tcPr>
          <w:p w14:paraId="5E354124"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2.32</w:t>
            </w:r>
          </w:p>
        </w:tc>
        <w:tc>
          <w:tcPr>
            <w:tcW w:w="663" w:type="pct"/>
            <w:tcBorders>
              <w:top w:val="nil"/>
              <w:left w:val="nil"/>
              <w:bottom w:val="single" w:sz="4" w:space="0" w:color="auto"/>
              <w:right w:val="nil"/>
            </w:tcBorders>
            <w:shd w:val="clear" w:color="auto" w:fill="auto"/>
            <w:noWrap/>
            <w:vAlign w:val="bottom"/>
          </w:tcPr>
          <w:p w14:paraId="3C10EEBA"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color w:val="000000"/>
              </w:rPr>
              <w:t>2.84</w:t>
            </w:r>
          </w:p>
        </w:tc>
      </w:tr>
    </w:tbl>
    <w:p w14:paraId="3BCC89F1" w14:textId="77777777" w:rsidR="008017E1" w:rsidRPr="00843C43" w:rsidRDefault="008017E1" w:rsidP="00843C43">
      <w:pPr>
        <w:adjustRightInd w:val="0"/>
        <w:snapToGrid w:val="0"/>
        <w:spacing w:after="0" w:line="240" w:lineRule="auto"/>
        <w:rPr>
          <w:rFonts w:ascii="Times New Roman" w:hAnsi="Times New Roman" w:cs="Times New Roman"/>
        </w:rPr>
      </w:pPr>
    </w:p>
    <w:p w14:paraId="30D4C216" w14:textId="77777777" w:rsidR="008017E1" w:rsidRPr="00843C43" w:rsidRDefault="008017E1" w:rsidP="00843C43">
      <w:pPr>
        <w:adjustRightInd w:val="0"/>
        <w:snapToGrid w:val="0"/>
        <w:spacing w:after="0" w:line="240" w:lineRule="auto"/>
        <w:jc w:val="center"/>
        <w:rPr>
          <w:rFonts w:ascii="Times New Roman" w:hAnsi="Times New Roman" w:cs="Times New Roman"/>
        </w:rPr>
      </w:pPr>
      <w:r w:rsidRPr="00843C43">
        <w:rPr>
          <w:rFonts w:ascii="Times New Roman" w:hAnsi="Times New Roman" w:cs="Times New Roman"/>
          <w:noProof/>
        </w:rPr>
        <w:drawing>
          <wp:inline distT="0" distB="0" distL="0" distR="0" wp14:anchorId="0C5E1A68" wp14:editId="1127BD49">
            <wp:extent cx="3114261" cy="3114261"/>
            <wp:effectExtent l="0" t="0" r="0" b="0"/>
            <wp:docPr id="242" name="Picture 2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spatial.reg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106" cy="3123106"/>
                    </a:xfrm>
                    <a:prstGeom prst="rect">
                      <a:avLst/>
                    </a:prstGeom>
                  </pic:spPr>
                </pic:pic>
              </a:graphicData>
            </a:graphic>
          </wp:inline>
        </w:drawing>
      </w:r>
    </w:p>
    <w:p w14:paraId="6D26902B" w14:textId="77777777" w:rsidR="008017E1" w:rsidRPr="00843C43" w:rsidRDefault="008017E1" w:rsidP="00843C43">
      <w:pPr>
        <w:adjustRightInd w:val="0"/>
        <w:snapToGrid w:val="0"/>
        <w:spacing w:after="0" w:line="240" w:lineRule="auto"/>
        <w:rPr>
          <w:rFonts w:ascii="Times New Roman" w:hAnsi="Times New Roman" w:cs="Times New Roman"/>
          <w:color w:val="222222"/>
        </w:rPr>
      </w:pPr>
      <w:r w:rsidRPr="00843C43">
        <w:rPr>
          <w:rFonts w:ascii="Times New Roman" w:hAnsi="Times New Roman" w:cs="Times New Roman"/>
          <w:b/>
        </w:rPr>
        <w:t>Figure BET-</w:t>
      </w:r>
      <w:proofErr w:type="gramStart"/>
      <w:r w:rsidRPr="00843C43">
        <w:rPr>
          <w:rFonts w:ascii="Times New Roman" w:hAnsi="Times New Roman" w:cs="Times New Roman"/>
          <w:b/>
        </w:rPr>
        <w:t>1.</w:t>
      </w:r>
      <w:r w:rsidRPr="00843C43">
        <w:rPr>
          <w:rFonts w:ascii="Times New Roman" w:hAnsi="Times New Roman" w:cs="Times New Roman"/>
          <w:color w:val="222222"/>
        </w:rPr>
        <w:t>Spatial</w:t>
      </w:r>
      <w:proofErr w:type="gramEnd"/>
      <w:r w:rsidRPr="00843C43">
        <w:rPr>
          <w:rFonts w:ascii="Times New Roman" w:hAnsi="Times New Roman" w:cs="Times New Roman"/>
          <w:color w:val="222222"/>
        </w:rPr>
        <w:t xml:space="preserve"> structure for the 2020 bigeye tuna stock assessment.</w:t>
      </w:r>
    </w:p>
    <w:p w14:paraId="2944F44F" w14:textId="77777777" w:rsidR="008017E1" w:rsidRPr="009A541E" w:rsidRDefault="008017E1" w:rsidP="008017E1">
      <w:pPr>
        <w:shd w:val="clear" w:color="auto" w:fill="FFFFFF"/>
        <w:adjustRightInd w:val="0"/>
        <w:snapToGrid w:val="0"/>
        <w:jc w:val="center"/>
        <w:rPr>
          <w:b/>
          <w:bCs/>
        </w:rPr>
      </w:pPr>
      <w:r w:rsidRPr="009A541E">
        <w:rPr>
          <w:b/>
          <w:bCs/>
          <w:noProof/>
        </w:rPr>
        <w:lastRenderedPageBreak/>
        <w:drawing>
          <wp:inline distT="0" distB="0" distL="0" distR="0" wp14:anchorId="3C954128" wp14:editId="133BCFD8">
            <wp:extent cx="3816626" cy="238700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series_catch_fu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972" cy="2403485"/>
                    </a:xfrm>
                    <a:prstGeom prst="rect">
                      <a:avLst/>
                    </a:prstGeom>
                  </pic:spPr>
                </pic:pic>
              </a:graphicData>
            </a:graphic>
          </wp:inline>
        </w:drawing>
      </w:r>
    </w:p>
    <w:p w14:paraId="555D53B7" w14:textId="77777777" w:rsidR="008017E1" w:rsidRPr="00843C43" w:rsidRDefault="008017E1" w:rsidP="008017E1">
      <w:pPr>
        <w:shd w:val="clear" w:color="auto" w:fill="FFFFFF"/>
        <w:adjustRightInd w:val="0"/>
        <w:snapToGrid w:val="0"/>
        <w:jc w:val="both"/>
        <w:rPr>
          <w:rFonts w:ascii="Times New Roman" w:hAnsi="Times New Roman" w:cs="Times New Roman"/>
        </w:rPr>
      </w:pPr>
      <w:r w:rsidRPr="00843C43">
        <w:rPr>
          <w:rFonts w:ascii="Times New Roman" w:hAnsi="Times New Roman" w:cs="Times New Roman"/>
          <w:b/>
          <w:bCs/>
        </w:rPr>
        <w:t xml:space="preserve">Figure BET-2. </w:t>
      </w:r>
      <w:r w:rsidRPr="00843C43">
        <w:rPr>
          <w:rFonts w:ascii="Times New Roman" w:hAnsi="Times New Roman" w:cs="Times New Roman"/>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2020), ho</w:t>
      </w:r>
      <w:r w:rsidRPr="00843C43">
        <w:rPr>
          <w:rFonts w:ascii="Times New Roman" w:hAnsi="Times New Roman" w:cs="Times New Roman"/>
          <w:color w:val="000000"/>
        </w:rPr>
        <w:t xml:space="preserve">wever these catches enter the model as catch-in-numbers. </w:t>
      </w:r>
    </w:p>
    <w:p w14:paraId="4B75426E" w14:textId="77777777" w:rsidR="008017E1" w:rsidRPr="00843C43" w:rsidRDefault="008017E1" w:rsidP="008017E1">
      <w:pPr>
        <w:adjustRightInd w:val="0"/>
        <w:snapToGrid w:val="0"/>
        <w:jc w:val="center"/>
        <w:rPr>
          <w:rFonts w:ascii="Times New Roman" w:hAnsi="Times New Roman" w:cs="Times New Roman"/>
        </w:rPr>
      </w:pPr>
      <w:r w:rsidRPr="00843C43">
        <w:rPr>
          <w:rFonts w:ascii="Times New Roman" w:hAnsi="Times New Roman" w:cs="Times New Roman"/>
          <w:noProof/>
        </w:rPr>
        <w:drawing>
          <wp:inline distT="0" distB="0" distL="0" distR="0" wp14:anchorId="7EB1E95C" wp14:editId="0761E503">
            <wp:extent cx="4452730" cy="3591884"/>
            <wp:effectExtent l="0" t="0" r="5080" b="889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838" cy="3681512"/>
                    </a:xfrm>
                    <a:prstGeom prst="rect">
                      <a:avLst/>
                    </a:prstGeom>
                  </pic:spPr>
                </pic:pic>
              </a:graphicData>
            </a:graphic>
          </wp:inline>
        </w:drawing>
      </w:r>
    </w:p>
    <w:p w14:paraId="6C824036" w14:textId="77777777" w:rsidR="008017E1" w:rsidRPr="00843C43" w:rsidRDefault="008017E1" w:rsidP="008017E1">
      <w:pPr>
        <w:shd w:val="clear" w:color="auto" w:fill="FFFFFF"/>
        <w:adjustRightInd w:val="0"/>
        <w:snapToGrid w:val="0"/>
        <w:jc w:val="both"/>
        <w:rPr>
          <w:rFonts w:ascii="Times New Roman" w:hAnsi="Times New Roman" w:cs="Times New Roman"/>
          <w:color w:val="222222"/>
        </w:rPr>
      </w:pPr>
      <w:r w:rsidRPr="00843C43">
        <w:rPr>
          <w:rFonts w:ascii="Times New Roman" w:hAnsi="Times New Roman" w:cs="Times New Roman"/>
          <w:b/>
          <w:bCs/>
        </w:rPr>
        <w:t xml:space="preserve">Figure BET-3. </w:t>
      </w:r>
      <w:r w:rsidRPr="00843C43">
        <w:rPr>
          <w:rFonts w:ascii="Times New Roman" w:hAnsi="Times New Roman" w:cs="Times New Roman"/>
          <w:color w:val="222222"/>
        </w:rPr>
        <w:t>Time series of total annual catch (1000s mt) by fishing gear and assessment region for the diagnostic model over the full assessment period. The different colors refer to longline (green), pole-and-line (red), purse seine (blue), purse seine associated (dark blue), purse seine unassociated (light blue), miscellaneous (yellow), and index (gray).</w:t>
      </w:r>
    </w:p>
    <w:p w14:paraId="2ECC84B9" w14:textId="77777777" w:rsidR="008017E1" w:rsidRPr="00843C43" w:rsidRDefault="008017E1" w:rsidP="00843C43">
      <w:pPr>
        <w:pStyle w:val="ListParagraph"/>
        <w:widowControl/>
        <w:numPr>
          <w:ilvl w:val="0"/>
          <w:numId w:val="20"/>
        </w:numPr>
        <w:autoSpaceDE/>
        <w:autoSpaceDN/>
        <w:adjustRightInd w:val="0"/>
        <w:snapToGrid w:val="0"/>
        <w:ind w:right="0"/>
        <w:jc w:val="center"/>
      </w:pPr>
      <w:r w:rsidRPr="00843C43">
        <w:lastRenderedPageBreak/>
        <w:t>Recruitment</w:t>
      </w:r>
    </w:p>
    <w:p w14:paraId="770C882B" w14:textId="77777777" w:rsidR="008017E1" w:rsidRPr="00843C43" w:rsidRDefault="008017E1" w:rsidP="00843C43">
      <w:pPr>
        <w:pStyle w:val="ListParagraph"/>
        <w:adjustRightInd w:val="0"/>
        <w:snapToGrid w:val="0"/>
        <w:ind w:left="0"/>
        <w:jc w:val="center"/>
      </w:pPr>
      <w:r w:rsidRPr="00843C43">
        <w:rPr>
          <w:noProof/>
        </w:rPr>
        <w:drawing>
          <wp:inline distT="0" distB="0" distL="0" distR="0" wp14:anchorId="184DD7BC" wp14:editId="7D59F599">
            <wp:extent cx="4404575" cy="232944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0893" cy="2343360"/>
                    </a:xfrm>
                    <a:prstGeom prst="rect">
                      <a:avLst/>
                    </a:prstGeom>
                  </pic:spPr>
                </pic:pic>
              </a:graphicData>
            </a:graphic>
          </wp:inline>
        </w:drawing>
      </w:r>
    </w:p>
    <w:p w14:paraId="36D0C718" w14:textId="77777777" w:rsidR="008017E1" w:rsidRPr="00843C43" w:rsidRDefault="008017E1" w:rsidP="00843C43">
      <w:pPr>
        <w:pStyle w:val="ListParagraph"/>
        <w:widowControl/>
        <w:numPr>
          <w:ilvl w:val="0"/>
          <w:numId w:val="20"/>
        </w:numPr>
        <w:autoSpaceDE/>
        <w:autoSpaceDN/>
        <w:adjustRightInd w:val="0"/>
        <w:snapToGrid w:val="0"/>
        <w:ind w:left="0" w:right="0" w:firstLine="0"/>
        <w:jc w:val="center"/>
      </w:pPr>
      <w:r w:rsidRPr="00843C43">
        <w:t>Spawning Potential</w:t>
      </w:r>
      <w:r w:rsidRPr="00843C43">
        <w:rPr>
          <w:noProof/>
        </w:rPr>
        <w:drawing>
          <wp:inline distT="0" distB="0" distL="0" distR="0" wp14:anchorId="7F2FF886" wp14:editId="6E5E15F4">
            <wp:extent cx="4606104" cy="2340000"/>
            <wp:effectExtent l="0" t="0" r="4445"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6104" cy="2340000"/>
                    </a:xfrm>
                    <a:prstGeom prst="rect">
                      <a:avLst/>
                    </a:prstGeom>
                  </pic:spPr>
                </pic:pic>
              </a:graphicData>
            </a:graphic>
          </wp:inline>
        </w:drawing>
      </w:r>
    </w:p>
    <w:p w14:paraId="0272A5BC" w14:textId="77777777" w:rsidR="008017E1" w:rsidRPr="00843C43" w:rsidRDefault="008017E1" w:rsidP="00843C43">
      <w:pPr>
        <w:pStyle w:val="ListParagraph"/>
        <w:widowControl/>
        <w:numPr>
          <w:ilvl w:val="0"/>
          <w:numId w:val="20"/>
        </w:numPr>
        <w:autoSpaceDE/>
        <w:autoSpaceDN/>
        <w:adjustRightInd w:val="0"/>
        <w:snapToGrid w:val="0"/>
        <w:ind w:right="0"/>
        <w:jc w:val="center"/>
      </w:pPr>
      <w:r w:rsidRPr="00843C43">
        <w:t>Total biomass</w:t>
      </w:r>
    </w:p>
    <w:p w14:paraId="034CD1C0" w14:textId="77777777" w:rsidR="008017E1" w:rsidRPr="00843C43" w:rsidRDefault="008017E1" w:rsidP="00843C43">
      <w:pPr>
        <w:adjustRightInd w:val="0"/>
        <w:snapToGrid w:val="0"/>
        <w:spacing w:after="0" w:line="240" w:lineRule="auto"/>
        <w:jc w:val="center"/>
        <w:rPr>
          <w:rFonts w:ascii="Times New Roman" w:hAnsi="Times New Roman" w:cs="Times New Roman"/>
        </w:rPr>
      </w:pPr>
      <w:r w:rsidRPr="00843C43">
        <w:rPr>
          <w:rFonts w:ascii="Times New Roman" w:hAnsi="Times New Roman" w:cs="Times New Roman"/>
          <w:noProof/>
        </w:rPr>
        <w:drawing>
          <wp:inline distT="0" distB="0" distL="0" distR="0" wp14:anchorId="2A7D136C" wp14:editId="1B5EF1B9">
            <wp:extent cx="5125794" cy="2562896"/>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963" cy="2570481"/>
                    </a:xfrm>
                    <a:prstGeom prst="rect">
                      <a:avLst/>
                    </a:prstGeom>
                  </pic:spPr>
                </pic:pic>
              </a:graphicData>
            </a:graphic>
          </wp:inline>
        </w:drawing>
      </w:r>
    </w:p>
    <w:p w14:paraId="35176BEC" w14:textId="77777777" w:rsidR="008017E1" w:rsidRPr="00843C43" w:rsidRDefault="008017E1" w:rsidP="00843C43">
      <w:pPr>
        <w:shd w:val="clear" w:color="auto" w:fill="FFFFFF"/>
        <w:adjustRightInd w:val="0"/>
        <w:snapToGrid w:val="0"/>
        <w:spacing w:after="0" w:line="240" w:lineRule="auto"/>
        <w:jc w:val="both"/>
        <w:rPr>
          <w:rFonts w:ascii="Times New Roman" w:hAnsi="Times New Roman" w:cs="Times New Roman"/>
          <w:color w:val="222222"/>
        </w:rPr>
      </w:pPr>
      <w:r w:rsidRPr="00843C43">
        <w:rPr>
          <w:rFonts w:ascii="Times New Roman" w:hAnsi="Times New Roman" w:cs="Times New Roman"/>
          <w:b/>
          <w:bCs/>
        </w:rPr>
        <w:t xml:space="preserve">Figure BET-4. </w:t>
      </w:r>
      <w:r w:rsidRPr="00843C43">
        <w:rPr>
          <w:rFonts w:ascii="Times New Roman" w:hAnsi="Times New Roman" w:cs="Times New Roman"/>
          <w:color w:val="222222"/>
        </w:rPr>
        <w:t>Estimated (a) annual average recruitment, (b) spawning potential and (c) total biomass by model region for the diagnostic model, showing the relative sizes among regions.</w:t>
      </w:r>
    </w:p>
    <w:p w14:paraId="5E941DE9" w14:textId="77777777" w:rsidR="008017E1" w:rsidRPr="00843C43" w:rsidRDefault="008017E1" w:rsidP="00843C43">
      <w:pPr>
        <w:adjustRightInd w:val="0"/>
        <w:snapToGrid w:val="0"/>
        <w:spacing w:after="0" w:line="240" w:lineRule="auto"/>
        <w:rPr>
          <w:rFonts w:ascii="Times New Roman" w:hAnsi="Times New Roman" w:cs="Times New Roman"/>
        </w:rPr>
      </w:pPr>
    </w:p>
    <w:p w14:paraId="734C5C64" w14:textId="77777777" w:rsidR="008017E1" w:rsidRPr="00163867" w:rsidRDefault="008017E1" w:rsidP="00163867">
      <w:pPr>
        <w:adjustRightInd w:val="0"/>
        <w:snapToGrid w:val="0"/>
        <w:spacing w:after="0" w:line="240" w:lineRule="auto"/>
        <w:jc w:val="center"/>
        <w:rPr>
          <w:rFonts w:ascii="Times New Roman" w:hAnsi="Times New Roman" w:cs="Times New Roman"/>
          <w:b/>
        </w:rPr>
      </w:pPr>
      <w:r w:rsidRPr="00163867">
        <w:rPr>
          <w:rFonts w:ascii="Times New Roman" w:hAnsi="Times New Roman" w:cs="Times New Roman"/>
          <w:b/>
          <w:noProof/>
        </w:rPr>
        <w:lastRenderedPageBreak/>
        <w:drawing>
          <wp:inline distT="0" distB="0" distL="0" distR="0" wp14:anchorId="246C17BB" wp14:editId="61D72C62">
            <wp:extent cx="5731510" cy="316565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5659"/>
                    </a:xfrm>
                    <a:prstGeom prst="rect">
                      <a:avLst/>
                    </a:prstGeom>
                  </pic:spPr>
                </pic:pic>
              </a:graphicData>
            </a:graphic>
          </wp:inline>
        </w:drawing>
      </w:r>
    </w:p>
    <w:p w14:paraId="538165FB" w14:textId="77777777" w:rsidR="008017E1" w:rsidRPr="00163867" w:rsidRDefault="008017E1" w:rsidP="00163867">
      <w:pPr>
        <w:shd w:val="clear" w:color="auto" w:fill="FFFFFF"/>
        <w:adjustRightInd w:val="0"/>
        <w:snapToGrid w:val="0"/>
        <w:spacing w:after="0" w:line="240" w:lineRule="auto"/>
        <w:jc w:val="both"/>
        <w:rPr>
          <w:rFonts w:ascii="Times New Roman" w:hAnsi="Times New Roman" w:cs="Times New Roman"/>
          <w:color w:val="222222"/>
        </w:rPr>
      </w:pPr>
      <w:r w:rsidRPr="00163867">
        <w:rPr>
          <w:rFonts w:ascii="Times New Roman" w:hAnsi="Times New Roman" w:cs="Times New Roman"/>
          <w:b/>
        </w:rPr>
        <w:t xml:space="preserve">Figure BET-5. </w:t>
      </w:r>
      <w:r w:rsidRPr="00163867">
        <w:rPr>
          <w:rFonts w:ascii="Times New Roman" w:hAnsi="Times New Roman" w:cs="Times New Roman"/>
          <w:color w:val="222222"/>
        </w:rPr>
        <w:t>Estimated seasonal, temporal spawning potential by model region for the diagnostic model. The asymptotic 95% confidence interval as calculated using the delta-method is shown for the “Overall” region. Note that the scale of the y-axis is not constant across regions.</w:t>
      </w:r>
    </w:p>
    <w:p w14:paraId="26323F8D" w14:textId="77777777" w:rsidR="008017E1" w:rsidRPr="00163867" w:rsidRDefault="008017E1" w:rsidP="00163867">
      <w:pPr>
        <w:shd w:val="clear" w:color="auto" w:fill="FFFFFF"/>
        <w:adjustRightInd w:val="0"/>
        <w:snapToGrid w:val="0"/>
        <w:spacing w:after="0" w:line="240" w:lineRule="auto"/>
        <w:jc w:val="both"/>
        <w:rPr>
          <w:rFonts w:ascii="Times New Roman" w:hAnsi="Times New Roman" w:cs="Times New Roman"/>
          <w:bCs/>
        </w:rPr>
      </w:pPr>
    </w:p>
    <w:p w14:paraId="70BCD73E" w14:textId="77777777" w:rsidR="008017E1" w:rsidRPr="00843C43" w:rsidRDefault="008017E1" w:rsidP="00163867">
      <w:pPr>
        <w:adjustRightInd w:val="0"/>
        <w:snapToGrid w:val="0"/>
        <w:spacing w:after="0" w:line="240" w:lineRule="auto"/>
        <w:jc w:val="center"/>
        <w:rPr>
          <w:rFonts w:ascii="Times New Roman" w:hAnsi="Times New Roman" w:cs="Times New Roman"/>
        </w:rPr>
      </w:pPr>
      <w:r w:rsidRPr="00843C43">
        <w:rPr>
          <w:rFonts w:ascii="Times New Roman" w:hAnsi="Times New Roman" w:cs="Times New Roman"/>
          <w:noProof/>
        </w:rPr>
        <w:drawing>
          <wp:inline distT="0" distB="0" distL="0" distR="0" wp14:anchorId="16CEA86F" wp14:editId="11207555">
            <wp:extent cx="5648186" cy="392805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16">
                      <a:extLst>
                        <a:ext uri="{28A0092B-C50C-407E-A947-70E740481C1C}">
                          <a14:useLocalDpi xmlns:a14="http://schemas.microsoft.com/office/drawing/2010/main" val="0"/>
                        </a:ext>
                      </a:extLst>
                    </a:blip>
                    <a:stretch>
                      <a:fillRect/>
                    </a:stretch>
                  </pic:blipFill>
                  <pic:spPr>
                    <a:xfrm>
                      <a:off x="0" y="0"/>
                      <a:ext cx="5661781" cy="3937510"/>
                    </a:xfrm>
                    <a:prstGeom prst="rect">
                      <a:avLst/>
                    </a:prstGeom>
                  </pic:spPr>
                </pic:pic>
              </a:graphicData>
            </a:graphic>
          </wp:inline>
        </w:drawing>
      </w:r>
    </w:p>
    <w:p w14:paraId="179A4941" w14:textId="77777777" w:rsidR="008017E1" w:rsidRPr="00843C43" w:rsidRDefault="008017E1" w:rsidP="00163867">
      <w:pPr>
        <w:shd w:val="clear" w:color="auto" w:fill="FFFFFF"/>
        <w:adjustRightInd w:val="0"/>
        <w:snapToGrid w:val="0"/>
        <w:spacing w:after="0" w:line="240" w:lineRule="auto"/>
        <w:jc w:val="both"/>
        <w:rPr>
          <w:rFonts w:ascii="Times New Roman" w:hAnsi="Times New Roman" w:cs="Times New Roman"/>
          <w:color w:val="222222"/>
        </w:rPr>
      </w:pPr>
      <w:r w:rsidRPr="00843C43">
        <w:rPr>
          <w:rFonts w:ascii="Times New Roman" w:hAnsi="Times New Roman" w:cs="Times New Roman"/>
          <w:b/>
          <w:bCs/>
        </w:rPr>
        <w:t xml:space="preserve">Figure BET-6. </w:t>
      </w:r>
      <w:r w:rsidRPr="00843C43">
        <w:rPr>
          <w:rFonts w:ascii="Times New Roman" w:hAnsi="Times New Roman" w:cs="Times New Roman"/>
          <w:color w:val="222222"/>
        </w:rPr>
        <w:t>Estimated annual average juvenile and adult fishing mortality for the diagnostic model.</w:t>
      </w:r>
    </w:p>
    <w:p w14:paraId="326C6F55" w14:textId="431FBFB5" w:rsidR="008017E1" w:rsidRDefault="008017E1" w:rsidP="00163867">
      <w:pPr>
        <w:adjustRightInd w:val="0"/>
        <w:snapToGrid w:val="0"/>
        <w:spacing w:after="0" w:line="240" w:lineRule="auto"/>
        <w:jc w:val="center"/>
        <w:rPr>
          <w:b/>
          <w:bCs/>
        </w:rPr>
      </w:pPr>
      <w:r w:rsidRPr="009A541E">
        <w:rPr>
          <w:b/>
          <w:bCs/>
          <w:noProof/>
        </w:rPr>
        <w:lastRenderedPageBreak/>
        <w:drawing>
          <wp:inline distT="0" distB="0" distL="0" distR="0" wp14:anchorId="2541EA8A" wp14:editId="529BEEAA">
            <wp:extent cx="5178144" cy="6904383"/>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sh_impact.ss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9278" cy="6905895"/>
                    </a:xfrm>
                    <a:prstGeom prst="rect">
                      <a:avLst/>
                    </a:prstGeom>
                  </pic:spPr>
                </pic:pic>
              </a:graphicData>
            </a:graphic>
          </wp:inline>
        </w:drawing>
      </w:r>
    </w:p>
    <w:p w14:paraId="340A5553" w14:textId="77777777" w:rsidR="0024312A" w:rsidRPr="009A541E" w:rsidRDefault="0024312A" w:rsidP="00163867">
      <w:pPr>
        <w:adjustRightInd w:val="0"/>
        <w:snapToGrid w:val="0"/>
        <w:spacing w:after="0" w:line="240" w:lineRule="auto"/>
        <w:jc w:val="center"/>
        <w:rPr>
          <w:b/>
          <w:bCs/>
        </w:rPr>
      </w:pPr>
    </w:p>
    <w:p w14:paraId="04F7E514" w14:textId="77777777" w:rsidR="008017E1" w:rsidRPr="00853EB0" w:rsidRDefault="008017E1" w:rsidP="00163867">
      <w:pPr>
        <w:adjustRightInd w:val="0"/>
        <w:snapToGrid w:val="0"/>
        <w:spacing w:after="0" w:line="240" w:lineRule="auto"/>
        <w:jc w:val="both"/>
        <w:rPr>
          <w:rFonts w:ascii="Times New Roman" w:hAnsi="Times New Roman" w:cs="Times New Roman"/>
          <w:color w:val="222222"/>
        </w:rPr>
      </w:pPr>
      <w:r w:rsidRPr="00853EB0">
        <w:rPr>
          <w:rFonts w:ascii="Times New Roman" w:hAnsi="Times New Roman" w:cs="Times New Roman"/>
          <w:b/>
          <w:bCs/>
        </w:rPr>
        <w:t>Figure BET-</w:t>
      </w:r>
      <w:proofErr w:type="gramStart"/>
      <w:r w:rsidRPr="00853EB0">
        <w:rPr>
          <w:rFonts w:ascii="Times New Roman" w:hAnsi="Times New Roman" w:cs="Times New Roman"/>
          <w:b/>
          <w:bCs/>
        </w:rPr>
        <w:t>7.</w:t>
      </w:r>
      <w:r w:rsidRPr="00853EB0">
        <w:rPr>
          <w:rFonts w:ascii="Times New Roman" w:hAnsi="Times New Roman" w:cs="Times New Roman"/>
          <w:color w:val="222222"/>
          <w:shd w:val="clear" w:color="auto" w:fill="FFFFFF"/>
        </w:rPr>
        <w:t>Estimates</w:t>
      </w:r>
      <w:proofErr w:type="gramEnd"/>
      <w:r w:rsidRPr="00853EB0">
        <w:rPr>
          <w:rFonts w:ascii="Times New Roman" w:hAnsi="Times New Roman" w:cs="Times New Roman"/>
          <w:color w:val="222222"/>
          <w:shd w:val="clear" w:color="auto" w:fill="FFFFFF"/>
        </w:rPr>
        <w:t xml:space="preserve"> of reduction in spawning potential due to fishing (fishery impact = (1-SB</w:t>
      </w:r>
      <w:r w:rsidRPr="00853EB0">
        <w:rPr>
          <w:rFonts w:ascii="Times New Roman" w:hAnsi="Times New Roman" w:cs="Times New Roman"/>
          <w:color w:val="222222"/>
          <w:shd w:val="clear" w:color="auto" w:fill="FFFFFF"/>
          <w:vertAlign w:val="subscript"/>
        </w:rPr>
        <w:t>t</w:t>
      </w:r>
      <w:r w:rsidRPr="00853EB0">
        <w:rPr>
          <w:rFonts w:ascii="Times New Roman" w:hAnsi="Times New Roman" w:cs="Times New Roman"/>
          <w:color w:val="222222"/>
          <w:shd w:val="clear" w:color="auto" w:fill="FFFFFF"/>
        </w:rPr>
        <w:t>/</w:t>
      </w:r>
      <w:proofErr w:type="spellStart"/>
      <w:r w:rsidRPr="00853EB0">
        <w:rPr>
          <w:rFonts w:ascii="Times New Roman" w:hAnsi="Times New Roman" w:cs="Times New Roman"/>
          <w:color w:val="222222"/>
          <w:shd w:val="clear" w:color="auto" w:fill="FFFFFF"/>
        </w:rPr>
        <w:t>SB</w:t>
      </w:r>
      <w:r w:rsidRPr="00853EB0">
        <w:rPr>
          <w:rFonts w:ascii="Times New Roman" w:hAnsi="Times New Roman" w:cs="Times New Roman"/>
          <w:color w:val="222222"/>
          <w:shd w:val="clear" w:color="auto" w:fill="FFFFFF"/>
          <w:vertAlign w:val="subscript"/>
        </w:rPr>
        <w:t>t;F</w:t>
      </w:r>
      <w:proofErr w:type="spellEnd"/>
      <w:r w:rsidRPr="00853EB0">
        <w:rPr>
          <w:rFonts w:ascii="Times New Roman" w:hAnsi="Times New Roman" w:cs="Times New Roman"/>
          <w:color w:val="222222"/>
          <w:shd w:val="clear" w:color="auto" w:fill="FFFFFF"/>
          <w:vertAlign w:val="subscript"/>
        </w:rPr>
        <w:t>=0</w:t>
      </w:r>
      <w:r w:rsidRPr="00853EB0">
        <w:rPr>
          <w:rFonts w:ascii="Times New Roman" w:hAnsi="Times New Roman" w:cs="Times New Roman"/>
          <w:color w:val="222222"/>
          <w:shd w:val="clear" w:color="auto" w:fill="FFFFFF"/>
        </w:rPr>
        <w:t>) * 100%) by region, and over all regions (lower right panel), attributed to various fishery groups for the diagnostic model.</w:t>
      </w:r>
    </w:p>
    <w:p w14:paraId="351BD189" w14:textId="77777777" w:rsidR="008017E1" w:rsidRPr="00853EB0" w:rsidRDefault="008017E1" w:rsidP="00163867">
      <w:pPr>
        <w:shd w:val="clear" w:color="auto" w:fill="FFFFFF"/>
        <w:adjustRightInd w:val="0"/>
        <w:snapToGrid w:val="0"/>
        <w:spacing w:after="0" w:line="240" w:lineRule="auto"/>
        <w:rPr>
          <w:rFonts w:ascii="Times New Roman" w:hAnsi="Times New Roman" w:cs="Times New Roman"/>
          <w:color w:val="222222"/>
        </w:rPr>
      </w:pPr>
      <w:r w:rsidRPr="009A541E">
        <w:rPr>
          <w:color w:val="222222"/>
        </w:rPr>
        <w:t> </w:t>
      </w:r>
    </w:p>
    <w:p w14:paraId="07424120" w14:textId="77777777" w:rsidR="008017E1" w:rsidRPr="00853EB0" w:rsidRDefault="008017E1" w:rsidP="00163867">
      <w:pPr>
        <w:adjustRightInd w:val="0"/>
        <w:snapToGrid w:val="0"/>
        <w:spacing w:after="0" w:line="240" w:lineRule="auto"/>
        <w:jc w:val="center"/>
        <w:rPr>
          <w:rFonts w:ascii="Times New Roman" w:hAnsi="Times New Roman" w:cs="Times New Roman"/>
        </w:rPr>
      </w:pPr>
      <w:r w:rsidRPr="00853EB0">
        <w:rPr>
          <w:rFonts w:ascii="Times New Roman" w:hAnsi="Times New Roman" w:cs="Times New Roman"/>
          <w:noProof/>
        </w:rPr>
        <w:lastRenderedPageBreak/>
        <w:drawing>
          <wp:inline distT="0" distB="0" distL="0" distR="0" wp14:anchorId="6CA89845" wp14:editId="2FF74D69">
            <wp:extent cx="5433391" cy="543339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5752" cy="5455752"/>
                    </a:xfrm>
                    <a:prstGeom prst="rect">
                      <a:avLst/>
                    </a:prstGeom>
                  </pic:spPr>
                </pic:pic>
              </a:graphicData>
            </a:graphic>
          </wp:inline>
        </w:drawing>
      </w:r>
    </w:p>
    <w:p w14:paraId="13C91FA0" w14:textId="77777777" w:rsidR="008017E1" w:rsidRPr="00853EB0" w:rsidRDefault="008017E1" w:rsidP="00163867">
      <w:pPr>
        <w:shd w:val="clear" w:color="auto" w:fill="FFFFFF"/>
        <w:adjustRightInd w:val="0"/>
        <w:snapToGrid w:val="0"/>
        <w:spacing w:after="0" w:line="240" w:lineRule="auto"/>
        <w:jc w:val="both"/>
        <w:rPr>
          <w:rFonts w:ascii="Times New Roman" w:hAnsi="Times New Roman" w:cs="Times New Roman"/>
          <w:color w:val="222222"/>
        </w:rPr>
      </w:pPr>
      <w:r w:rsidRPr="00853EB0">
        <w:rPr>
          <w:rFonts w:ascii="Times New Roman" w:hAnsi="Times New Roman" w:cs="Times New Roman"/>
          <w:b/>
          <w:bCs/>
        </w:rPr>
        <w:t xml:space="preserve">Figure BET-8. </w:t>
      </w:r>
      <w:r w:rsidRPr="00853EB0">
        <w:rPr>
          <w:rFonts w:ascii="Times New Roman" w:hAnsi="Times New Roman" w:cs="Times New Roman"/>
          <w:color w:val="222222"/>
        </w:rPr>
        <w:t>Time-dynamic percentiles of depletion (</w:t>
      </w:r>
      <w:proofErr w:type="spellStart"/>
      <w:r w:rsidRPr="00853EB0">
        <w:rPr>
          <w:rFonts w:ascii="Times New Roman" w:hAnsi="Times New Roman" w:cs="Times New Roman"/>
          <w:color w:val="222222"/>
        </w:rPr>
        <w:t>SB</w:t>
      </w:r>
      <w:r w:rsidRPr="00853EB0">
        <w:rPr>
          <w:rFonts w:ascii="Times New Roman" w:hAnsi="Times New Roman" w:cs="Times New Roman"/>
          <w:color w:val="222222"/>
          <w:vertAlign w:val="subscript"/>
        </w:rPr>
        <w:t>t</w:t>
      </w:r>
      <w:proofErr w:type="spellEnd"/>
      <w:r w:rsidRPr="00853EB0">
        <w:rPr>
          <w:rFonts w:ascii="Times New Roman" w:hAnsi="Times New Roman" w:cs="Times New Roman"/>
          <w:color w:val="222222"/>
        </w:rPr>
        <w:t>/</w:t>
      </w:r>
      <w:proofErr w:type="spellStart"/>
      <w:proofErr w:type="gramStart"/>
      <w:r w:rsidRPr="00853EB0">
        <w:rPr>
          <w:rFonts w:ascii="Times New Roman" w:hAnsi="Times New Roman" w:cs="Times New Roman"/>
          <w:color w:val="222222"/>
        </w:rPr>
        <w:t>SB</w:t>
      </w:r>
      <w:r w:rsidRPr="00853EB0">
        <w:rPr>
          <w:rFonts w:ascii="Times New Roman" w:hAnsi="Times New Roman" w:cs="Times New Roman"/>
          <w:color w:val="222222"/>
          <w:vertAlign w:val="subscript"/>
        </w:rPr>
        <w:t>t;F</w:t>
      </w:r>
      <w:proofErr w:type="spellEnd"/>
      <w:proofErr w:type="gramEnd"/>
      <w:r w:rsidRPr="00853EB0">
        <w:rPr>
          <w:rFonts w:ascii="Times New Roman" w:hAnsi="Times New Roman" w:cs="Times New Roman"/>
          <w:color w:val="222222"/>
          <w:vertAlign w:val="subscript"/>
        </w:rPr>
        <w:t>=0</w:t>
      </w:r>
      <w:r w:rsidRPr="00853EB0">
        <w:rPr>
          <w:rFonts w:ascii="Times New Roman" w:hAnsi="Times New Roman" w:cs="Times New Roman"/>
          <w:color w:val="222222"/>
        </w:rPr>
        <w:t>) and median (dark line) across all 24 models in the structural uncertainty grid. The lighter band shows the 10</w:t>
      </w:r>
      <w:r w:rsidRPr="00853EB0">
        <w:rPr>
          <w:rFonts w:ascii="Times New Roman" w:hAnsi="Times New Roman" w:cs="Times New Roman"/>
          <w:color w:val="222222"/>
          <w:vertAlign w:val="superscript"/>
        </w:rPr>
        <w:t>th</w:t>
      </w:r>
      <w:r w:rsidRPr="00853EB0">
        <w:rPr>
          <w:rFonts w:ascii="Times New Roman" w:hAnsi="Times New Roman" w:cs="Times New Roman"/>
          <w:color w:val="222222"/>
        </w:rPr>
        <w:t xml:space="preserve"> to 90</w:t>
      </w:r>
      <w:r w:rsidRPr="00853EB0">
        <w:rPr>
          <w:rFonts w:ascii="Times New Roman" w:hAnsi="Times New Roman" w:cs="Times New Roman"/>
          <w:color w:val="222222"/>
          <w:vertAlign w:val="superscript"/>
        </w:rPr>
        <w:t>th</w:t>
      </w:r>
      <w:r w:rsidRPr="00853EB0">
        <w:rPr>
          <w:rFonts w:ascii="Times New Roman" w:hAnsi="Times New Roman" w:cs="Times New Roman"/>
          <w:color w:val="222222"/>
        </w:rPr>
        <w:t xml:space="preserve"> percentiles around the median, and the dark band shows the 50th percentile around the median. The median </w:t>
      </w:r>
      <w:proofErr w:type="spellStart"/>
      <w:r w:rsidRPr="00853EB0">
        <w:rPr>
          <w:rFonts w:ascii="Times New Roman" w:hAnsi="Times New Roman" w:cs="Times New Roman"/>
          <w:color w:val="222222"/>
        </w:rPr>
        <w:t>SB</w:t>
      </w:r>
      <w:r w:rsidRPr="00853EB0">
        <w:rPr>
          <w:rFonts w:ascii="Times New Roman" w:hAnsi="Times New Roman" w:cs="Times New Roman"/>
          <w:color w:val="222222"/>
          <w:vertAlign w:val="subscript"/>
        </w:rPr>
        <w:t>recent</w:t>
      </w:r>
      <w:proofErr w:type="spellEnd"/>
      <w:r w:rsidRPr="00853EB0">
        <w:rPr>
          <w:rFonts w:ascii="Times New Roman" w:hAnsi="Times New Roman" w:cs="Times New Roman"/>
          <w:color w:val="222222"/>
        </w:rPr>
        <w:t>/SB</w:t>
      </w:r>
      <w:r w:rsidRPr="00853EB0">
        <w:rPr>
          <w:rFonts w:ascii="Times New Roman" w:hAnsi="Times New Roman" w:cs="Times New Roman"/>
          <w:color w:val="222222"/>
          <w:vertAlign w:val="subscript"/>
        </w:rPr>
        <w:t>F=0</w:t>
      </w:r>
      <w:r w:rsidRPr="00853EB0">
        <w:rPr>
          <w:rFonts w:ascii="Times New Roman" w:hAnsi="Times New Roman" w:cs="Times New Roman"/>
          <w:color w:val="222222"/>
        </w:rPr>
        <w:t> and 80th percentile is shown on the right by the dot and line.</w:t>
      </w:r>
    </w:p>
    <w:p w14:paraId="25CEFD0A" w14:textId="77777777" w:rsidR="008017E1" w:rsidRPr="00853EB0" w:rsidRDefault="008017E1" w:rsidP="00163867">
      <w:pPr>
        <w:adjustRightInd w:val="0"/>
        <w:snapToGrid w:val="0"/>
        <w:spacing w:after="0" w:line="240" w:lineRule="auto"/>
        <w:jc w:val="center"/>
        <w:rPr>
          <w:rFonts w:ascii="Times New Roman" w:hAnsi="Times New Roman" w:cs="Times New Roman"/>
          <w:b/>
          <w:bCs/>
        </w:rPr>
      </w:pPr>
      <w:r w:rsidRPr="00853EB0">
        <w:rPr>
          <w:rFonts w:ascii="Times New Roman" w:hAnsi="Times New Roman" w:cs="Times New Roman"/>
          <w:b/>
          <w:bCs/>
          <w:noProof/>
        </w:rPr>
        <w:lastRenderedPageBreak/>
        <w:drawing>
          <wp:inline distT="0" distB="0" distL="0" distR="0" wp14:anchorId="18FF283B" wp14:editId="0FB7256B">
            <wp:extent cx="3163824" cy="316382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inline>
        </w:drawing>
      </w:r>
    </w:p>
    <w:p w14:paraId="10CE4027" w14:textId="77777777" w:rsidR="008017E1" w:rsidRPr="00853EB0" w:rsidRDefault="008017E1" w:rsidP="00163867">
      <w:pPr>
        <w:adjustRightInd w:val="0"/>
        <w:snapToGrid w:val="0"/>
        <w:spacing w:after="0" w:line="240" w:lineRule="auto"/>
        <w:rPr>
          <w:rFonts w:ascii="Times New Roman" w:hAnsi="Times New Roman" w:cs="Times New Roman"/>
          <w:b/>
          <w:bCs/>
        </w:rPr>
      </w:pPr>
    </w:p>
    <w:p w14:paraId="537FD1A3" w14:textId="77777777" w:rsidR="008017E1" w:rsidRPr="00853EB0" w:rsidRDefault="008017E1" w:rsidP="00163867">
      <w:pPr>
        <w:adjustRightInd w:val="0"/>
        <w:snapToGrid w:val="0"/>
        <w:spacing w:after="0" w:line="240" w:lineRule="auto"/>
        <w:jc w:val="both"/>
        <w:rPr>
          <w:rFonts w:ascii="Times New Roman" w:hAnsi="Times New Roman" w:cs="Times New Roman"/>
        </w:rPr>
      </w:pPr>
      <w:r w:rsidRPr="00853EB0">
        <w:rPr>
          <w:rFonts w:ascii="Times New Roman" w:hAnsi="Times New Roman" w:cs="Times New Roman"/>
          <w:b/>
          <w:bCs/>
        </w:rPr>
        <w:t>Figure BET-9</w:t>
      </w:r>
      <w:r w:rsidRPr="00853EB0">
        <w:rPr>
          <w:rFonts w:ascii="Times New Roman" w:hAnsi="Times New Roman" w:cs="Times New Roman"/>
        </w:rPr>
        <w:t>. Majuro plot for the recent spawning potential (2015–2018) summarizing the results for each of the models in the structural uncertainty grid. The plots represent estimates of stock status in terms of spawning biomass depletion and fishing mortality, and marginal distributions of each are presented. The median is shown in blue.</w:t>
      </w:r>
    </w:p>
    <w:p w14:paraId="699A4044" w14:textId="77777777" w:rsidR="008017E1" w:rsidRPr="00853EB0" w:rsidRDefault="008017E1" w:rsidP="00163867">
      <w:pPr>
        <w:adjustRightInd w:val="0"/>
        <w:snapToGrid w:val="0"/>
        <w:spacing w:after="0" w:line="240" w:lineRule="auto"/>
        <w:jc w:val="both"/>
        <w:rPr>
          <w:rFonts w:ascii="Times New Roman" w:hAnsi="Times New Roman" w:cs="Times New Roman"/>
        </w:rPr>
      </w:pPr>
    </w:p>
    <w:p w14:paraId="5DA059AD" w14:textId="77777777" w:rsidR="008017E1" w:rsidRPr="00853EB0" w:rsidRDefault="008017E1" w:rsidP="00163867">
      <w:pPr>
        <w:adjustRightInd w:val="0"/>
        <w:snapToGrid w:val="0"/>
        <w:spacing w:after="0" w:line="240" w:lineRule="auto"/>
        <w:jc w:val="center"/>
        <w:rPr>
          <w:rFonts w:ascii="Times New Roman" w:hAnsi="Times New Roman" w:cs="Times New Roman"/>
        </w:rPr>
      </w:pPr>
      <w:r w:rsidRPr="00853EB0">
        <w:rPr>
          <w:rFonts w:ascii="Times New Roman" w:hAnsi="Times New Roman" w:cs="Times New Roman"/>
          <w:noProof/>
        </w:rPr>
        <w:drawing>
          <wp:inline distT="0" distB="0" distL="0" distR="0" wp14:anchorId="00234661" wp14:editId="644F95CF">
            <wp:extent cx="3099816" cy="3099816"/>
            <wp:effectExtent l="0" t="0" r="5715"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inline>
        </w:drawing>
      </w:r>
    </w:p>
    <w:p w14:paraId="6B9D2E0B" w14:textId="77777777" w:rsidR="008017E1" w:rsidRPr="00853EB0" w:rsidRDefault="008017E1" w:rsidP="00163867">
      <w:pPr>
        <w:adjustRightInd w:val="0"/>
        <w:snapToGrid w:val="0"/>
        <w:spacing w:after="0" w:line="240" w:lineRule="auto"/>
        <w:rPr>
          <w:rFonts w:ascii="Times New Roman" w:hAnsi="Times New Roman" w:cs="Times New Roman"/>
        </w:rPr>
      </w:pPr>
    </w:p>
    <w:p w14:paraId="07FC40EE" w14:textId="77777777" w:rsidR="008017E1" w:rsidRPr="00853EB0" w:rsidRDefault="008017E1" w:rsidP="00163867">
      <w:pPr>
        <w:adjustRightInd w:val="0"/>
        <w:snapToGrid w:val="0"/>
        <w:spacing w:after="0" w:line="240" w:lineRule="auto"/>
        <w:jc w:val="both"/>
        <w:rPr>
          <w:rFonts w:ascii="Times New Roman" w:hAnsi="Times New Roman" w:cs="Times New Roman"/>
        </w:rPr>
      </w:pPr>
      <w:r w:rsidRPr="00853EB0">
        <w:rPr>
          <w:rFonts w:ascii="Times New Roman" w:hAnsi="Times New Roman" w:cs="Times New Roman"/>
          <w:b/>
          <w:bCs/>
        </w:rPr>
        <w:t>Figure BET-10</w:t>
      </w:r>
      <w:r w:rsidRPr="00853EB0">
        <w:rPr>
          <w:rFonts w:ascii="Times New Roman" w:hAnsi="Times New Roman" w:cs="Times New Roman"/>
        </w:rPr>
        <w:t>. Kobe plot for the recent spawning potential (2015–2018) summarizing the results for each of the models in the structural uncertainty grid. The plots represent estimates of stock status in terms of spawning biomass depletion and fishing mortality. Marginal distributions of each are presented. The median is shown in blue.</w:t>
      </w:r>
    </w:p>
    <w:p w14:paraId="73539159" w14:textId="77777777" w:rsidR="008017E1" w:rsidRPr="00853EB0" w:rsidRDefault="008017E1" w:rsidP="00163867">
      <w:pPr>
        <w:adjustRightInd w:val="0"/>
        <w:snapToGrid w:val="0"/>
        <w:spacing w:after="0" w:line="240" w:lineRule="auto"/>
        <w:jc w:val="center"/>
        <w:rPr>
          <w:rFonts w:ascii="Times New Roman" w:hAnsi="Times New Roman" w:cs="Times New Roman"/>
        </w:rPr>
      </w:pPr>
      <w:r w:rsidRPr="00853EB0">
        <w:rPr>
          <w:rFonts w:ascii="Times New Roman" w:hAnsi="Times New Roman" w:cs="Times New Roman"/>
          <w:noProof/>
        </w:rPr>
        <w:lastRenderedPageBreak/>
        <w:drawing>
          <wp:inline distT="0" distB="0" distL="0" distR="0" wp14:anchorId="5C33043C" wp14:editId="2C365873">
            <wp:extent cx="4379976" cy="2624328"/>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9976" cy="2624328"/>
                    </a:xfrm>
                    <a:prstGeom prst="rect">
                      <a:avLst/>
                    </a:prstGeom>
                    <a:noFill/>
                    <a:ln>
                      <a:noFill/>
                    </a:ln>
                  </pic:spPr>
                </pic:pic>
              </a:graphicData>
            </a:graphic>
          </wp:inline>
        </w:drawing>
      </w:r>
    </w:p>
    <w:p w14:paraId="67FBE796" w14:textId="77777777" w:rsidR="008017E1" w:rsidRPr="00853EB0" w:rsidRDefault="008017E1" w:rsidP="00163867">
      <w:pPr>
        <w:autoSpaceDE w:val="0"/>
        <w:autoSpaceDN w:val="0"/>
        <w:adjustRightInd w:val="0"/>
        <w:snapToGrid w:val="0"/>
        <w:spacing w:after="0" w:line="240" w:lineRule="auto"/>
        <w:jc w:val="both"/>
        <w:rPr>
          <w:rFonts w:ascii="Times New Roman" w:hAnsi="Times New Roman" w:cs="Times New Roman"/>
        </w:rPr>
      </w:pPr>
      <w:r w:rsidRPr="00853EB0">
        <w:rPr>
          <w:rFonts w:ascii="Times New Roman" w:hAnsi="Times New Roman" w:cs="Times New Roman"/>
          <w:b/>
          <w:bCs/>
        </w:rPr>
        <w:t>Figure BET-11</w:t>
      </w:r>
      <w:r w:rsidRPr="00853EB0">
        <w:rPr>
          <w:rFonts w:ascii="Times New Roman" w:hAnsi="Times New Roman" w:cs="Times New Roman"/>
        </w:rPr>
        <w:t xml:space="preserve">. Time series of bigeye tuna spawning potential </w:t>
      </w:r>
      <w:proofErr w:type="spellStart"/>
      <w:r w:rsidRPr="00853EB0">
        <w:rPr>
          <w:rFonts w:ascii="Times New Roman" w:hAnsi="Times New Roman" w:cs="Times New Roman"/>
        </w:rPr>
        <w:t>SB</w:t>
      </w:r>
      <w:r w:rsidRPr="00853EB0">
        <w:rPr>
          <w:rFonts w:ascii="Times New Roman" w:hAnsi="Times New Roman" w:cs="Times New Roman"/>
          <w:vertAlign w:val="subscript"/>
        </w:rPr>
        <w:t>t</w:t>
      </w:r>
      <w:proofErr w:type="spellEnd"/>
      <w:r w:rsidRPr="00853EB0">
        <w:rPr>
          <w:rFonts w:ascii="Times New Roman" w:hAnsi="Times New Roman" w:cs="Times New Roman"/>
        </w:rPr>
        <w:t>/SB</w:t>
      </w:r>
      <w:r w:rsidRPr="00853EB0">
        <w:rPr>
          <w:rFonts w:ascii="Times New Roman" w:hAnsi="Times New Roman" w:cs="Times New Roman"/>
          <w:vertAlign w:val="subscript"/>
        </w:rPr>
        <w:t>F=0</w:t>
      </w:r>
      <w:r w:rsidRPr="00853EB0">
        <w:rPr>
          <w:rFonts w:ascii="Times New Roman" w:hAnsi="Times New Roman" w:cs="Times New Roman"/>
        </w:rPr>
        <w:t>, where SB</w:t>
      </w:r>
      <w:r w:rsidRPr="00853EB0">
        <w:rPr>
          <w:rFonts w:ascii="Times New Roman" w:hAnsi="Times New Roman" w:cs="Times New Roman"/>
          <w:vertAlign w:val="subscript"/>
        </w:rPr>
        <w:t>F=0</w:t>
      </w:r>
      <w:r w:rsidRPr="00853EB0">
        <w:rPr>
          <w:rFonts w:ascii="Times New Roman" w:hAnsi="Times New Roman" w:cs="Times New Roman"/>
        </w:rPr>
        <w:t xml:space="preserve"> is the average SB from t-10 to t-1, relative to the current year t, from the uncertainty grid of assessment models for the period 2000 to 2018, and stochastic projection results for the period 2019 to 2048 assuming 2016-2018 average catches in longline and other fisheries and 2018 effort in purse seine fisheries continue. Vertical gray line </w:t>
      </w:r>
      <w:proofErr w:type="gramStart"/>
      <w:r w:rsidRPr="00853EB0">
        <w:rPr>
          <w:rFonts w:ascii="Times New Roman" w:hAnsi="Times New Roman" w:cs="Times New Roman"/>
        </w:rPr>
        <w:t>at</w:t>
      </w:r>
      <w:proofErr w:type="gramEnd"/>
      <w:r w:rsidRPr="00853EB0">
        <w:rPr>
          <w:rFonts w:ascii="Times New Roman" w:hAnsi="Times New Roman" w:cs="Times New Roman"/>
        </w:rPr>
        <w:t xml:space="preserve"> 2018 represents the last year of the assessment. During the projection period (2019-2048) levels of recruitment variability are assumed to match those over the short-term period (2008-2017). The red horizontal dashed line represents the agreed limit reference point.</w:t>
      </w:r>
    </w:p>
    <w:p w14:paraId="45F040D4" w14:textId="77777777" w:rsidR="008017E1" w:rsidRPr="00853EB0" w:rsidRDefault="008017E1" w:rsidP="00163867">
      <w:pPr>
        <w:autoSpaceDE w:val="0"/>
        <w:autoSpaceDN w:val="0"/>
        <w:adjustRightInd w:val="0"/>
        <w:snapToGrid w:val="0"/>
        <w:spacing w:after="0" w:line="240" w:lineRule="auto"/>
        <w:rPr>
          <w:rFonts w:ascii="Times New Roman" w:hAnsi="Times New Roman" w:cs="Times New Roman"/>
        </w:rPr>
      </w:pPr>
    </w:p>
    <w:p w14:paraId="2CF3EEF7" w14:textId="77777777" w:rsidR="008017E1" w:rsidRPr="00853EB0" w:rsidRDefault="008017E1" w:rsidP="00163867">
      <w:pPr>
        <w:autoSpaceDE w:val="0"/>
        <w:autoSpaceDN w:val="0"/>
        <w:adjustRightInd w:val="0"/>
        <w:snapToGrid w:val="0"/>
        <w:spacing w:after="0" w:line="240" w:lineRule="auto"/>
        <w:jc w:val="center"/>
        <w:rPr>
          <w:rFonts w:ascii="Times New Roman" w:hAnsi="Times New Roman" w:cs="Times New Roman"/>
        </w:rPr>
      </w:pPr>
      <w:r w:rsidRPr="00853EB0">
        <w:rPr>
          <w:rFonts w:ascii="Times New Roman" w:hAnsi="Times New Roman" w:cs="Times New Roman"/>
          <w:noProof/>
        </w:rPr>
        <w:drawing>
          <wp:inline distT="0" distB="0" distL="0" distR="0" wp14:anchorId="3BEC07C6" wp14:editId="68F30228">
            <wp:extent cx="4707340" cy="2820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3795" cy="2824341"/>
                    </a:xfrm>
                    <a:prstGeom prst="rect">
                      <a:avLst/>
                    </a:prstGeom>
                    <a:noFill/>
                    <a:ln>
                      <a:noFill/>
                    </a:ln>
                  </pic:spPr>
                </pic:pic>
              </a:graphicData>
            </a:graphic>
          </wp:inline>
        </w:drawing>
      </w:r>
    </w:p>
    <w:p w14:paraId="25234D6D" w14:textId="77777777" w:rsidR="008017E1" w:rsidRPr="00853EB0" w:rsidRDefault="008017E1" w:rsidP="00163867">
      <w:pPr>
        <w:autoSpaceDE w:val="0"/>
        <w:autoSpaceDN w:val="0"/>
        <w:adjustRightInd w:val="0"/>
        <w:snapToGrid w:val="0"/>
        <w:spacing w:after="0" w:line="240" w:lineRule="auto"/>
        <w:jc w:val="both"/>
        <w:rPr>
          <w:rFonts w:ascii="Times New Roman" w:hAnsi="Times New Roman" w:cs="Times New Roman"/>
        </w:rPr>
      </w:pPr>
      <w:r w:rsidRPr="00853EB0">
        <w:rPr>
          <w:rFonts w:ascii="Times New Roman" w:hAnsi="Times New Roman" w:cs="Times New Roman"/>
          <w:b/>
          <w:bCs/>
        </w:rPr>
        <w:t>Figure BET-12</w:t>
      </w:r>
      <w:r w:rsidRPr="00853EB0">
        <w:rPr>
          <w:rFonts w:ascii="Times New Roman" w:hAnsi="Times New Roman" w:cs="Times New Roman"/>
        </w:rPr>
        <w:t xml:space="preserve">. Time series of bigeye tuna spawning potential </w:t>
      </w:r>
      <w:proofErr w:type="spellStart"/>
      <w:r w:rsidRPr="00853EB0">
        <w:rPr>
          <w:rFonts w:ascii="Times New Roman" w:hAnsi="Times New Roman" w:cs="Times New Roman"/>
        </w:rPr>
        <w:t>SB</w:t>
      </w:r>
      <w:r w:rsidRPr="00853EB0">
        <w:rPr>
          <w:rFonts w:ascii="Times New Roman" w:hAnsi="Times New Roman" w:cs="Times New Roman"/>
          <w:vertAlign w:val="subscript"/>
        </w:rPr>
        <w:t>t</w:t>
      </w:r>
      <w:proofErr w:type="spellEnd"/>
      <w:r w:rsidRPr="00853EB0">
        <w:rPr>
          <w:rFonts w:ascii="Times New Roman" w:hAnsi="Times New Roman" w:cs="Times New Roman"/>
        </w:rPr>
        <w:t>/SB</w:t>
      </w:r>
      <w:r w:rsidRPr="00853EB0">
        <w:rPr>
          <w:rFonts w:ascii="Times New Roman" w:hAnsi="Times New Roman" w:cs="Times New Roman"/>
          <w:vertAlign w:val="subscript"/>
        </w:rPr>
        <w:t>F=0</w:t>
      </w:r>
      <w:r w:rsidRPr="00853EB0">
        <w:rPr>
          <w:rFonts w:ascii="Times New Roman" w:hAnsi="Times New Roman" w:cs="Times New Roman"/>
        </w:rPr>
        <w:t>, where SB</w:t>
      </w:r>
      <w:r w:rsidRPr="00853EB0">
        <w:rPr>
          <w:rFonts w:ascii="Times New Roman" w:hAnsi="Times New Roman" w:cs="Times New Roman"/>
          <w:vertAlign w:val="subscript"/>
        </w:rPr>
        <w:t>F=0</w:t>
      </w:r>
      <w:r w:rsidRPr="00853EB0">
        <w:rPr>
          <w:rFonts w:ascii="Times New Roman" w:hAnsi="Times New Roman" w:cs="Times New Roman"/>
        </w:rPr>
        <w:t xml:space="preserve"> is the average SB from t-10 to t-1, relative to the current year t, from the uncertainty grid of assessment models for the period 2000 to 2018, and stochastic projection results for the period 2019 to 2048 assuming 2016-2018 average catches in longline and other fisheries and 2018 effort in purse seine fisheries continue. Vertical gray line </w:t>
      </w:r>
      <w:proofErr w:type="gramStart"/>
      <w:r w:rsidRPr="00853EB0">
        <w:rPr>
          <w:rFonts w:ascii="Times New Roman" w:hAnsi="Times New Roman" w:cs="Times New Roman"/>
        </w:rPr>
        <w:t>at</w:t>
      </w:r>
      <w:proofErr w:type="gramEnd"/>
      <w:r w:rsidRPr="00853EB0">
        <w:rPr>
          <w:rFonts w:ascii="Times New Roman" w:hAnsi="Times New Roman" w:cs="Times New Roman"/>
        </w:rPr>
        <w:t xml:space="preserve"> 2018 represents the last year of the assessment. During the projection period (2019-2048) levels of recruitment variability are assumed to match those over the long-term period (1962-2017). The red horizontal dashed line represents the agreed limit reference point.</w:t>
      </w:r>
    </w:p>
    <w:p w14:paraId="565E2451" w14:textId="77777777" w:rsidR="008017E1" w:rsidRPr="009A541E" w:rsidRDefault="008017E1" w:rsidP="008017E1">
      <w:pPr>
        <w:autoSpaceDE w:val="0"/>
        <w:autoSpaceDN w:val="0"/>
        <w:adjustRightInd w:val="0"/>
        <w:snapToGrid w:val="0"/>
      </w:pPr>
    </w:p>
    <w:p w14:paraId="74A40978" w14:textId="5F16D906" w:rsidR="008017E1" w:rsidRPr="009A541E" w:rsidRDefault="008017E1" w:rsidP="00853EB0">
      <w:pPr>
        <w:pStyle w:val="WCPFC"/>
        <w:adjustRightInd w:val="0"/>
        <w:spacing w:after="0"/>
        <w:ind w:left="0" w:firstLine="0"/>
        <w:rPr>
          <w:bCs/>
        </w:rPr>
      </w:pPr>
      <w:r w:rsidRPr="009A541E">
        <w:rPr>
          <w:bCs/>
        </w:rPr>
        <w:lastRenderedPageBreak/>
        <w:t>SC16</w:t>
      </w:r>
      <w:r w:rsidR="00853EB0">
        <w:rPr>
          <w:bCs/>
        </w:rPr>
        <w:t xml:space="preserve"> </w:t>
      </w:r>
      <w:r w:rsidRPr="009A541E">
        <w:rPr>
          <w:bCs/>
        </w:rPr>
        <w:t>noted</w:t>
      </w:r>
      <w:r w:rsidR="00853EB0">
        <w:rPr>
          <w:bCs/>
        </w:rPr>
        <w:t xml:space="preserve"> </w:t>
      </w:r>
      <w:r w:rsidRPr="0009493F">
        <w:t>that</w:t>
      </w:r>
      <w:r w:rsidR="00853EB0">
        <w:t xml:space="preserve"> </w:t>
      </w:r>
      <w:r w:rsidRPr="009A541E">
        <w:rPr>
          <w:bCs/>
        </w:rPr>
        <w:t>the results from the</w:t>
      </w:r>
      <w:r w:rsidR="00853EB0">
        <w:rPr>
          <w:bCs/>
        </w:rPr>
        <w:t xml:space="preserve"> </w:t>
      </w:r>
      <w:r w:rsidRPr="009A541E">
        <w:rPr>
          <w:bCs/>
        </w:rPr>
        <w:t>uncertainty</w:t>
      </w:r>
      <w:r w:rsidR="00853EB0">
        <w:rPr>
          <w:bCs/>
        </w:rPr>
        <w:t xml:space="preserve"> </w:t>
      </w:r>
      <w:r w:rsidRPr="009A541E">
        <w:rPr>
          <w:bCs/>
        </w:rPr>
        <w:t>grid adopted by SC16</w:t>
      </w:r>
      <w:r w:rsidR="00853EB0">
        <w:rPr>
          <w:bCs/>
        </w:rPr>
        <w:t xml:space="preserve"> </w:t>
      </w:r>
      <w:r w:rsidRPr="009A541E">
        <w:rPr>
          <w:bCs/>
        </w:rPr>
        <w:t>show that</w:t>
      </w:r>
      <w:r w:rsidR="00853EB0">
        <w:rPr>
          <w:bCs/>
        </w:rPr>
        <w:t xml:space="preserve"> </w:t>
      </w:r>
      <w:r w:rsidRPr="009A541E">
        <w:rPr>
          <w:bCs/>
        </w:rPr>
        <w:t>the</w:t>
      </w:r>
      <w:r w:rsidR="00853EB0">
        <w:rPr>
          <w:bCs/>
        </w:rPr>
        <w:t xml:space="preserve"> </w:t>
      </w:r>
      <w:r w:rsidRPr="009A541E">
        <w:rPr>
          <w:bCs/>
        </w:rPr>
        <w:t>stock</w:t>
      </w:r>
      <w:r w:rsidR="00853EB0">
        <w:rPr>
          <w:bCs/>
        </w:rPr>
        <w:t xml:space="preserve"> </w:t>
      </w:r>
      <w:r w:rsidRPr="009A541E">
        <w:rPr>
          <w:bCs/>
        </w:rPr>
        <w:t>has</w:t>
      </w:r>
      <w:r w:rsidR="00853EB0">
        <w:rPr>
          <w:bCs/>
        </w:rPr>
        <w:t xml:space="preserve"> </w:t>
      </w:r>
      <w:r w:rsidRPr="009A541E">
        <w:rPr>
          <w:bCs/>
        </w:rPr>
        <w:t>been</w:t>
      </w:r>
      <w:r w:rsidR="00853EB0">
        <w:rPr>
          <w:bCs/>
        </w:rPr>
        <w:t xml:space="preserve"> </w:t>
      </w:r>
      <w:r w:rsidRPr="009A541E">
        <w:rPr>
          <w:bCs/>
        </w:rPr>
        <w:t>continuously</w:t>
      </w:r>
      <w:r w:rsidR="00853EB0">
        <w:rPr>
          <w:bCs/>
        </w:rPr>
        <w:t xml:space="preserve"> </w:t>
      </w:r>
      <w:r w:rsidRPr="009A541E">
        <w:rPr>
          <w:bCs/>
        </w:rPr>
        <w:t>declining</w:t>
      </w:r>
      <w:r w:rsidR="00853EB0">
        <w:rPr>
          <w:bCs/>
        </w:rPr>
        <w:t xml:space="preserve"> </w:t>
      </w:r>
      <w:r w:rsidRPr="009A541E">
        <w:rPr>
          <w:bCs/>
        </w:rPr>
        <w:t>for</w:t>
      </w:r>
      <w:r w:rsidR="00853EB0">
        <w:rPr>
          <w:bCs/>
        </w:rPr>
        <w:t xml:space="preserve"> </w:t>
      </w:r>
      <w:r w:rsidRPr="009A541E">
        <w:rPr>
          <w:bCs/>
        </w:rPr>
        <w:t>about</w:t>
      </w:r>
      <w:r w:rsidR="00853EB0">
        <w:rPr>
          <w:bCs/>
        </w:rPr>
        <w:t xml:space="preserve"> </w:t>
      </w:r>
      <w:r w:rsidRPr="009A541E">
        <w:rPr>
          <w:bCs/>
        </w:rPr>
        <w:t>60</w:t>
      </w:r>
      <w:r w:rsidR="00853EB0">
        <w:rPr>
          <w:bCs/>
        </w:rPr>
        <w:t xml:space="preserve"> </w:t>
      </w:r>
      <w:r w:rsidRPr="009A541E">
        <w:rPr>
          <w:bCs/>
        </w:rPr>
        <w:t>years</w:t>
      </w:r>
      <w:r w:rsidR="00853EB0">
        <w:rPr>
          <w:bCs/>
        </w:rPr>
        <w:t xml:space="preserve"> </w:t>
      </w:r>
      <w:r w:rsidRPr="009A541E">
        <w:rPr>
          <w:bCs/>
        </w:rPr>
        <w:t>since</w:t>
      </w:r>
      <w:r w:rsidR="00853EB0">
        <w:rPr>
          <w:bCs/>
        </w:rPr>
        <w:t xml:space="preserve"> </w:t>
      </w:r>
      <w:r w:rsidRPr="009A541E">
        <w:rPr>
          <w:bCs/>
        </w:rPr>
        <w:t>the</w:t>
      </w:r>
      <w:r w:rsidR="00853EB0">
        <w:rPr>
          <w:bCs/>
        </w:rPr>
        <w:t xml:space="preserve"> </w:t>
      </w:r>
      <w:r w:rsidRPr="009A541E">
        <w:rPr>
          <w:bCs/>
        </w:rPr>
        <w:t>late</w:t>
      </w:r>
      <w:r w:rsidRPr="009A541E">
        <w:rPr>
          <w:bCs/>
          <w:spacing w:val="-1"/>
        </w:rPr>
        <w:t xml:space="preserve"> 1950</w:t>
      </w:r>
      <w:r w:rsidRPr="009A541E">
        <w:rPr>
          <w:bCs/>
        </w:rPr>
        <w:t>s,</w:t>
      </w:r>
      <w:r w:rsidR="00853EB0">
        <w:rPr>
          <w:bCs/>
        </w:rPr>
        <w:t xml:space="preserve"> </w:t>
      </w:r>
      <w:r w:rsidRPr="009A541E">
        <w:rPr>
          <w:bCs/>
        </w:rPr>
        <w:t>except</w:t>
      </w:r>
      <w:r w:rsidR="00853EB0">
        <w:rPr>
          <w:bCs/>
        </w:rPr>
        <w:t xml:space="preserve"> </w:t>
      </w:r>
      <w:r w:rsidRPr="009A541E">
        <w:rPr>
          <w:bCs/>
        </w:rPr>
        <w:t>fo</w:t>
      </w:r>
      <w:r w:rsidR="00853EB0">
        <w:rPr>
          <w:bCs/>
        </w:rPr>
        <w:t xml:space="preserve">r </w:t>
      </w:r>
      <w:r w:rsidRPr="009A541E">
        <w:rPr>
          <w:bCs/>
        </w:rPr>
        <w:t xml:space="preserve">the recent small increase from 2015 to 2016 with biomass declining thereafter. </w:t>
      </w:r>
    </w:p>
    <w:p w14:paraId="540C3CD3" w14:textId="77777777" w:rsidR="008017E1" w:rsidRPr="009A541E" w:rsidRDefault="008017E1" w:rsidP="00853EB0">
      <w:pPr>
        <w:autoSpaceDE w:val="0"/>
        <w:autoSpaceDN w:val="0"/>
        <w:adjustRightInd w:val="0"/>
        <w:snapToGrid w:val="0"/>
        <w:spacing w:after="0" w:line="240" w:lineRule="auto"/>
        <w:jc w:val="both"/>
        <w:rPr>
          <w:bCs/>
        </w:rPr>
      </w:pPr>
    </w:p>
    <w:p w14:paraId="74864AC8" w14:textId="0A909B04" w:rsidR="008017E1" w:rsidRPr="009A541E" w:rsidRDefault="008017E1" w:rsidP="00853EB0">
      <w:pPr>
        <w:pStyle w:val="WCPFC"/>
        <w:adjustRightInd w:val="0"/>
        <w:spacing w:after="0"/>
        <w:ind w:left="0" w:firstLine="0"/>
        <w:rPr>
          <w:bCs/>
        </w:rPr>
      </w:pPr>
      <w:r w:rsidRPr="009A541E">
        <w:rPr>
          <w:bCs/>
        </w:rPr>
        <w:t>SC16 also noted that the median value of relative recent (2015-2018) spawning biomass depletion (SB</w:t>
      </w:r>
      <w:r w:rsidRPr="009A541E">
        <w:rPr>
          <w:bCs/>
          <w:vertAlign w:val="subscript"/>
        </w:rPr>
        <w:t>2015-2018</w:t>
      </w:r>
      <w:r w:rsidRPr="009A541E">
        <w:rPr>
          <w:bCs/>
        </w:rPr>
        <w:t>/ SB</w:t>
      </w:r>
      <w:r w:rsidRPr="009A541E">
        <w:rPr>
          <w:bCs/>
          <w:vertAlign w:val="subscript"/>
        </w:rPr>
        <w:t>F=0</w:t>
      </w:r>
      <w:r w:rsidRPr="009A541E">
        <w:rPr>
          <w:bCs/>
        </w:rPr>
        <w:t xml:space="preserve">) </w:t>
      </w:r>
      <w:r w:rsidRPr="009A541E">
        <w:rPr>
          <w:bCs/>
          <w:position w:val="2"/>
        </w:rPr>
        <w:t xml:space="preserve">was 0.41 </w:t>
      </w:r>
      <w:r>
        <w:rPr>
          <w:bCs/>
          <w:position w:val="2"/>
        </w:rPr>
        <w:t>with</w:t>
      </w:r>
      <w:r w:rsidR="00853EB0">
        <w:rPr>
          <w:bCs/>
          <w:position w:val="2"/>
        </w:rPr>
        <w:t xml:space="preserve"> </w:t>
      </w:r>
      <w:r>
        <w:rPr>
          <w:bCs/>
          <w:position w:val="2"/>
        </w:rPr>
        <w:t>a</w:t>
      </w:r>
      <w:r w:rsidRPr="009A541E">
        <w:rPr>
          <w:bCs/>
          <w:position w:val="2"/>
        </w:rPr>
        <w:t xml:space="preserve"> 10</w:t>
      </w:r>
      <w:r w:rsidRPr="00DB3A6D">
        <w:rPr>
          <w:bCs/>
          <w:position w:val="2"/>
          <w:vertAlign w:val="superscript"/>
        </w:rPr>
        <w:t>th</w:t>
      </w:r>
      <w:r>
        <w:rPr>
          <w:bCs/>
          <w:position w:val="2"/>
        </w:rPr>
        <w:t>to</w:t>
      </w:r>
      <w:r w:rsidRPr="009A541E">
        <w:rPr>
          <w:bCs/>
          <w:position w:val="2"/>
        </w:rPr>
        <w:t xml:space="preserve"> 90</w:t>
      </w:r>
      <w:r w:rsidRPr="00DB3A6D">
        <w:rPr>
          <w:bCs/>
          <w:position w:val="2"/>
          <w:vertAlign w:val="superscript"/>
        </w:rPr>
        <w:t>th</w:t>
      </w:r>
      <w:r w:rsidRPr="009A541E">
        <w:rPr>
          <w:bCs/>
          <w:position w:val="2"/>
        </w:rPr>
        <w:t xml:space="preserve"> percentiles </w:t>
      </w:r>
      <w:r w:rsidRPr="009A541E">
        <w:rPr>
          <w:bCs/>
        </w:rPr>
        <w:t xml:space="preserve">of 0.27 to 0.52. </w:t>
      </w:r>
    </w:p>
    <w:p w14:paraId="5EEFDC95" w14:textId="77777777" w:rsidR="008017E1" w:rsidRPr="009A541E" w:rsidRDefault="008017E1" w:rsidP="00853EB0">
      <w:pPr>
        <w:autoSpaceDE w:val="0"/>
        <w:autoSpaceDN w:val="0"/>
        <w:adjustRightInd w:val="0"/>
        <w:snapToGrid w:val="0"/>
        <w:spacing w:after="0" w:line="240" w:lineRule="auto"/>
        <w:jc w:val="both"/>
        <w:rPr>
          <w:bCs/>
        </w:rPr>
      </w:pPr>
    </w:p>
    <w:p w14:paraId="32EE18C5" w14:textId="611A2D87" w:rsidR="008017E1" w:rsidRPr="009A541E" w:rsidRDefault="008017E1" w:rsidP="00853EB0">
      <w:pPr>
        <w:pStyle w:val="WCPFC"/>
        <w:adjustRightInd w:val="0"/>
        <w:spacing w:after="0"/>
        <w:ind w:left="0" w:firstLine="0"/>
        <w:rPr>
          <w:bCs/>
        </w:rPr>
      </w:pPr>
      <w:r w:rsidRPr="009A541E">
        <w:rPr>
          <w:bCs/>
        </w:rPr>
        <w:t>SC16</w:t>
      </w:r>
      <w:r w:rsidR="00091D6D">
        <w:rPr>
          <w:bCs/>
        </w:rPr>
        <w:t xml:space="preserve"> </w:t>
      </w:r>
      <w:r w:rsidRPr="009A541E">
        <w:rPr>
          <w:bCs/>
        </w:rPr>
        <w:t>further</w:t>
      </w:r>
      <w:r w:rsidR="00091D6D">
        <w:rPr>
          <w:bCs/>
        </w:rPr>
        <w:t xml:space="preserve"> </w:t>
      </w:r>
      <w:r w:rsidRPr="009A541E">
        <w:rPr>
          <w:bCs/>
        </w:rPr>
        <w:t>noted</w:t>
      </w:r>
      <w:r w:rsidR="00091D6D">
        <w:rPr>
          <w:bCs/>
        </w:rPr>
        <w:t xml:space="preserve"> </w:t>
      </w:r>
      <w:r w:rsidRPr="009A541E">
        <w:rPr>
          <w:bCs/>
        </w:rPr>
        <w:t>that</w:t>
      </w:r>
      <w:r w:rsidR="00091D6D">
        <w:rPr>
          <w:bCs/>
        </w:rPr>
        <w:t xml:space="preserve"> </w:t>
      </w:r>
      <w:r w:rsidRPr="009A541E">
        <w:rPr>
          <w:bCs/>
        </w:rPr>
        <w:t>there</w:t>
      </w:r>
      <w:r w:rsidR="00091D6D">
        <w:rPr>
          <w:bCs/>
        </w:rPr>
        <w:t xml:space="preserve"> </w:t>
      </w:r>
      <w:r w:rsidRPr="009A541E">
        <w:rPr>
          <w:bCs/>
        </w:rPr>
        <w:t>was</w:t>
      </w:r>
      <w:r w:rsidR="00091D6D">
        <w:rPr>
          <w:bCs/>
        </w:rPr>
        <w:t xml:space="preserve"> </w:t>
      </w:r>
      <w:r w:rsidRPr="009A541E">
        <w:rPr>
          <w:bCs/>
        </w:rPr>
        <w:t>0%</w:t>
      </w:r>
      <w:r w:rsidR="00091D6D">
        <w:rPr>
          <w:bCs/>
        </w:rPr>
        <w:t xml:space="preserve"> </w:t>
      </w:r>
      <w:r w:rsidRPr="009A541E">
        <w:rPr>
          <w:bCs/>
        </w:rPr>
        <w:t>probability</w:t>
      </w:r>
      <w:r w:rsidR="00091D6D">
        <w:rPr>
          <w:bCs/>
        </w:rPr>
        <w:t xml:space="preserve"> </w:t>
      </w:r>
      <w:r w:rsidRPr="009A541E">
        <w:rPr>
          <w:bCs/>
        </w:rPr>
        <w:t>(0</w:t>
      </w:r>
      <w:r w:rsidR="00091D6D">
        <w:rPr>
          <w:bCs/>
        </w:rPr>
        <w:t xml:space="preserve"> </w:t>
      </w:r>
      <w:r w:rsidRPr="009A541E">
        <w:rPr>
          <w:bCs/>
        </w:rPr>
        <w:t>out</w:t>
      </w:r>
      <w:r w:rsidR="00091D6D">
        <w:rPr>
          <w:bCs/>
        </w:rPr>
        <w:t xml:space="preserve"> </w:t>
      </w:r>
      <w:r w:rsidRPr="009A541E">
        <w:rPr>
          <w:bCs/>
        </w:rPr>
        <w:t>of</w:t>
      </w:r>
      <w:r w:rsidRPr="009A541E">
        <w:rPr>
          <w:bCs/>
          <w:spacing w:val="-3"/>
        </w:rPr>
        <w:t xml:space="preserve"> 24</w:t>
      </w:r>
      <w:r w:rsidR="00091D6D">
        <w:rPr>
          <w:bCs/>
          <w:spacing w:val="-3"/>
        </w:rPr>
        <w:t xml:space="preserve"> </w:t>
      </w:r>
      <w:r w:rsidRPr="009A541E">
        <w:rPr>
          <w:bCs/>
        </w:rPr>
        <w:t xml:space="preserve">models) </w:t>
      </w:r>
      <w:r w:rsidRPr="009A541E">
        <w:rPr>
          <w:bCs/>
          <w:position w:val="2"/>
        </w:rPr>
        <w:t xml:space="preserve">that the recent (2015-2018) </w:t>
      </w:r>
      <w:r w:rsidRPr="0009493F">
        <w:t>spawning</w:t>
      </w:r>
      <w:r w:rsidRPr="009A541E">
        <w:rPr>
          <w:bCs/>
          <w:position w:val="2"/>
        </w:rPr>
        <w:t xml:space="preserve"> biomass had breached the adopted limit reference point (LRP).</w:t>
      </w:r>
    </w:p>
    <w:p w14:paraId="733912D5" w14:textId="77777777" w:rsidR="008017E1" w:rsidRPr="009A541E" w:rsidRDefault="008017E1" w:rsidP="00853EB0">
      <w:pPr>
        <w:autoSpaceDE w:val="0"/>
        <w:autoSpaceDN w:val="0"/>
        <w:adjustRightInd w:val="0"/>
        <w:snapToGrid w:val="0"/>
        <w:spacing w:after="0" w:line="240" w:lineRule="auto"/>
        <w:jc w:val="both"/>
        <w:rPr>
          <w:bCs/>
        </w:rPr>
      </w:pPr>
    </w:p>
    <w:p w14:paraId="6F946A57" w14:textId="77777777" w:rsidR="008017E1" w:rsidRPr="009A541E" w:rsidRDefault="008017E1" w:rsidP="00853EB0">
      <w:pPr>
        <w:pStyle w:val="WCPFC"/>
        <w:adjustRightInd w:val="0"/>
        <w:spacing w:after="0"/>
        <w:ind w:left="0" w:firstLine="0"/>
        <w:rPr>
          <w:bCs/>
        </w:rPr>
      </w:pPr>
      <w:r w:rsidRPr="009A541E">
        <w:rPr>
          <w:bCs/>
        </w:rPr>
        <w:t xml:space="preserve">SC16 noted that there has been a long-term increase in fishing mortality for both juvenile and adult </w:t>
      </w:r>
      <w:r w:rsidRPr="0009493F">
        <w:t>bigeye</w:t>
      </w:r>
      <w:r w:rsidRPr="009A541E">
        <w:rPr>
          <w:bCs/>
        </w:rPr>
        <w:t xml:space="preserve"> tuna and while juvenile fishing mortality is higher than that of the adult fish, both adult and juvenile fishing mortality rates have stabilised somewhat since 2008 and have fluctuated without trend since that time.</w:t>
      </w:r>
    </w:p>
    <w:p w14:paraId="2BC07A47" w14:textId="77777777" w:rsidR="008017E1" w:rsidRPr="009A541E" w:rsidRDefault="008017E1" w:rsidP="00853EB0">
      <w:pPr>
        <w:autoSpaceDE w:val="0"/>
        <w:autoSpaceDN w:val="0"/>
        <w:adjustRightInd w:val="0"/>
        <w:snapToGrid w:val="0"/>
        <w:spacing w:after="0" w:line="240" w:lineRule="auto"/>
        <w:jc w:val="both"/>
        <w:rPr>
          <w:bCs/>
        </w:rPr>
      </w:pPr>
    </w:p>
    <w:p w14:paraId="121FB436" w14:textId="0115CD79" w:rsidR="008017E1" w:rsidRPr="009A541E" w:rsidRDefault="008017E1" w:rsidP="00853EB0">
      <w:pPr>
        <w:pStyle w:val="WCPFC"/>
        <w:adjustRightInd w:val="0"/>
        <w:spacing w:after="0"/>
        <w:ind w:left="0" w:firstLine="0"/>
        <w:rPr>
          <w:bCs/>
          <w:position w:val="2"/>
        </w:rPr>
      </w:pPr>
      <w:r w:rsidRPr="009A541E">
        <w:rPr>
          <w:bCs/>
        </w:rPr>
        <w:t xml:space="preserve">SC16 </w:t>
      </w:r>
      <w:r w:rsidRPr="0009493F">
        <w:t>noted</w:t>
      </w:r>
      <w:r w:rsidRPr="009A541E">
        <w:rPr>
          <w:bCs/>
        </w:rPr>
        <w:t xml:space="preserve"> that the median</w:t>
      </w:r>
      <w:r w:rsidR="00BB6E7A">
        <w:rPr>
          <w:bCs/>
        </w:rPr>
        <w:t xml:space="preserve"> </w:t>
      </w:r>
      <w:r w:rsidRPr="009A541E">
        <w:rPr>
          <w:bCs/>
        </w:rPr>
        <w:t xml:space="preserve">recent fishing mortality </w:t>
      </w:r>
      <w:r w:rsidRPr="009A541E">
        <w:rPr>
          <w:bCs/>
          <w:position w:val="2"/>
        </w:rPr>
        <w:t>(F</w:t>
      </w:r>
      <w:r w:rsidRPr="009A541E">
        <w:rPr>
          <w:bCs/>
          <w:vertAlign w:val="subscript"/>
        </w:rPr>
        <w:t>2014-2017t</w:t>
      </w:r>
      <w:r w:rsidRPr="009A541E">
        <w:rPr>
          <w:bCs/>
          <w:position w:val="2"/>
        </w:rPr>
        <w:t>/F</w:t>
      </w:r>
      <w:r w:rsidRPr="009A541E">
        <w:rPr>
          <w:bCs/>
          <w:vertAlign w:val="subscript"/>
        </w:rPr>
        <w:t>MSY</w:t>
      </w:r>
      <w:r w:rsidRPr="009A541E">
        <w:rPr>
          <w:bCs/>
          <w:position w:val="2"/>
        </w:rPr>
        <w:t>)</w:t>
      </w:r>
      <w:r w:rsidR="00BB6E7A">
        <w:rPr>
          <w:bCs/>
          <w:position w:val="2"/>
        </w:rPr>
        <w:t xml:space="preserve"> </w:t>
      </w:r>
      <w:r w:rsidRPr="009A541E">
        <w:rPr>
          <w:bCs/>
          <w:position w:val="2"/>
        </w:rPr>
        <w:t>was 0.72</w:t>
      </w:r>
      <w:r w:rsidR="00BB6E7A">
        <w:rPr>
          <w:bCs/>
          <w:position w:val="2"/>
        </w:rPr>
        <w:t xml:space="preserve"> </w:t>
      </w:r>
      <w:r w:rsidRPr="009A541E">
        <w:rPr>
          <w:bCs/>
          <w:position w:val="2"/>
        </w:rPr>
        <w:t>with a 10</w:t>
      </w:r>
      <w:r w:rsidRPr="00DB3A6D">
        <w:rPr>
          <w:bCs/>
          <w:position w:val="2"/>
          <w:vertAlign w:val="superscript"/>
        </w:rPr>
        <w:t>th</w:t>
      </w:r>
      <w:r w:rsidRPr="009A541E">
        <w:rPr>
          <w:bCs/>
          <w:position w:val="2"/>
        </w:rPr>
        <w:t xml:space="preserve"> to 90</w:t>
      </w:r>
      <w:r w:rsidRPr="00DB3A6D">
        <w:rPr>
          <w:bCs/>
          <w:position w:val="2"/>
          <w:vertAlign w:val="superscript"/>
        </w:rPr>
        <w:t>th</w:t>
      </w:r>
      <w:r w:rsidRPr="009A541E">
        <w:rPr>
          <w:bCs/>
          <w:position w:val="2"/>
        </w:rPr>
        <w:t> percentile interval</w:t>
      </w:r>
      <w:r w:rsidR="00BB6E7A">
        <w:rPr>
          <w:bCs/>
          <w:position w:val="2"/>
        </w:rPr>
        <w:t xml:space="preserve"> </w:t>
      </w:r>
      <w:r w:rsidRPr="009A541E">
        <w:rPr>
          <w:bCs/>
          <w:position w:val="2"/>
        </w:rPr>
        <w:t>of 0.49 to 1.02.</w:t>
      </w:r>
    </w:p>
    <w:p w14:paraId="65513ADB" w14:textId="77777777" w:rsidR="008017E1" w:rsidRPr="009A541E" w:rsidRDefault="008017E1" w:rsidP="00853EB0">
      <w:pPr>
        <w:autoSpaceDE w:val="0"/>
        <w:autoSpaceDN w:val="0"/>
        <w:adjustRightInd w:val="0"/>
        <w:snapToGrid w:val="0"/>
        <w:spacing w:after="0" w:line="240" w:lineRule="auto"/>
        <w:jc w:val="both"/>
        <w:rPr>
          <w:bCs/>
        </w:rPr>
      </w:pPr>
    </w:p>
    <w:p w14:paraId="784BC915" w14:textId="3C78419F" w:rsidR="008017E1" w:rsidRPr="009A541E" w:rsidRDefault="008017E1" w:rsidP="00853EB0">
      <w:pPr>
        <w:pStyle w:val="WCPFC"/>
        <w:adjustRightInd w:val="0"/>
        <w:spacing w:after="0"/>
        <w:ind w:left="0" w:firstLine="0"/>
        <w:rPr>
          <w:bCs/>
        </w:rPr>
      </w:pPr>
      <w:r w:rsidRPr="009A541E">
        <w:rPr>
          <w:bCs/>
        </w:rPr>
        <w:t xml:space="preserve">SC16 </w:t>
      </w:r>
      <w:r w:rsidRPr="0009493F">
        <w:t>noted</w:t>
      </w:r>
      <w:r w:rsidRPr="009A541E">
        <w:rPr>
          <w:bCs/>
        </w:rPr>
        <w:t xml:space="preserve"> that there was a roughly 12.5% probability (3 out of 24 models) that the recent (2014-2017) fishing mortality was above</w:t>
      </w:r>
      <w:r w:rsidR="00BB6E7A">
        <w:rPr>
          <w:bCs/>
        </w:rPr>
        <w:t xml:space="preserve"> </w:t>
      </w:r>
      <w:r w:rsidRPr="009A541E">
        <w:rPr>
          <w:bCs/>
          <w:position w:val="2"/>
        </w:rPr>
        <w:t>F</w:t>
      </w:r>
      <w:r w:rsidRPr="009A541E">
        <w:rPr>
          <w:bCs/>
          <w:vertAlign w:val="subscript"/>
        </w:rPr>
        <w:t>MSY</w:t>
      </w:r>
      <w:r w:rsidRPr="009A541E">
        <w:rPr>
          <w:bCs/>
          <w:position w:val="2"/>
        </w:rPr>
        <w:t xml:space="preserve">. </w:t>
      </w:r>
    </w:p>
    <w:p w14:paraId="0E6E2F8E" w14:textId="77777777" w:rsidR="008017E1" w:rsidRPr="009A541E" w:rsidRDefault="008017E1" w:rsidP="00853EB0">
      <w:pPr>
        <w:autoSpaceDE w:val="0"/>
        <w:autoSpaceDN w:val="0"/>
        <w:adjustRightInd w:val="0"/>
        <w:snapToGrid w:val="0"/>
        <w:spacing w:after="0" w:line="240" w:lineRule="auto"/>
        <w:jc w:val="both"/>
        <w:rPr>
          <w:bCs/>
        </w:rPr>
      </w:pPr>
    </w:p>
    <w:p w14:paraId="3423170E" w14:textId="77777777" w:rsidR="008017E1" w:rsidRPr="009A541E" w:rsidRDefault="008017E1" w:rsidP="00853EB0">
      <w:pPr>
        <w:pStyle w:val="WCPFC"/>
        <w:adjustRightInd w:val="0"/>
        <w:spacing w:after="0"/>
        <w:ind w:left="0" w:firstLine="0"/>
        <w:rPr>
          <w:bCs/>
        </w:rPr>
      </w:pPr>
      <w:r w:rsidRPr="009A541E">
        <w:rPr>
          <w:shd w:val="clear" w:color="auto" w:fill="FFFFFF"/>
        </w:rPr>
        <w:t>SC16 noted the results of stochastic projections (Figures BET</w:t>
      </w:r>
      <w:r>
        <w:rPr>
          <w:shd w:val="clear" w:color="auto" w:fill="FFFFFF"/>
        </w:rPr>
        <w:t>-</w:t>
      </w:r>
      <w:r w:rsidRPr="009A541E">
        <w:rPr>
          <w:shd w:val="clear" w:color="auto" w:fill="FFFFFF"/>
        </w:rPr>
        <w:t>11 and BET</w:t>
      </w:r>
      <w:r>
        <w:rPr>
          <w:shd w:val="clear" w:color="auto" w:fill="FFFFFF"/>
        </w:rPr>
        <w:t>-</w:t>
      </w:r>
      <w:r w:rsidRPr="009A541E">
        <w:rPr>
          <w:shd w:val="clear" w:color="auto" w:fill="FFFFFF"/>
        </w:rPr>
        <w:t xml:space="preserve">12) from the 2020 assessment </w:t>
      </w:r>
      <w:r w:rsidRPr="0009493F">
        <w:t>which</w:t>
      </w:r>
      <w:r w:rsidRPr="009A541E">
        <w:rPr>
          <w:shd w:val="clear" w:color="auto" w:fill="FFFFFF"/>
        </w:rPr>
        <w:t> indicated the potential stock consequences of ﬁshing at “status quo” conditions (2016–2018 average longline and other fishery catch and 2018 purse seine effort levels) and short-term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Pr>
          <w:shd w:val="clear" w:color="auto" w:fill="FFFFFF"/>
        </w:rPr>
        <w:t>7</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Pr>
          <w:shd w:val="clear" w:color="auto" w:fill="FFFFFF"/>
        </w:rPr>
        <w:t>9</w:t>
      </w:r>
      <w:r w:rsidRPr="009A541E">
        <w:rPr>
          <w:shd w:val="clear" w:color="auto" w:fill="FFFFFF"/>
        </w:rPr>
        <w:t xml:space="preserve"> and median SB</w:t>
      </w:r>
      <w:r w:rsidRPr="009A541E">
        <w:rPr>
          <w:shd w:val="clear" w:color="auto" w:fill="FFFFFF"/>
          <w:vertAlign w:val="subscript"/>
        </w:rPr>
        <w:t>2045</w:t>
      </w:r>
      <w:r w:rsidRPr="009A541E">
        <w:rPr>
          <w:shd w:val="clear" w:color="auto" w:fill="FFFFFF"/>
        </w:rPr>
        <w:t>/SB</w:t>
      </w:r>
      <w:r w:rsidRPr="009A541E">
        <w:rPr>
          <w:shd w:val="clear" w:color="auto" w:fill="FFFFFF"/>
          <w:vertAlign w:val="subscript"/>
        </w:rPr>
        <w:t>F=0</w:t>
      </w:r>
      <w:r w:rsidRPr="009A541E">
        <w:rPr>
          <w:shd w:val="clear" w:color="auto" w:fill="FFFFFF"/>
        </w:rPr>
        <w:t> = 0.49. The risk that SB</w:t>
      </w:r>
      <w:r w:rsidRPr="009A541E">
        <w:rPr>
          <w:shd w:val="clear" w:color="auto" w:fill="FFFFFF"/>
          <w:vertAlign w:val="subscript"/>
        </w:rPr>
        <w:t>2048</w:t>
      </w:r>
      <w:r w:rsidRPr="009A541E">
        <w:rPr>
          <w:shd w:val="clear" w:color="auto" w:fill="FFFFFF"/>
        </w:rPr>
        <w:t>/SB</w:t>
      </w:r>
      <w:r w:rsidRPr="009A541E">
        <w:rPr>
          <w:shd w:val="clear" w:color="auto" w:fill="FFFFFF"/>
          <w:vertAlign w:val="subscript"/>
        </w:rPr>
        <w:t>F=0</w:t>
      </w:r>
      <w:r w:rsidRPr="009A541E">
        <w:rPr>
          <w:shd w:val="clear" w:color="auto" w:fill="FFFFFF"/>
        </w:rPr>
        <w:t> is less than the Limit Reference Point is 0%.</w:t>
      </w:r>
    </w:p>
    <w:p w14:paraId="41383DF7" w14:textId="77777777" w:rsidR="008017E1" w:rsidRPr="009A541E" w:rsidRDefault="008017E1" w:rsidP="00853EB0">
      <w:pPr>
        <w:pStyle w:val="ListParagraph"/>
        <w:adjustRightInd w:val="0"/>
        <w:snapToGrid w:val="0"/>
        <w:rPr>
          <w:bCs/>
        </w:rPr>
      </w:pPr>
    </w:p>
    <w:p w14:paraId="25AE0A51" w14:textId="77777777" w:rsidR="008017E1" w:rsidRPr="009A541E" w:rsidRDefault="008017E1" w:rsidP="00853EB0">
      <w:pPr>
        <w:pStyle w:val="WCPFC"/>
        <w:adjustRightInd w:val="0"/>
        <w:spacing w:after="0"/>
        <w:ind w:left="0" w:firstLine="0"/>
        <w:rPr>
          <w:bCs/>
        </w:rPr>
      </w:pPr>
      <w:r w:rsidRPr="009A541E">
        <w:rPr>
          <w:shd w:val="clear" w:color="auto" w:fill="FFFFFF"/>
        </w:rPr>
        <w:t xml:space="preserve">SC16 noted the results of stochastic projections from </w:t>
      </w:r>
      <w:r>
        <w:rPr>
          <w:shd w:val="clear" w:color="auto" w:fill="FFFFFF"/>
        </w:rPr>
        <w:t xml:space="preserve">the </w:t>
      </w:r>
      <w:r w:rsidRPr="009A541E">
        <w:rPr>
          <w:shd w:val="clear" w:color="auto" w:fill="FFFFFF"/>
        </w:rPr>
        <w:t>long-term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Pr>
          <w:shd w:val="clear" w:color="auto" w:fill="FFFFFF"/>
        </w:rPr>
        <w:t>2</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Pr>
          <w:shd w:val="clear" w:color="auto" w:fill="FFFFFF"/>
        </w:rPr>
        <w:t>4</w:t>
      </w:r>
      <w:r w:rsidRPr="009A541E">
        <w:rPr>
          <w:shd w:val="clear" w:color="auto" w:fill="FFFFFF"/>
        </w:rPr>
        <w:t xml:space="preserve"> and median </w:t>
      </w:r>
      <w:r w:rsidRPr="009A541E">
        <w:rPr>
          <w:color w:val="222222"/>
          <w:shd w:val="clear" w:color="auto" w:fill="FFFFFF"/>
        </w:rPr>
        <w:t>SB</w:t>
      </w:r>
      <w:r w:rsidRPr="009A541E">
        <w:rPr>
          <w:color w:val="222222"/>
          <w:shd w:val="clear" w:color="auto" w:fill="FFFFFF"/>
          <w:vertAlign w:val="subscript"/>
        </w:rPr>
        <w:t>2045</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 0.4</w:t>
      </w:r>
      <w:r>
        <w:rPr>
          <w:color w:val="222222"/>
          <w:shd w:val="clear" w:color="auto" w:fill="FFFFFF"/>
        </w:rPr>
        <w:t>5</w:t>
      </w:r>
      <w:r w:rsidRPr="009A541E">
        <w:rPr>
          <w:color w:val="222222"/>
          <w:shd w:val="clear" w:color="auto" w:fill="FFFFFF"/>
        </w:rPr>
        <w:t>. The risk that SB</w:t>
      </w:r>
      <w:r w:rsidRPr="009A541E">
        <w:rPr>
          <w:color w:val="222222"/>
          <w:shd w:val="clear" w:color="auto" w:fill="FFFFFF"/>
          <w:vertAlign w:val="subscript"/>
        </w:rPr>
        <w:t>2048</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is less than the Limit Reference Point is 5%.</w:t>
      </w:r>
    </w:p>
    <w:p w14:paraId="20CE9A3F" w14:textId="77777777" w:rsidR="008017E1" w:rsidRPr="009A541E" w:rsidRDefault="008017E1" w:rsidP="00853EB0">
      <w:pPr>
        <w:autoSpaceDE w:val="0"/>
        <w:autoSpaceDN w:val="0"/>
        <w:adjustRightInd w:val="0"/>
        <w:snapToGrid w:val="0"/>
        <w:spacing w:after="0" w:line="240" w:lineRule="auto"/>
        <w:jc w:val="both"/>
        <w:rPr>
          <w:bCs/>
        </w:rPr>
      </w:pPr>
    </w:p>
    <w:p w14:paraId="31002E0B" w14:textId="77777777" w:rsidR="008017E1" w:rsidRPr="009A541E" w:rsidRDefault="008017E1" w:rsidP="00853EB0">
      <w:pPr>
        <w:pStyle w:val="ListParagraph"/>
        <w:widowControl/>
        <w:numPr>
          <w:ilvl w:val="0"/>
          <w:numId w:val="22"/>
        </w:numPr>
        <w:kinsoku w:val="0"/>
        <w:overflowPunct w:val="0"/>
        <w:adjustRightInd w:val="0"/>
        <w:snapToGrid w:val="0"/>
        <w:ind w:left="0" w:right="0" w:firstLine="0"/>
        <w:rPr>
          <w:rFonts w:eastAsia="Batang"/>
          <w:b/>
          <w:bCs/>
          <w:lang w:eastAsia="ko-KR"/>
        </w:rPr>
      </w:pPr>
      <w:r w:rsidRPr="009A541E">
        <w:rPr>
          <w:rFonts w:eastAsia="Batang"/>
          <w:b/>
          <w:bCs/>
          <w:lang w:eastAsia="ko-KR"/>
        </w:rPr>
        <w:t xml:space="preserve">Management advice and implications </w:t>
      </w:r>
    </w:p>
    <w:p w14:paraId="6EF31696" w14:textId="77777777" w:rsidR="008017E1" w:rsidRPr="009A541E" w:rsidRDefault="008017E1" w:rsidP="00853EB0">
      <w:pPr>
        <w:adjustRightInd w:val="0"/>
        <w:snapToGrid w:val="0"/>
        <w:spacing w:after="0" w:line="240" w:lineRule="auto"/>
      </w:pPr>
    </w:p>
    <w:p w14:paraId="7EB67A57" w14:textId="4251EDA3" w:rsidR="008017E1" w:rsidRPr="009A541E" w:rsidRDefault="008017E1" w:rsidP="00853EB0">
      <w:pPr>
        <w:pStyle w:val="WCPFC"/>
        <w:adjustRightInd w:val="0"/>
        <w:spacing w:after="0"/>
        <w:ind w:left="0" w:firstLine="0"/>
      </w:pPr>
      <w:r w:rsidRPr="009A541E">
        <w:t xml:space="preserve">SC16 </w:t>
      </w:r>
      <w:r w:rsidRPr="009A541E">
        <w:rPr>
          <w:bCs/>
        </w:rPr>
        <w:t>noted</w:t>
      </w:r>
      <w:r w:rsidR="00F62613">
        <w:rPr>
          <w:bCs/>
        </w:rPr>
        <w:t xml:space="preserve"> </w:t>
      </w:r>
      <w:r w:rsidRPr="009A541E">
        <w:rPr>
          <w:bCs/>
        </w:rPr>
        <w:t>that</w:t>
      </w:r>
      <w:r w:rsidR="00F62613">
        <w:rPr>
          <w:bCs/>
        </w:rPr>
        <w:t xml:space="preserve"> </w:t>
      </w:r>
      <w:r w:rsidRPr="009A541E">
        <w:rPr>
          <w:bCs/>
        </w:rPr>
        <w:t>the</w:t>
      </w:r>
      <w:r w:rsidR="00F62613">
        <w:rPr>
          <w:bCs/>
        </w:rPr>
        <w:t xml:space="preserve"> </w:t>
      </w:r>
      <w:r w:rsidRPr="009A541E">
        <w:rPr>
          <w:bCs/>
        </w:rPr>
        <w:t>preliminary</w:t>
      </w:r>
      <w:r w:rsidR="00F62613">
        <w:rPr>
          <w:bCs/>
        </w:rPr>
        <w:t xml:space="preserve"> </w:t>
      </w:r>
      <w:r w:rsidRPr="009A541E">
        <w:rPr>
          <w:bCs/>
        </w:rPr>
        <w:t>estimate</w:t>
      </w:r>
      <w:r w:rsidR="00F62613">
        <w:rPr>
          <w:bCs/>
        </w:rPr>
        <w:t xml:space="preserve"> </w:t>
      </w:r>
      <w:r w:rsidRPr="009A541E">
        <w:rPr>
          <w:bCs/>
        </w:rPr>
        <w:t>of</w:t>
      </w:r>
      <w:r w:rsidR="00F62613">
        <w:rPr>
          <w:bCs/>
        </w:rPr>
        <w:t xml:space="preserve"> </w:t>
      </w:r>
      <w:r w:rsidRPr="009A541E">
        <w:rPr>
          <w:bCs/>
        </w:rPr>
        <w:t>total</w:t>
      </w:r>
      <w:r w:rsidR="00F62613">
        <w:rPr>
          <w:bCs/>
        </w:rPr>
        <w:t xml:space="preserve"> </w:t>
      </w:r>
      <w:r w:rsidRPr="009A541E">
        <w:rPr>
          <w:bCs/>
        </w:rPr>
        <w:t>catch</w:t>
      </w:r>
      <w:r w:rsidR="00F62613">
        <w:rPr>
          <w:bCs/>
        </w:rPr>
        <w:t xml:space="preserve"> </w:t>
      </w:r>
      <w:r w:rsidRPr="009A541E">
        <w:rPr>
          <w:bCs/>
        </w:rPr>
        <w:t>of</w:t>
      </w:r>
      <w:r w:rsidR="00F62613">
        <w:rPr>
          <w:bCs/>
        </w:rPr>
        <w:t xml:space="preserve"> </w:t>
      </w:r>
      <w:r w:rsidRPr="009A541E">
        <w:rPr>
          <w:bCs/>
        </w:rPr>
        <w:t>WCPO bigeye tuna</w:t>
      </w:r>
      <w:r w:rsidR="00F62613">
        <w:rPr>
          <w:bCs/>
        </w:rPr>
        <w:t xml:space="preserve"> </w:t>
      </w:r>
      <w:r w:rsidRPr="009A541E">
        <w:rPr>
          <w:bCs/>
        </w:rPr>
        <w:t xml:space="preserve">for 2019 </w:t>
      </w:r>
      <w:r w:rsidRPr="009A541E">
        <w:t xml:space="preserve">was 135,680 </w:t>
      </w:r>
      <w:proofErr w:type="spellStart"/>
      <w:r w:rsidRPr="009A541E">
        <w:t>mt</w:t>
      </w:r>
      <w:proofErr w:type="spellEnd"/>
      <w:r w:rsidRPr="009A541E">
        <w:t xml:space="preserve">, a 9% decrease from 2018 and an 8% decrease from the average 2014-2018. Longline catch in 2019 (68,371 </w:t>
      </w:r>
      <w:proofErr w:type="spellStart"/>
      <w:r w:rsidRPr="009A541E">
        <w:t>mt</w:t>
      </w:r>
      <w:proofErr w:type="spellEnd"/>
      <w:r w:rsidRPr="009A541E">
        <w:t xml:space="preserve">) was a 0% decrease from 2018 and a 2% increase from the 2014-2018 average. Purse </w:t>
      </w:r>
      <w:proofErr w:type="gramStart"/>
      <w:r w:rsidRPr="009A541E">
        <w:t>seine</w:t>
      </w:r>
      <w:proofErr w:type="gramEnd"/>
      <w:r w:rsidRPr="009A541E">
        <w:t xml:space="preserve"> catch in 2019 (50,819 </w:t>
      </w:r>
      <w:proofErr w:type="spellStart"/>
      <w:r w:rsidRPr="009A541E">
        <w:t>mt</w:t>
      </w:r>
      <w:proofErr w:type="spellEnd"/>
      <w:r w:rsidRPr="009A541E">
        <w:t xml:space="preserve">) was a 22% decrease from 2018 and a 17% decrease from the 2014-2018 average. Pole and line catch (1,400 </w:t>
      </w:r>
      <w:proofErr w:type="spellStart"/>
      <w:r w:rsidRPr="009A541E">
        <w:t>mt</w:t>
      </w:r>
      <w:proofErr w:type="spellEnd"/>
      <w:r w:rsidRPr="009A541E">
        <w:t xml:space="preserve">) was a 66% decrease from 2018 and a 66% decrease from the average 2014-2018 catch. Catch by other gear totalled 15,090 </w:t>
      </w:r>
      <w:proofErr w:type="spellStart"/>
      <w:r w:rsidRPr="009A541E">
        <w:t>mt</w:t>
      </w:r>
      <w:proofErr w:type="spellEnd"/>
      <w:r w:rsidRPr="009A541E">
        <w:t xml:space="preserve"> and was a 33% increase from 2018 and 1% increase from the average catch in 2014-2018.</w:t>
      </w:r>
    </w:p>
    <w:p w14:paraId="39805391" w14:textId="77777777" w:rsidR="008017E1" w:rsidRPr="009A541E" w:rsidRDefault="008017E1" w:rsidP="00853EB0">
      <w:pPr>
        <w:pStyle w:val="WCPFC"/>
        <w:numPr>
          <w:ilvl w:val="0"/>
          <w:numId w:val="0"/>
        </w:numPr>
        <w:adjustRightInd w:val="0"/>
        <w:spacing w:after="0"/>
      </w:pPr>
    </w:p>
    <w:p w14:paraId="0B12B42D" w14:textId="77777777" w:rsidR="008017E1" w:rsidRPr="009A541E" w:rsidRDefault="008017E1" w:rsidP="00853EB0">
      <w:pPr>
        <w:pStyle w:val="WCPFC"/>
        <w:adjustRightInd w:val="0"/>
        <w:spacing w:after="0"/>
        <w:ind w:left="0" w:firstLine="0"/>
      </w:pPr>
      <w:r w:rsidRPr="009A541E">
        <w:t xml:space="preserve">SC16 noted that the catch in the last year of the assessment (2018) was median 159,288 </w:t>
      </w:r>
      <w:proofErr w:type="spellStart"/>
      <w:r w:rsidRPr="009A541E">
        <w:t>mt</w:t>
      </w:r>
      <w:proofErr w:type="spellEnd"/>
      <w:r w:rsidRPr="009A541E">
        <w:t xml:space="preserve"> which was greater than the median MSY (140,720 </w:t>
      </w:r>
      <w:proofErr w:type="spellStart"/>
      <w:r w:rsidRPr="009A541E">
        <w:t>mt</w:t>
      </w:r>
      <w:proofErr w:type="spellEnd"/>
      <w:r w:rsidRPr="009A541E">
        <w:t xml:space="preserve">). </w:t>
      </w:r>
    </w:p>
    <w:p w14:paraId="6796D54C" w14:textId="77777777" w:rsidR="008017E1" w:rsidRPr="009A541E" w:rsidRDefault="008017E1" w:rsidP="00853EB0">
      <w:pPr>
        <w:autoSpaceDE w:val="0"/>
        <w:autoSpaceDN w:val="0"/>
        <w:adjustRightInd w:val="0"/>
        <w:snapToGrid w:val="0"/>
        <w:spacing w:after="0" w:line="240" w:lineRule="auto"/>
        <w:jc w:val="both"/>
        <w:rPr>
          <w:bCs/>
        </w:rPr>
      </w:pPr>
    </w:p>
    <w:p w14:paraId="2081B23B" w14:textId="37004AA6" w:rsidR="008017E1" w:rsidRPr="009A541E" w:rsidRDefault="008017E1" w:rsidP="00853EB0">
      <w:pPr>
        <w:pStyle w:val="WCPFC"/>
        <w:adjustRightInd w:val="0"/>
        <w:spacing w:after="0"/>
        <w:ind w:left="0" w:firstLine="0"/>
        <w:rPr>
          <w:bCs/>
        </w:rPr>
      </w:pPr>
      <w:r w:rsidRPr="009A541E">
        <w:rPr>
          <w:bCs/>
        </w:rPr>
        <w:t>Based</w:t>
      </w:r>
      <w:r w:rsidR="00F62613">
        <w:rPr>
          <w:bCs/>
        </w:rPr>
        <w:t xml:space="preserve"> </w:t>
      </w:r>
      <w:r w:rsidRPr="009A541E">
        <w:rPr>
          <w:bCs/>
        </w:rPr>
        <w:t>on</w:t>
      </w:r>
      <w:r w:rsidR="00F62613">
        <w:rPr>
          <w:bCs/>
        </w:rPr>
        <w:t xml:space="preserve"> </w:t>
      </w:r>
      <w:r w:rsidRPr="009A541E">
        <w:rPr>
          <w:bCs/>
        </w:rPr>
        <w:t>the</w:t>
      </w:r>
      <w:r w:rsidR="00F62613">
        <w:rPr>
          <w:bCs/>
        </w:rPr>
        <w:t xml:space="preserve"> </w:t>
      </w:r>
      <w:r w:rsidRPr="009A541E">
        <w:rPr>
          <w:bCs/>
        </w:rPr>
        <w:t>uncertainty</w:t>
      </w:r>
      <w:r w:rsidR="00F62613">
        <w:rPr>
          <w:bCs/>
        </w:rPr>
        <w:t xml:space="preserve"> </w:t>
      </w:r>
      <w:r w:rsidRPr="009A541E">
        <w:rPr>
          <w:bCs/>
        </w:rPr>
        <w:t>grid</w:t>
      </w:r>
      <w:r w:rsidR="00F62613">
        <w:rPr>
          <w:bCs/>
        </w:rPr>
        <w:t xml:space="preserve"> </w:t>
      </w:r>
      <w:r w:rsidRPr="009A541E">
        <w:rPr>
          <w:bCs/>
        </w:rPr>
        <w:t>adopted</w:t>
      </w:r>
      <w:r w:rsidR="00F62613">
        <w:rPr>
          <w:bCs/>
        </w:rPr>
        <w:t xml:space="preserve"> </w:t>
      </w:r>
      <w:r w:rsidRPr="009A541E">
        <w:rPr>
          <w:bCs/>
        </w:rPr>
        <w:t>by</w:t>
      </w:r>
      <w:r w:rsidR="00F62613">
        <w:rPr>
          <w:bCs/>
        </w:rPr>
        <w:t xml:space="preserve"> </w:t>
      </w:r>
      <w:r w:rsidRPr="009A541E">
        <w:rPr>
          <w:bCs/>
        </w:rPr>
        <w:t>SC16,</w:t>
      </w:r>
      <w:r w:rsidR="00F62613">
        <w:rPr>
          <w:bCs/>
        </w:rPr>
        <w:t xml:space="preserve"> </w:t>
      </w:r>
      <w:r w:rsidRPr="009A541E">
        <w:rPr>
          <w:bCs/>
        </w:rPr>
        <w:t>the</w:t>
      </w:r>
      <w:r w:rsidR="00F62613">
        <w:rPr>
          <w:bCs/>
        </w:rPr>
        <w:t xml:space="preserve"> </w:t>
      </w:r>
      <w:r w:rsidRPr="009A541E">
        <w:rPr>
          <w:bCs/>
        </w:rPr>
        <w:t>WCPO</w:t>
      </w:r>
      <w:r w:rsidR="00F62613">
        <w:rPr>
          <w:bCs/>
        </w:rPr>
        <w:t xml:space="preserve"> </w:t>
      </w:r>
      <w:r w:rsidRPr="009A541E">
        <w:rPr>
          <w:bCs/>
        </w:rPr>
        <w:t>bigeye</w:t>
      </w:r>
      <w:r w:rsidR="00F62613">
        <w:rPr>
          <w:bCs/>
        </w:rPr>
        <w:t xml:space="preserve"> </w:t>
      </w:r>
      <w:r w:rsidRPr="009A541E">
        <w:rPr>
          <w:bCs/>
        </w:rPr>
        <w:t>tuna</w:t>
      </w:r>
      <w:r w:rsidR="00F62613">
        <w:rPr>
          <w:bCs/>
        </w:rPr>
        <w:t xml:space="preserve"> </w:t>
      </w:r>
      <w:r w:rsidRPr="009A541E">
        <w:rPr>
          <w:bCs/>
        </w:rPr>
        <w:t>spawning</w:t>
      </w:r>
      <w:r w:rsidR="00F62613">
        <w:rPr>
          <w:bCs/>
        </w:rPr>
        <w:t xml:space="preserve"> </w:t>
      </w:r>
      <w:r w:rsidRPr="009A541E">
        <w:rPr>
          <w:bCs/>
        </w:rPr>
        <w:t>biomass</w:t>
      </w:r>
      <w:r w:rsidR="00F62613">
        <w:rPr>
          <w:bCs/>
        </w:rPr>
        <w:t xml:space="preserve"> </w:t>
      </w:r>
      <w:r w:rsidRPr="009A541E">
        <w:rPr>
          <w:bCs/>
        </w:rPr>
        <w:t xml:space="preserve">is </w:t>
      </w:r>
      <w:r w:rsidRPr="009A541E">
        <w:rPr>
          <w:bCs/>
          <w:position w:val="2"/>
        </w:rPr>
        <w:t>above the biomass LRP and recent F is very likely below F</w:t>
      </w:r>
      <w:r w:rsidRPr="009A541E">
        <w:rPr>
          <w:bCs/>
          <w:vertAlign w:val="subscript"/>
        </w:rPr>
        <w:t>MSY</w:t>
      </w:r>
      <w:r w:rsidRPr="009A541E">
        <w:rPr>
          <w:bCs/>
          <w:position w:val="2"/>
        </w:rPr>
        <w:t xml:space="preserve">. </w:t>
      </w:r>
      <w:r w:rsidRPr="009A541E">
        <w:rPr>
          <w:bCs/>
        </w:rPr>
        <w:t>The</w:t>
      </w:r>
      <w:r w:rsidR="00F62613">
        <w:rPr>
          <w:bCs/>
        </w:rPr>
        <w:t xml:space="preserve"> </w:t>
      </w:r>
      <w:r w:rsidRPr="009A541E">
        <w:rPr>
          <w:bCs/>
        </w:rPr>
        <w:t>stock</w:t>
      </w:r>
      <w:r w:rsidR="00F62613">
        <w:rPr>
          <w:bCs/>
        </w:rPr>
        <w:t xml:space="preserve"> </w:t>
      </w:r>
      <w:r w:rsidRPr="009A541E">
        <w:rPr>
          <w:bCs/>
        </w:rPr>
        <w:t>is</w:t>
      </w:r>
      <w:r w:rsidR="00F62613">
        <w:rPr>
          <w:bCs/>
        </w:rPr>
        <w:t xml:space="preserve"> </w:t>
      </w:r>
      <w:r w:rsidRPr="009A541E">
        <w:rPr>
          <w:bCs/>
        </w:rPr>
        <w:t>not</w:t>
      </w:r>
      <w:r w:rsidR="00F62613">
        <w:rPr>
          <w:bCs/>
        </w:rPr>
        <w:t xml:space="preserve"> </w:t>
      </w:r>
      <w:r w:rsidRPr="009A541E">
        <w:rPr>
          <w:bCs/>
        </w:rPr>
        <w:t>overfished</w:t>
      </w:r>
      <w:r w:rsidR="00F62613">
        <w:rPr>
          <w:bCs/>
        </w:rPr>
        <w:t xml:space="preserve"> </w:t>
      </w:r>
      <w:r w:rsidRPr="009A541E">
        <w:rPr>
          <w:bCs/>
        </w:rPr>
        <w:t>(100%probability SB/SB</w:t>
      </w:r>
      <w:r w:rsidRPr="009A541E">
        <w:rPr>
          <w:bCs/>
          <w:vertAlign w:val="subscript"/>
        </w:rPr>
        <w:t>F=0</w:t>
      </w:r>
      <w:r w:rsidRPr="009A541E">
        <w:rPr>
          <w:bCs/>
        </w:rPr>
        <w:t>&gt;LRP) and likely not experiencing overfishing (87.5% probability F&lt;F</w:t>
      </w:r>
      <w:r w:rsidRPr="009A541E">
        <w:rPr>
          <w:bCs/>
          <w:vertAlign w:val="subscript"/>
        </w:rPr>
        <w:t>MSY</w:t>
      </w:r>
      <w:r w:rsidRPr="009A541E">
        <w:rPr>
          <w:bCs/>
        </w:rPr>
        <w:t xml:space="preserve">). </w:t>
      </w:r>
    </w:p>
    <w:p w14:paraId="2A9F514F" w14:textId="77777777" w:rsidR="008017E1" w:rsidRPr="009A541E" w:rsidRDefault="008017E1" w:rsidP="00853EB0">
      <w:pPr>
        <w:autoSpaceDE w:val="0"/>
        <w:autoSpaceDN w:val="0"/>
        <w:adjustRightInd w:val="0"/>
        <w:snapToGrid w:val="0"/>
        <w:spacing w:after="0" w:line="240" w:lineRule="auto"/>
        <w:jc w:val="both"/>
        <w:rPr>
          <w:bCs/>
        </w:rPr>
      </w:pPr>
    </w:p>
    <w:p w14:paraId="3CFF0F4D" w14:textId="0575766D" w:rsidR="008017E1" w:rsidRPr="009A541E" w:rsidRDefault="008017E1" w:rsidP="00853EB0">
      <w:pPr>
        <w:pStyle w:val="WCPFC"/>
        <w:adjustRightInd w:val="0"/>
        <w:spacing w:after="0"/>
        <w:ind w:left="0" w:firstLine="0"/>
        <w:rPr>
          <w:bCs/>
        </w:rPr>
      </w:pPr>
      <w:r w:rsidRPr="009A541E">
        <w:rPr>
          <w:bCs/>
        </w:rPr>
        <w:lastRenderedPageBreak/>
        <w:t>SC16</w:t>
      </w:r>
      <w:r w:rsidR="00F62613">
        <w:rPr>
          <w:bCs/>
        </w:rPr>
        <w:t xml:space="preserve"> </w:t>
      </w:r>
      <w:r w:rsidRPr="009A541E">
        <w:rPr>
          <w:bCs/>
        </w:rPr>
        <w:t>noted</w:t>
      </w:r>
      <w:r w:rsidR="00F62613">
        <w:rPr>
          <w:bCs/>
        </w:rPr>
        <w:t xml:space="preserve"> </w:t>
      </w:r>
      <w:r w:rsidRPr="009A541E">
        <w:rPr>
          <w:bCs/>
        </w:rPr>
        <w:t>that</w:t>
      </w:r>
      <w:r w:rsidR="00F62613">
        <w:rPr>
          <w:bCs/>
        </w:rPr>
        <w:t xml:space="preserve"> </w:t>
      </w:r>
      <w:r w:rsidRPr="009A541E">
        <w:rPr>
          <w:bCs/>
        </w:rPr>
        <w:t>levels</w:t>
      </w:r>
      <w:r w:rsidR="00F62613">
        <w:rPr>
          <w:bCs/>
        </w:rPr>
        <w:t xml:space="preserve"> </w:t>
      </w:r>
      <w:r w:rsidRPr="009A541E">
        <w:rPr>
          <w:bCs/>
        </w:rPr>
        <w:t>of</w:t>
      </w:r>
      <w:r w:rsidR="00F62613">
        <w:rPr>
          <w:bCs/>
        </w:rPr>
        <w:t xml:space="preserve"> </w:t>
      </w:r>
      <w:r w:rsidRPr="009A541E">
        <w:rPr>
          <w:bCs/>
        </w:rPr>
        <w:t>fishing</w:t>
      </w:r>
      <w:r w:rsidR="00F62613">
        <w:rPr>
          <w:bCs/>
        </w:rPr>
        <w:t xml:space="preserve"> </w:t>
      </w:r>
      <w:r w:rsidRPr="009A541E">
        <w:rPr>
          <w:bCs/>
        </w:rPr>
        <w:t>mortality</w:t>
      </w:r>
      <w:r w:rsidR="00F62613">
        <w:rPr>
          <w:bCs/>
        </w:rPr>
        <w:t xml:space="preserve"> </w:t>
      </w:r>
      <w:r w:rsidRPr="009A541E">
        <w:rPr>
          <w:bCs/>
        </w:rPr>
        <w:t>and</w:t>
      </w:r>
      <w:r w:rsidR="00F62613">
        <w:rPr>
          <w:bCs/>
        </w:rPr>
        <w:t xml:space="preserve"> </w:t>
      </w:r>
      <w:r w:rsidRPr="009A541E">
        <w:rPr>
          <w:bCs/>
        </w:rPr>
        <w:t>depletion</w:t>
      </w:r>
      <w:r w:rsidR="00F62613">
        <w:rPr>
          <w:bCs/>
        </w:rPr>
        <w:t xml:space="preserve"> </w:t>
      </w:r>
      <w:r w:rsidRPr="009A541E">
        <w:rPr>
          <w:bCs/>
        </w:rPr>
        <w:t>differ</w:t>
      </w:r>
      <w:r w:rsidR="00F62613">
        <w:rPr>
          <w:bCs/>
        </w:rPr>
        <w:t xml:space="preserve"> </w:t>
      </w:r>
      <w:r w:rsidRPr="009A541E">
        <w:rPr>
          <w:bCs/>
        </w:rPr>
        <w:t>among</w:t>
      </w:r>
      <w:r w:rsidR="00F62613">
        <w:rPr>
          <w:bCs/>
        </w:rPr>
        <w:t xml:space="preserve"> </w:t>
      </w:r>
      <w:r w:rsidRPr="009A541E">
        <w:rPr>
          <w:bCs/>
        </w:rPr>
        <w:t>regions,</w:t>
      </w:r>
      <w:r w:rsidR="00F62613">
        <w:rPr>
          <w:bCs/>
        </w:rPr>
        <w:t xml:space="preserve"> </w:t>
      </w:r>
      <w:r w:rsidRPr="009A541E">
        <w:rPr>
          <w:bCs/>
        </w:rPr>
        <w:t>and</w:t>
      </w:r>
      <w:r w:rsidR="00F2719B">
        <w:rPr>
          <w:bCs/>
        </w:rPr>
        <w:t xml:space="preserve"> </w:t>
      </w:r>
      <w:r w:rsidRPr="009A541E">
        <w:rPr>
          <w:bCs/>
        </w:rPr>
        <w:t>that</w:t>
      </w:r>
      <w:r w:rsidR="00F2719B">
        <w:rPr>
          <w:bCs/>
        </w:rPr>
        <w:t xml:space="preserve"> </w:t>
      </w:r>
      <w:r w:rsidRPr="009A541E">
        <w:rPr>
          <w:bCs/>
        </w:rPr>
        <w:t>fishery</w:t>
      </w:r>
      <w:r w:rsidR="00F2719B">
        <w:rPr>
          <w:bCs/>
        </w:rPr>
        <w:t xml:space="preserve"> </w:t>
      </w:r>
      <w:r w:rsidRPr="009A541E">
        <w:rPr>
          <w:bCs/>
        </w:rPr>
        <w:t>impact</w:t>
      </w:r>
      <w:r w:rsidR="00F2719B">
        <w:rPr>
          <w:bCs/>
        </w:rPr>
        <w:t xml:space="preserve"> </w:t>
      </w:r>
      <w:r w:rsidRPr="009A541E">
        <w:rPr>
          <w:bCs/>
        </w:rPr>
        <w:t>was</w:t>
      </w:r>
      <w:r w:rsidR="00F2719B">
        <w:rPr>
          <w:bCs/>
        </w:rPr>
        <w:t xml:space="preserve"> </w:t>
      </w:r>
      <w:r w:rsidRPr="009A541E">
        <w:rPr>
          <w:bCs/>
        </w:rPr>
        <w:t>higher</w:t>
      </w:r>
      <w:r w:rsidR="00F2719B">
        <w:rPr>
          <w:bCs/>
        </w:rPr>
        <w:t xml:space="preserve"> </w:t>
      </w:r>
      <w:r w:rsidRPr="009A541E">
        <w:rPr>
          <w:bCs/>
        </w:rPr>
        <w:t>in</w:t>
      </w:r>
      <w:r w:rsidR="00F2719B">
        <w:rPr>
          <w:bCs/>
        </w:rPr>
        <w:t xml:space="preserve"> </w:t>
      </w:r>
      <w:r w:rsidRPr="009A541E">
        <w:rPr>
          <w:bCs/>
        </w:rPr>
        <w:t>the</w:t>
      </w:r>
      <w:r w:rsidR="00F2719B">
        <w:rPr>
          <w:bCs/>
        </w:rPr>
        <w:t xml:space="preserve"> </w:t>
      </w:r>
      <w:r w:rsidRPr="009A541E">
        <w:rPr>
          <w:bCs/>
        </w:rPr>
        <w:t>tropical</w:t>
      </w:r>
      <w:r w:rsidR="00F2719B">
        <w:rPr>
          <w:bCs/>
        </w:rPr>
        <w:t xml:space="preserve"> </w:t>
      </w:r>
      <w:r w:rsidRPr="009A541E">
        <w:rPr>
          <w:bCs/>
        </w:rPr>
        <w:t>regions</w:t>
      </w:r>
      <w:r w:rsidR="00F2719B">
        <w:rPr>
          <w:bCs/>
        </w:rPr>
        <w:t xml:space="preserve"> </w:t>
      </w:r>
      <w:r w:rsidRPr="009A541E">
        <w:rPr>
          <w:bCs/>
        </w:rPr>
        <w:t>(Regions</w:t>
      </w:r>
      <w:r w:rsidR="00163867">
        <w:rPr>
          <w:bCs/>
        </w:rPr>
        <w:t xml:space="preserve"> </w:t>
      </w:r>
      <w:r w:rsidRPr="009A541E">
        <w:rPr>
          <w:bCs/>
        </w:rPr>
        <w:t>3,4,7</w:t>
      </w:r>
      <w:r w:rsidR="00163867">
        <w:rPr>
          <w:bCs/>
        </w:rPr>
        <w:t xml:space="preserve"> </w:t>
      </w:r>
      <w:r w:rsidRPr="009A541E">
        <w:rPr>
          <w:bCs/>
        </w:rPr>
        <w:t>and</w:t>
      </w:r>
      <w:r w:rsidR="00163867">
        <w:rPr>
          <w:bCs/>
        </w:rPr>
        <w:t xml:space="preserve"> </w:t>
      </w:r>
      <w:r w:rsidRPr="009A541E">
        <w:rPr>
          <w:bCs/>
        </w:rPr>
        <w:t>8</w:t>
      </w:r>
      <w:r w:rsidR="00163867">
        <w:rPr>
          <w:bCs/>
        </w:rPr>
        <w:t xml:space="preserve"> </w:t>
      </w:r>
      <w:r w:rsidRPr="009A541E">
        <w:rPr>
          <w:bCs/>
        </w:rPr>
        <w:t>in</w:t>
      </w:r>
      <w:r w:rsidR="00163867">
        <w:rPr>
          <w:bCs/>
        </w:rPr>
        <w:t xml:space="preserve"> </w:t>
      </w:r>
      <w:r w:rsidRPr="009A541E">
        <w:rPr>
          <w:bCs/>
        </w:rPr>
        <w:t>the</w:t>
      </w:r>
      <w:r w:rsidR="00163867">
        <w:rPr>
          <w:bCs/>
        </w:rPr>
        <w:t xml:space="preserve"> </w:t>
      </w:r>
      <w:r w:rsidRPr="009A541E">
        <w:rPr>
          <w:bCs/>
        </w:rPr>
        <w:t>stock</w:t>
      </w:r>
      <w:r w:rsidR="00163867">
        <w:rPr>
          <w:bCs/>
        </w:rPr>
        <w:t xml:space="preserve"> </w:t>
      </w:r>
      <w:r w:rsidRPr="009A541E">
        <w:rPr>
          <w:bCs/>
        </w:rPr>
        <w:t>assessment</w:t>
      </w:r>
      <w:r w:rsidR="00163867">
        <w:rPr>
          <w:bCs/>
        </w:rPr>
        <w:t xml:space="preserve"> </w:t>
      </w:r>
      <w:r w:rsidRPr="009A541E">
        <w:rPr>
          <w:bCs/>
        </w:rPr>
        <w:t xml:space="preserve">model), with particularly high fishing mortality on juvenile bigeye tuna in these regions. There is also evidence that the overall stock status is buffered with biomass kept at more elevated level overall by </w:t>
      </w:r>
      <w:r w:rsidRPr="0009493F">
        <w:t>low</w:t>
      </w:r>
      <w:r w:rsidRPr="009A541E">
        <w:rPr>
          <w:bCs/>
        </w:rPr>
        <w:t xml:space="preserve"> exploitation in the temperate regions (1, 2, 6 and 9). SC16 therefore re-iterates that WCPFC17 could continue to consider measures to reduce fishing mortality from fisheries that take juveniles, with the goal to increase bigeye fishery yields and reduce any further impacts on the spawning biomass for this stock in the tropical</w:t>
      </w:r>
      <w:r w:rsidR="00163867">
        <w:rPr>
          <w:bCs/>
        </w:rPr>
        <w:t xml:space="preserve"> </w:t>
      </w:r>
      <w:r w:rsidRPr="009A541E">
        <w:rPr>
          <w:bCs/>
        </w:rPr>
        <w:t xml:space="preserve">regions. </w:t>
      </w:r>
    </w:p>
    <w:p w14:paraId="1FFAE161" w14:textId="77777777" w:rsidR="008017E1" w:rsidRPr="009A541E" w:rsidRDefault="008017E1" w:rsidP="00853EB0">
      <w:pPr>
        <w:autoSpaceDE w:val="0"/>
        <w:autoSpaceDN w:val="0"/>
        <w:adjustRightInd w:val="0"/>
        <w:snapToGrid w:val="0"/>
        <w:spacing w:after="0" w:line="240" w:lineRule="auto"/>
        <w:ind w:left="720"/>
        <w:jc w:val="both"/>
        <w:rPr>
          <w:bCs/>
        </w:rPr>
      </w:pPr>
    </w:p>
    <w:p w14:paraId="76A508FF" w14:textId="77777777" w:rsidR="008017E1" w:rsidRPr="009A541E" w:rsidRDefault="008017E1" w:rsidP="00853EB0">
      <w:pPr>
        <w:pStyle w:val="WCPFC"/>
        <w:adjustRightInd w:val="0"/>
        <w:spacing w:after="0"/>
        <w:ind w:left="0" w:firstLine="0"/>
        <w:rPr>
          <w:bCs/>
        </w:rPr>
      </w:pPr>
      <w:r w:rsidRPr="009A541E">
        <w:rPr>
          <w:bCs/>
        </w:rPr>
        <w:t xml:space="preserve">Based on those results, SC16 recommends as a precautionary approach that the fishing mortality on bigeye tuna stock should not be increased from the level that maintains spawning biomass </w:t>
      </w:r>
      <w:r w:rsidRPr="0009493F">
        <w:t>at</w:t>
      </w:r>
      <w:r w:rsidRPr="009A541E">
        <w:rPr>
          <w:bCs/>
        </w:rPr>
        <w:t xml:space="preserve"> 2012-2015 levels until the Commission can agree on an appropriate target reference point.</w:t>
      </w:r>
    </w:p>
    <w:p w14:paraId="345718C5" w14:textId="77777777" w:rsidR="008017E1" w:rsidRPr="009A541E" w:rsidRDefault="008017E1" w:rsidP="00853EB0">
      <w:pPr>
        <w:adjustRightInd w:val="0"/>
        <w:snapToGrid w:val="0"/>
        <w:spacing w:after="0" w:line="240" w:lineRule="auto"/>
      </w:pPr>
    </w:p>
    <w:p w14:paraId="0091D6BE" w14:textId="77777777" w:rsidR="00C578A4" w:rsidRPr="00C578A4" w:rsidRDefault="00C578A4" w:rsidP="00853EB0">
      <w:pPr>
        <w:spacing w:after="0" w:line="240" w:lineRule="auto"/>
      </w:pPr>
    </w:p>
    <w:p w14:paraId="08C0F912" w14:textId="0EDE8BA9" w:rsidR="008649C0" w:rsidRPr="00EA7C95" w:rsidRDefault="008649C0" w:rsidP="00E465D9">
      <w:pPr>
        <w:pStyle w:val="Heading1"/>
        <w:adjustRightInd w:val="0"/>
        <w:snapToGrid w:val="0"/>
        <w:spacing w:before="0" w:line="240" w:lineRule="auto"/>
        <w:rPr>
          <w:rFonts w:ascii="Times New Roman" w:hAnsi="Times New Roman" w:cs="Times New Roman"/>
          <w:b/>
          <w:bCs/>
          <w:sz w:val="28"/>
          <w:szCs w:val="28"/>
        </w:rPr>
      </w:pPr>
      <w:bookmarkStart w:id="2" w:name="_Toc64388040"/>
      <w:r w:rsidRPr="00EA7C95">
        <w:rPr>
          <w:rFonts w:ascii="Times New Roman" w:hAnsi="Times New Roman" w:cs="Times New Roman"/>
          <w:b/>
          <w:bCs/>
          <w:sz w:val="28"/>
          <w:szCs w:val="28"/>
        </w:rPr>
        <w:t>SC1</w:t>
      </w:r>
      <w:r w:rsidR="00B42F6C" w:rsidRPr="00EA7C95">
        <w:rPr>
          <w:rFonts w:ascii="Times New Roman" w:hAnsi="Times New Roman" w:cs="Times New Roman"/>
          <w:b/>
          <w:bCs/>
          <w:sz w:val="28"/>
          <w:szCs w:val="28"/>
        </w:rPr>
        <w:t>5</w:t>
      </w:r>
      <w:r w:rsidRPr="00EA7C95">
        <w:rPr>
          <w:rFonts w:ascii="Times New Roman" w:hAnsi="Times New Roman" w:cs="Times New Roman"/>
          <w:b/>
          <w:bCs/>
          <w:sz w:val="28"/>
          <w:szCs w:val="28"/>
        </w:rPr>
        <w:t xml:space="preserve"> </w:t>
      </w:r>
      <w:r w:rsidR="00C578A4" w:rsidRPr="00EA7C95">
        <w:rPr>
          <w:rFonts w:ascii="Times New Roman" w:hAnsi="Times New Roman" w:cs="Times New Roman"/>
          <w:b/>
          <w:bCs/>
          <w:sz w:val="28"/>
          <w:szCs w:val="28"/>
        </w:rPr>
        <w:t>201</w:t>
      </w:r>
      <w:r w:rsidR="00C578A4">
        <w:rPr>
          <w:rFonts w:ascii="Times New Roman" w:hAnsi="Times New Roman" w:cs="Times New Roman"/>
          <w:b/>
          <w:bCs/>
          <w:sz w:val="28"/>
          <w:szCs w:val="28"/>
        </w:rPr>
        <w:t>9</w:t>
      </w:r>
      <w:r w:rsidR="00C578A4" w:rsidRPr="00EA7C95">
        <w:rPr>
          <w:rFonts w:ascii="Times New Roman" w:hAnsi="Times New Roman" w:cs="Times New Roman"/>
          <w:b/>
          <w:bCs/>
          <w:sz w:val="28"/>
          <w:szCs w:val="28"/>
        </w:rPr>
        <w:t xml:space="preserve"> </w:t>
      </w:r>
      <w:r w:rsidRPr="00EA7C95">
        <w:rPr>
          <w:rFonts w:ascii="Times New Roman" w:hAnsi="Times New Roman" w:cs="Times New Roman"/>
          <w:b/>
          <w:bCs/>
          <w:sz w:val="28"/>
          <w:szCs w:val="28"/>
        </w:rPr>
        <w:t>(</w:t>
      </w:r>
      <w:r w:rsidR="009933A7" w:rsidRPr="00EA7C95">
        <w:rPr>
          <w:rFonts w:ascii="Times New Roman" w:hAnsi="Times New Roman" w:cs="Times New Roman"/>
          <w:b/>
          <w:bCs/>
          <w:sz w:val="28"/>
          <w:szCs w:val="28"/>
        </w:rPr>
        <w:t>FISHERY INDICATORS UPDATED</w:t>
      </w:r>
      <w:r w:rsidRPr="00EA7C95">
        <w:rPr>
          <w:rFonts w:ascii="Times New Roman" w:hAnsi="Times New Roman" w:cs="Times New Roman"/>
          <w:b/>
          <w:bCs/>
          <w:sz w:val="28"/>
          <w:szCs w:val="28"/>
        </w:rPr>
        <w:t>)</w:t>
      </w:r>
      <w:bookmarkEnd w:id="2"/>
    </w:p>
    <w:p w14:paraId="6E1FDDEF" w14:textId="77777777" w:rsidR="008649C0" w:rsidRPr="00EA7C95" w:rsidRDefault="008649C0" w:rsidP="00E465D9">
      <w:pPr>
        <w:tabs>
          <w:tab w:val="left" w:pos="820"/>
        </w:tabs>
        <w:adjustRightInd w:val="0"/>
        <w:snapToGrid w:val="0"/>
        <w:spacing w:after="0" w:line="240" w:lineRule="auto"/>
        <w:rPr>
          <w:rFonts w:ascii="Times New Roman" w:hAnsi="Times New Roman" w:cs="Times New Roman"/>
          <w:b/>
        </w:rPr>
      </w:pPr>
    </w:p>
    <w:p w14:paraId="57921515" w14:textId="77777777" w:rsidR="008649C0" w:rsidRPr="00805C42" w:rsidRDefault="008649C0" w:rsidP="00E465D9">
      <w:pPr>
        <w:pStyle w:val="ListParagraph"/>
        <w:numPr>
          <w:ilvl w:val="0"/>
          <w:numId w:val="10"/>
        </w:numPr>
        <w:adjustRightInd w:val="0"/>
        <w:snapToGrid w:val="0"/>
        <w:ind w:left="0" w:firstLine="0"/>
        <w:rPr>
          <w:b/>
          <w:spacing w:val="-4"/>
          <w:lang w:eastAsia="ko-KR"/>
        </w:rPr>
      </w:pPr>
      <w:r w:rsidRPr="00805C42">
        <w:rPr>
          <w:b/>
          <w:spacing w:val="-4"/>
        </w:rPr>
        <w:t>Stock Status</w:t>
      </w:r>
      <w:r w:rsidRPr="00805C42">
        <w:rPr>
          <w:b/>
          <w:spacing w:val="-4"/>
          <w:lang w:eastAsia="ko-KR"/>
        </w:rPr>
        <w:t xml:space="preserve"> and trends</w:t>
      </w:r>
    </w:p>
    <w:p w14:paraId="14D6BA76" w14:textId="5873BE09" w:rsidR="009933A7" w:rsidRPr="00805C42" w:rsidRDefault="009933A7" w:rsidP="00163867">
      <w:pPr>
        <w:pStyle w:val="WCPFC"/>
        <w:numPr>
          <w:ilvl w:val="0"/>
          <w:numId w:val="23"/>
        </w:numPr>
        <w:adjustRightInd w:val="0"/>
        <w:spacing w:after="0"/>
        <w:rPr>
          <w:spacing w:val="-4"/>
        </w:rPr>
      </w:pPr>
      <w:r w:rsidRPr="00805C42">
        <w:rPr>
          <w:spacing w:val="-4"/>
        </w:rPr>
        <w:t xml:space="preserve">SC15 noted that no stock assessment was conducted for WCPO bigeye tuna in 2019. Therefore, the stock status description from SC14 is still current. For further information on the stock status and trends from SC14, please see </w:t>
      </w:r>
      <w:hyperlink r:id="rId23" w:history="1">
        <w:r w:rsidRPr="00805C42">
          <w:rPr>
            <w:rStyle w:val="Hyperlink"/>
            <w:spacing w:val="-4"/>
            <w:lang w:val="en-AU"/>
          </w:rPr>
          <w:t>https://www.wcpfc.int/node/32155</w:t>
        </w:r>
      </w:hyperlink>
    </w:p>
    <w:p w14:paraId="0CBBF240" w14:textId="77777777" w:rsidR="009933A7" w:rsidRPr="00805C42" w:rsidRDefault="009933A7" w:rsidP="00E465D9">
      <w:pPr>
        <w:autoSpaceDE w:val="0"/>
        <w:autoSpaceDN w:val="0"/>
        <w:adjustRightInd w:val="0"/>
        <w:snapToGrid w:val="0"/>
        <w:spacing w:after="0" w:line="240" w:lineRule="auto"/>
        <w:jc w:val="both"/>
        <w:rPr>
          <w:rFonts w:ascii="Times New Roman" w:hAnsi="Times New Roman" w:cs="Times New Roman"/>
          <w:spacing w:val="-4"/>
          <w:lang w:val="en-AU"/>
        </w:rPr>
      </w:pPr>
    </w:p>
    <w:p w14:paraId="21492944" w14:textId="77777777" w:rsidR="009933A7" w:rsidRPr="00805C42" w:rsidRDefault="009933A7" w:rsidP="00163867">
      <w:pPr>
        <w:pStyle w:val="WCPFC"/>
        <w:numPr>
          <w:ilvl w:val="0"/>
          <w:numId w:val="23"/>
        </w:numPr>
        <w:adjustRightInd w:val="0"/>
        <w:spacing w:after="0"/>
        <w:rPr>
          <w:spacing w:val="-4"/>
          <w:lang w:val="en-AU"/>
        </w:rPr>
      </w:pPr>
      <w:r w:rsidRPr="00805C42">
        <w:rPr>
          <w:spacing w:val="-4"/>
          <w:lang w:val="en-AU"/>
        </w:rPr>
        <w:t xml:space="preserve">SC15 noted that the total bigeye catch in 2018 was 145,402 mt, a 13% increase from 2017 and a 1% decrease from the average 2013-2017. </w:t>
      </w:r>
    </w:p>
    <w:p w14:paraId="0EC0C908" w14:textId="77777777" w:rsidR="009933A7" w:rsidRPr="00805C42" w:rsidRDefault="009933A7" w:rsidP="00E465D9">
      <w:pPr>
        <w:autoSpaceDE w:val="0"/>
        <w:autoSpaceDN w:val="0"/>
        <w:adjustRightInd w:val="0"/>
        <w:snapToGrid w:val="0"/>
        <w:spacing w:after="0" w:line="240" w:lineRule="auto"/>
        <w:jc w:val="both"/>
        <w:rPr>
          <w:rFonts w:ascii="Times New Roman" w:hAnsi="Times New Roman" w:cs="Times New Roman"/>
          <w:spacing w:val="-4"/>
          <w:lang w:val="en-AU"/>
        </w:rPr>
      </w:pPr>
    </w:p>
    <w:p w14:paraId="14ECFBA5" w14:textId="77777777" w:rsidR="009933A7" w:rsidRPr="00805C42" w:rsidRDefault="009933A7" w:rsidP="00163867">
      <w:pPr>
        <w:pStyle w:val="WCPFC"/>
        <w:numPr>
          <w:ilvl w:val="0"/>
          <w:numId w:val="23"/>
        </w:numPr>
        <w:adjustRightInd w:val="0"/>
        <w:spacing w:after="0"/>
        <w:rPr>
          <w:spacing w:val="-4"/>
          <w:lang w:val="en-AU"/>
        </w:rPr>
      </w:pPr>
      <w:r w:rsidRPr="00163867">
        <w:rPr>
          <w:spacing w:val="-4"/>
        </w:rPr>
        <w:t>Longline</w:t>
      </w:r>
      <w:r w:rsidRPr="00805C42">
        <w:rPr>
          <w:spacing w:val="-4"/>
          <w:lang w:val="en-AU"/>
        </w:rPr>
        <w:t xml:space="preserve"> catch in 2018 (71,305 mt) was a 23% increase from 2017 and a 7% increase from the 2013-2017 average. Purse seine catch in 2018 (64,119 mt) was a 10% increase from 2017 and a 4% increase from the 2013-2017 average. Pole and line catch (1,677 mt) was a 3% increase from 2017 and a 60% decrease from the average 2013-2017 catch. Catch by other gear (8,301 mt) was a 25% decrease from 2017 and 45% decrease from the average catch in 2013-2017.</w:t>
      </w:r>
    </w:p>
    <w:p w14:paraId="627EA435" w14:textId="77777777" w:rsidR="009933A7" w:rsidRPr="00805C42" w:rsidRDefault="009933A7" w:rsidP="00E465D9">
      <w:pPr>
        <w:autoSpaceDE w:val="0"/>
        <w:autoSpaceDN w:val="0"/>
        <w:adjustRightInd w:val="0"/>
        <w:snapToGrid w:val="0"/>
        <w:spacing w:after="0" w:line="240" w:lineRule="auto"/>
        <w:jc w:val="both"/>
        <w:rPr>
          <w:rFonts w:ascii="Times New Roman" w:hAnsi="Times New Roman" w:cs="Times New Roman"/>
          <w:spacing w:val="-4"/>
          <w:lang w:val="en-AU"/>
        </w:rPr>
      </w:pPr>
    </w:p>
    <w:p w14:paraId="2F6E7918" w14:textId="77777777" w:rsidR="009933A7" w:rsidRPr="00805C42" w:rsidRDefault="009933A7" w:rsidP="00163867">
      <w:pPr>
        <w:pStyle w:val="WCPFC"/>
        <w:numPr>
          <w:ilvl w:val="0"/>
          <w:numId w:val="23"/>
        </w:numPr>
        <w:adjustRightInd w:val="0"/>
        <w:spacing w:after="0"/>
        <w:rPr>
          <w:spacing w:val="-4"/>
          <w:lang w:val="en-AU"/>
        </w:rPr>
      </w:pPr>
      <w:r w:rsidRPr="00805C42">
        <w:rPr>
          <w:spacing w:val="-4"/>
          <w:lang w:val="en-AU"/>
        </w:rPr>
        <w:t xml:space="preserve">SC15 noted that under recent fishery conditions, the bigeye stock is initially projected to increase as recent </w:t>
      </w:r>
      <w:r w:rsidRPr="00163867">
        <w:rPr>
          <w:spacing w:val="-4"/>
        </w:rPr>
        <w:t>estimated</w:t>
      </w:r>
      <w:r w:rsidRPr="00805C42">
        <w:rPr>
          <w:spacing w:val="-4"/>
          <w:lang w:val="en-AU"/>
        </w:rPr>
        <w:t xml:space="preserve"> recruitments support adult stock biomass. Adult stock biomass is then projected to decline slightly before again increasing. Projected fishing mortality is below F</w:t>
      </w:r>
      <w:r w:rsidRPr="00805C42">
        <w:rPr>
          <w:spacing w:val="-4"/>
          <w:vertAlign w:val="subscript"/>
          <w:lang w:val="en-AU"/>
        </w:rPr>
        <w:t>MSY</w:t>
      </w:r>
      <w:r w:rsidRPr="00805C42">
        <w:rPr>
          <w:spacing w:val="-4"/>
          <w:lang w:val="en-AU"/>
        </w:rPr>
        <w:t xml:space="preserve"> (median F</w:t>
      </w:r>
      <w:r w:rsidRPr="00805C42">
        <w:rPr>
          <w:spacing w:val="-4"/>
          <w:vertAlign w:val="subscript"/>
          <w:lang w:val="en-AU"/>
        </w:rPr>
        <w:t>2020</w:t>
      </w:r>
      <w:r w:rsidRPr="00805C42">
        <w:rPr>
          <w:spacing w:val="-4"/>
          <w:lang w:val="en-AU"/>
        </w:rPr>
        <w:t>/F</w:t>
      </w:r>
      <w:r w:rsidRPr="00805C42">
        <w:rPr>
          <w:spacing w:val="-4"/>
          <w:vertAlign w:val="subscript"/>
          <w:lang w:val="en-AU"/>
        </w:rPr>
        <w:t>MSY</w:t>
      </w:r>
      <w:r w:rsidRPr="00805C42">
        <w:rPr>
          <w:spacing w:val="-4"/>
          <w:lang w:val="en-AU"/>
        </w:rPr>
        <w:t xml:space="preserve"> = 0.62, the risk of F</w:t>
      </w:r>
      <w:r w:rsidRPr="00805C42">
        <w:rPr>
          <w:spacing w:val="-4"/>
          <w:vertAlign w:val="subscript"/>
          <w:lang w:val="en-AU"/>
        </w:rPr>
        <w:t>2020</w:t>
      </w:r>
      <w:r w:rsidRPr="00805C42">
        <w:rPr>
          <w:spacing w:val="-4"/>
          <w:lang w:val="en-AU"/>
        </w:rPr>
        <w:t xml:space="preserve"> &gt; F</w:t>
      </w:r>
      <w:r w:rsidRPr="00805C42">
        <w:rPr>
          <w:spacing w:val="-4"/>
          <w:vertAlign w:val="subscript"/>
          <w:lang w:val="en-AU"/>
        </w:rPr>
        <w:t>MSY</w:t>
      </w:r>
      <w:r w:rsidRPr="00805C42">
        <w:rPr>
          <w:spacing w:val="-4"/>
          <w:lang w:val="en-AU"/>
        </w:rPr>
        <w:t xml:space="preserve"> = 0%) and projected median spawning biomass is above the LRP (SB</w:t>
      </w:r>
      <w:r w:rsidRPr="00805C42">
        <w:rPr>
          <w:spacing w:val="-4"/>
          <w:vertAlign w:val="subscript"/>
          <w:lang w:val="en-AU"/>
        </w:rPr>
        <w:t>2020</w:t>
      </w:r>
      <w:r w:rsidRPr="00805C42">
        <w:rPr>
          <w:spacing w:val="-4"/>
          <w:lang w:val="en-AU"/>
        </w:rPr>
        <w:t>/SB</w:t>
      </w:r>
      <w:r w:rsidRPr="00805C42">
        <w:rPr>
          <w:spacing w:val="-4"/>
          <w:vertAlign w:val="subscript"/>
          <w:lang w:val="en-AU"/>
        </w:rPr>
        <w:t>F=0</w:t>
      </w:r>
      <w:r w:rsidRPr="00805C42">
        <w:rPr>
          <w:spacing w:val="-4"/>
          <w:lang w:val="en-AU"/>
        </w:rPr>
        <w:t xml:space="preserve"> = 0.2) (median SB</w:t>
      </w:r>
      <w:r w:rsidRPr="00805C42">
        <w:rPr>
          <w:spacing w:val="-4"/>
          <w:vertAlign w:val="subscript"/>
          <w:lang w:val="en-AU"/>
        </w:rPr>
        <w:t>2020</w:t>
      </w:r>
      <w:r w:rsidRPr="00805C42">
        <w:rPr>
          <w:spacing w:val="-4"/>
          <w:lang w:val="en-AU"/>
        </w:rPr>
        <w:t>/SB</w:t>
      </w:r>
      <w:r w:rsidRPr="00805C42">
        <w:rPr>
          <w:spacing w:val="-4"/>
          <w:vertAlign w:val="subscript"/>
          <w:lang w:val="en-AU"/>
        </w:rPr>
        <w:t>F=0</w:t>
      </w:r>
      <w:r w:rsidRPr="00805C42">
        <w:rPr>
          <w:spacing w:val="-4"/>
          <w:lang w:val="en-AU"/>
        </w:rPr>
        <w:t xml:space="preserve"> = 0.41; median SB</w:t>
      </w:r>
      <w:r w:rsidRPr="00805C42">
        <w:rPr>
          <w:spacing w:val="-4"/>
          <w:vertAlign w:val="subscript"/>
          <w:lang w:val="en-AU"/>
        </w:rPr>
        <w:t>2020</w:t>
      </w:r>
      <w:r w:rsidRPr="00805C42">
        <w:rPr>
          <w:spacing w:val="-4"/>
          <w:lang w:val="en-AU"/>
        </w:rPr>
        <w:t>/SB</w:t>
      </w:r>
      <w:r w:rsidRPr="00805C42">
        <w:rPr>
          <w:spacing w:val="-4"/>
          <w:vertAlign w:val="subscript"/>
          <w:lang w:val="en-AU"/>
        </w:rPr>
        <w:t>MSY</w:t>
      </w:r>
      <w:r w:rsidRPr="00805C42">
        <w:rPr>
          <w:spacing w:val="-4"/>
          <w:lang w:val="en-AU"/>
        </w:rPr>
        <w:t xml:space="preserve"> = 1.79. Risk that SB</w:t>
      </w:r>
      <w:r w:rsidRPr="00805C42">
        <w:rPr>
          <w:spacing w:val="-4"/>
          <w:vertAlign w:val="subscript"/>
          <w:lang w:val="en-AU"/>
        </w:rPr>
        <w:t>2020</w:t>
      </w:r>
      <w:r w:rsidRPr="00805C42">
        <w:rPr>
          <w:spacing w:val="-4"/>
          <w:lang w:val="en-AU"/>
        </w:rPr>
        <w:t xml:space="preserve"> &lt; LRP = 0%). Projections are from the updated model runs of Vincent et al. (2018).</w:t>
      </w:r>
    </w:p>
    <w:p w14:paraId="3C286084" w14:textId="77777777" w:rsidR="009933A7" w:rsidRPr="00805C42" w:rsidRDefault="009933A7" w:rsidP="00E465D9">
      <w:pPr>
        <w:pStyle w:val="ListParagraph"/>
        <w:adjustRightInd w:val="0"/>
        <w:snapToGrid w:val="0"/>
        <w:rPr>
          <w:spacing w:val="-4"/>
          <w:lang w:val="en-AU"/>
        </w:rPr>
      </w:pPr>
    </w:p>
    <w:p w14:paraId="740B76C6" w14:textId="77777777" w:rsidR="009933A7" w:rsidRPr="00805C42" w:rsidRDefault="009933A7" w:rsidP="00E465D9">
      <w:pPr>
        <w:pStyle w:val="ListParagraph"/>
        <w:numPr>
          <w:ilvl w:val="0"/>
          <w:numId w:val="10"/>
        </w:numPr>
        <w:adjustRightInd w:val="0"/>
        <w:snapToGrid w:val="0"/>
        <w:ind w:left="0" w:firstLine="0"/>
        <w:rPr>
          <w:b/>
          <w:bCs/>
          <w:spacing w:val="-4"/>
          <w:lang w:val="en-AU"/>
        </w:rPr>
      </w:pPr>
      <w:r w:rsidRPr="00805C42">
        <w:rPr>
          <w:b/>
          <w:bCs/>
          <w:spacing w:val="-4"/>
          <w:lang w:val="en-AU"/>
        </w:rPr>
        <w:t>Management advice and implications</w:t>
      </w:r>
    </w:p>
    <w:p w14:paraId="76D88D6D" w14:textId="77777777" w:rsidR="009933A7" w:rsidRPr="00805C42" w:rsidRDefault="009933A7" w:rsidP="00E465D9">
      <w:pPr>
        <w:pStyle w:val="ListParagraph"/>
        <w:adjustRightInd w:val="0"/>
        <w:snapToGrid w:val="0"/>
        <w:ind w:left="0"/>
        <w:rPr>
          <w:spacing w:val="-4"/>
          <w:lang w:val="en-AU"/>
        </w:rPr>
      </w:pPr>
    </w:p>
    <w:p w14:paraId="6CB68668" w14:textId="77777777" w:rsidR="009933A7" w:rsidRPr="00805C42" w:rsidRDefault="009933A7" w:rsidP="00163867">
      <w:pPr>
        <w:pStyle w:val="WCPFC"/>
        <w:numPr>
          <w:ilvl w:val="0"/>
          <w:numId w:val="23"/>
        </w:numPr>
        <w:adjustRightInd w:val="0"/>
        <w:spacing w:after="0"/>
        <w:rPr>
          <w:spacing w:val="-4"/>
          <w:lang w:val="en-AU"/>
        </w:rPr>
      </w:pPr>
      <w:r w:rsidRPr="00805C42">
        <w:rPr>
          <w:spacing w:val="-4"/>
          <w:lang w:val="en-AU"/>
        </w:rPr>
        <w:t xml:space="preserve">SC15 noted that no stock assessment has been conducted since SC14. Therefore, the advice from SC14 should be maintained, pending a new assessment or other new information. For further information on the management advice and implications from SC14, please see </w:t>
      </w:r>
      <w:hyperlink r:id="rId24" w:history="1">
        <w:r w:rsidRPr="00805C42">
          <w:rPr>
            <w:rStyle w:val="Hyperlink"/>
            <w:spacing w:val="-4"/>
            <w:lang w:val="en-AU"/>
          </w:rPr>
          <w:t>https://www.wcpfc.int/node/32155</w:t>
        </w:r>
      </w:hyperlink>
    </w:p>
    <w:p w14:paraId="314F2EB5" w14:textId="77777777" w:rsidR="009933A7" w:rsidRPr="00805C42" w:rsidRDefault="009933A7" w:rsidP="00E465D9">
      <w:pPr>
        <w:pStyle w:val="ListParagraph"/>
        <w:adjustRightInd w:val="0"/>
        <w:snapToGrid w:val="0"/>
        <w:ind w:left="0"/>
        <w:rPr>
          <w:spacing w:val="-4"/>
          <w:lang w:val="en-AU"/>
        </w:rPr>
      </w:pPr>
    </w:p>
    <w:p w14:paraId="45BF9106" w14:textId="77777777" w:rsidR="009933A7" w:rsidRPr="00805C42" w:rsidRDefault="009933A7" w:rsidP="00E465D9">
      <w:pPr>
        <w:pStyle w:val="ListParagraph"/>
        <w:numPr>
          <w:ilvl w:val="0"/>
          <w:numId w:val="10"/>
        </w:numPr>
        <w:adjustRightInd w:val="0"/>
        <w:snapToGrid w:val="0"/>
        <w:ind w:left="0" w:firstLine="0"/>
        <w:rPr>
          <w:b/>
          <w:bCs/>
          <w:spacing w:val="-4"/>
          <w:lang w:val="en-AU"/>
        </w:rPr>
      </w:pPr>
      <w:r w:rsidRPr="00805C42">
        <w:rPr>
          <w:b/>
          <w:bCs/>
          <w:spacing w:val="-4"/>
          <w:lang w:val="en-AU"/>
        </w:rPr>
        <w:t>Research recommendations</w:t>
      </w:r>
    </w:p>
    <w:p w14:paraId="612B60A7" w14:textId="77777777" w:rsidR="009933A7" w:rsidRPr="00805C42" w:rsidRDefault="009933A7" w:rsidP="00E465D9">
      <w:pPr>
        <w:pStyle w:val="ListParagraph"/>
        <w:adjustRightInd w:val="0"/>
        <w:snapToGrid w:val="0"/>
        <w:rPr>
          <w:spacing w:val="-4"/>
          <w:lang w:val="en-AU"/>
        </w:rPr>
      </w:pPr>
    </w:p>
    <w:p w14:paraId="5827DFD3" w14:textId="77777777" w:rsidR="009933A7" w:rsidRPr="00805C42" w:rsidRDefault="009933A7" w:rsidP="00163867">
      <w:pPr>
        <w:pStyle w:val="WCPFC"/>
        <w:numPr>
          <w:ilvl w:val="0"/>
          <w:numId w:val="23"/>
        </w:numPr>
        <w:adjustRightInd w:val="0"/>
        <w:spacing w:after="0"/>
        <w:rPr>
          <w:spacing w:val="-4"/>
          <w:lang w:val="en-AU"/>
        </w:rPr>
      </w:pPr>
      <w:r w:rsidRPr="00805C42">
        <w:rPr>
          <w:spacing w:val="-4"/>
          <w:lang w:val="en-AU"/>
        </w:rPr>
        <w:t xml:space="preserve">SC15 reviewed progresses for the research recommendations from SC14 for bigeye growth and noted that the following research issues need to be addressed further, after classifying these research items as short-term (preferably before SC16) and long-term (preferably before the </w:t>
      </w:r>
      <w:r w:rsidRPr="00805C42">
        <w:rPr>
          <w:rFonts w:eastAsiaTheme="minorEastAsia"/>
          <w:spacing w:val="-4"/>
          <w:lang w:val="en-AU"/>
        </w:rPr>
        <w:t>scheduled 2023</w:t>
      </w:r>
      <w:r w:rsidRPr="00805C42">
        <w:rPr>
          <w:spacing w:val="-4"/>
          <w:lang w:val="en-AU"/>
        </w:rPr>
        <w:t xml:space="preserve"> stock assessment).</w:t>
      </w:r>
    </w:p>
    <w:p w14:paraId="2021933E" w14:textId="77777777" w:rsidR="009933A7" w:rsidRPr="00805C42" w:rsidRDefault="009933A7" w:rsidP="00586C11">
      <w:pPr>
        <w:pStyle w:val="ListParagraph"/>
        <w:widowControl/>
        <w:numPr>
          <w:ilvl w:val="1"/>
          <w:numId w:val="11"/>
        </w:numPr>
        <w:autoSpaceDE/>
        <w:autoSpaceDN/>
        <w:adjustRightInd w:val="0"/>
        <w:snapToGrid w:val="0"/>
        <w:ind w:left="1080" w:right="0"/>
        <w:rPr>
          <w:spacing w:val="-4"/>
          <w:lang w:val="en-AU"/>
        </w:rPr>
      </w:pPr>
      <w:r w:rsidRPr="00805C42">
        <w:rPr>
          <w:spacing w:val="-4"/>
          <w:lang w:val="en-AU"/>
        </w:rPr>
        <w:t>Develop MULTIFAN-CL functionality that can accommodate spatial variation in growth rates and movement between western and eastern Pacific to consider the appropriateness of delineating the two stocks at 150˚W (long-term).</w:t>
      </w:r>
    </w:p>
    <w:p w14:paraId="431A82E5" w14:textId="77777777" w:rsidR="009933A7" w:rsidRPr="00805C42" w:rsidRDefault="009933A7" w:rsidP="00E465D9">
      <w:pPr>
        <w:pStyle w:val="ListParagraph"/>
        <w:widowControl/>
        <w:numPr>
          <w:ilvl w:val="1"/>
          <w:numId w:val="11"/>
        </w:numPr>
        <w:autoSpaceDE/>
        <w:autoSpaceDN/>
        <w:adjustRightInd w:val="0"/>
        <w:snapToGrid w:val="0"/>
        <w:ind w:left="1080" w:right="0"/>
        <w:rPr>
          <w:spacing w:val="-4"/>
          <w:lang w:val="en-AU"/>
        </w:rPr>
      </w:pPr>
      <w:r w:rsidRPr="00805C42">
        <w:rPr>
          <w:spacing w:val="-4"/>
          <w:lang w:val="en-AU"/>
        </w:rPr>
        <w:lastRenderedPageBreak/>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6B1C6F12" w14:textId="77777777" w:rsidR="009933A7" w:rsidRPr="00805C42" w:rsidRDefault="009933A7" w:rsidP="00E465D9">
      <w:pPr>
        <w:pStyle w:val="ListParagraph"/>
        <w:widowControl/>
        <w:numPr>
          <w:ilvl w:val="1"/>
          <w:numId w:val="11"/>
        </w:numPr>
        <w:autoSpaceDE/>
        <w:autoSpaceDN/>
        <w:adjustRightInd w:val="0"/>
        <w:snapToGrid w:val="0"/>
        <w:ind w:left="1080" w:right="0"/>
        <w:rPr>
          <w:spacing w:val="-4"/>
          <w:lang w:val="en-AU"/>
        </w:rPr>
      </w:pPr>
      <w:r w:rsidRPr="00805C42">
        <w:rPr>
          <w:spacing w:val="-4"/>
          <w:lang w:val="en-AU"/>
        </w:rPr>
        <w:t>Continue to develop and document protocols for daily and annual ageing by IATTC and WCPFC (short-term).</w:t>
      </w:r>
    </w:p>
    <w:p w14:paraId="3CDDE440" w14:textId="77777777" w:rsidR="009933A7" w:rsidRPr="00805C42" w:rsidRDefault="009933A7" w:rsidP="00E465D9">
      <w:pPr>
        <w:pStyle w:val="ListParagraph"/>
        <w:widowControl/>
        <w:numPr>
          <w:ilvl w:val="1"/>
          <w:numId w:val="11"/>
        </w:numPr>
        <w:autoSpaceDE/>
        <w:autoSpaceDN/>
        <w:adjustRightInd w:val="0"/>
        <w:snapToGrid w:val="0"/>
        <w:ind w:left="1080" w:right="0"/>
        <w:rPr>
          <w:spacing w:val="-4"/>
          <w:lang w:val="en-AU"/>
        </w:rPr>
      </w:pPr>
      <w:r w:rsidRPr="00805C42">
        <w:rPr>
          <w:spacing w:val="-4"/>
          <w:lang w:val="en-AU"/>
        </w:rPr>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278A3581" w14:textId="77777777" w:rsidR="009933A7" w:rsidRPr="00805C42" w:rsidRDefault="009933A7" w:rsidP="00E465D9">
      <w:pPr>
        <w:pStyle w:val="ListParagraph"/>
        <w:widowControl/>
        <w:numPr>
          <w:ilvl w:val="1"/>
          <w:numId w:val="11"/>
        </w:numPr>
        <w:autoSpaceDE/>
        <w:autoSpaceDN/>
        <w:adjustRightInd w:val="0"/>
        <w:snapToGrid w:val="0"/>
        <w:ind w:left="1080" w:right="0"/>
        <w:rPr>
          <w:spacing w:val="-4"/>
          <w:lang w:val="en-AU"/>
        </w:rPr>
      </w:pPr>
      <w:r w:rsidRPr="00805C42">
        <w:rPr>
          <w:spacing w:val="-4"/>
          <w:lang w:val="en-AU"/>
        </w:rPr>
        <w:t>Compile a high confidence tagging dataset for growth analysis and develop integrated growth models incorporating the tagging data and the otolith data (short-term).</w:t>
      </w:r>
    </w:p>
    <w:p w14:paraId="7C336FEC" w14:textId="77777777" w:rsidR="009933A7" w:rsidRPr="00805C42" w:rsidRDefault="009933A7" w:rsidP="00E465D9">
      <w:pPr>
        <w:pStyle w:val="ListParagraph"/>
        <w:widowControl/>
        <w:numPr>
          <w:ilvl w:val="1"/>
          <w:numId w:val="11"/>
        </w:numPr>
        <w:autoSpaceDE/>
        <w:autoSpaceDN/>
        <w:adjustRightInd w:val="0"/>
        <w:snapToGrid w:val="0"/>
        <w:ind w:left="1080" w:right="0"/>
        <w:rPr>
          <w:rFonts w:eastAsiaTheme="minorEastAsia"/>
          <w:spacing w:val="-4"/>
          <w:lang w:val="en-AU"/>
        </w:rPr>
      </w:pPr>
      <w:r w:rsidRPr="00805C42">
        <w:rPr>
          <w:spacing w:val="-4"/>
          <w:lang w:val="en-AU"/>
        </w:rPr>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C59BDAC" w14:textId="77777777" w:rsidR="009933A7" w:rsidRPr="00805C42" w:rsidRDefault="009933A7" w:rsidP="00E465D9">
      <w:pPr>
        <w:pStyle w:val="ListParagraph"/>
        <w:widowControl/>
        <w:numPr>
          <w:ilvl w:val="1"/>
          <w:numId w:val="11"/>
        </w:numPr>
        <w:autoSpaceDE/>
        <w:autoSpaceDN/>
        <w:adjustRightInd w:val="0"/>
        <w:snapToGrid w:val="0"/>
        <w:ind w:left="1080" w:right="0"/>
        <w:jc w:val="left"/>
        <w:rPr>
          <w:rFonts w:eastAsiaTheme="minorEastAsia"/>
          <w:spacing w:val="-4"/>
          <w:lang w:val="en-AU"/>
        </w:rPr>
      </w:pPr>
      <w:r w:rsidRPr="00805C42">
        <w:rPr>
          <w:spacing w:val="-4"/>
          <w:lang w:val="en-AU"/>
        </w:rPr>
        <w:t>Undertake a genetic stock structure analysis (</w:t>
      </w:r>
      <w:r w:rsidRPr="00805C42">
        <w:rPr>
          <w:rFonts w:eastAsiaTheme="minorEastAsia"/>
          <w:spacing w:val="-4"/>
          <w:lang w:val="en-AU"/>
        </w:rPr>
        <w:t>long-term</w:t>
      </w:r>
      <w:r w:rsidRPr="00805C42">
        <w:rPr>
          <w:spacing w:val="-4"/>
          <w:lang w:val="en-AU"/>
        </w:rPr>
        <w:t>).</w:t>
      </w:r>
    </w:p>
    <w:p w14:paraId="79CE62F2" w14:textId="77777777" w:rsidR="009933A7" w:rsidRPr="00805C42" w:rsidRDefault="009933A7" w:rsidP="00E465D9">
      <w:pPr>
        <w:tabs>
          <w:tab w:val="left" w:pos="820"/>
        </w:tabs>
        <w:adjustRightInd w:val="0"/>
        <w:snapToGrid w:val="0"/>
        <w:spacing w:after="0" w:line="240" w:lineRule="auto"/>
        <w:rPr>
          <w:rFonts w:ascii="Times New Roman" w:hAnsi="Times New Roman" w:cs="Times New Roman"/>
          <w:b/>
          <w:spacing w:val="-4"/>
          <w:lang w:eastAsia="ko-KR"/>
        </w:rPr>
      </w:pPr>
    </w:p>
    <w:p w14:paraId="086F3F83" w14:textId="77777777" w:rsidR="00E465D9" w:rsidRPr="00805C42" w:rsidRDefault="00E465D9" w:rsidP="00586C11">
      <w:pPr>
        <w:pStyle w:val="Heading1"/>
        <w:adjustRightInd w:val="0"/>
        <w:snapToGrid w:val="0"/>
        <w:spacing w:before="0" w:line="240" w:lineRule="auto"/>
        <w:rPr>
          <w:rFonts w:ascii="Times New Roman" w:hAnsi="Times New Roman" w:cs="Times New Roman"/>
          <w:b/>
          <w:bCs/>
          <w:spacing w:val="-4"/>
          <w:sz w:val="28"/>
          <w:szCs w:val="28"/>
        </w:rPr>
      </w:pPr>
    </w:p>
    <w:p w14:paraId="7DB6DA97" w14:textId="2F090771" w:rsidR="00CD5D04" w:rsidRPr="00805C42" w:rsidRDefault="00CD5D04" w:rsidP="00586C11">
      <w:pPr>
        <w:pStyle w:val="Heading1"/>
        <w:adjustRightInd w:val="0"/>
        <w:snapToGrid w:val="0"/>
        <w:spacing w:before="0" w:line="240" w:lineRule="auto"/>
        <w:rPr>
          <w:rFonts w:ascii="Times New Roman" w:hAnsi="Times New Roman" w:cs="Times New Roman"/>
          <w:b/>
          <w:bCs/>
          <w:spacing w:val="-4"/>
          <w:sz w:val="28"/>
          <w:szCs w:val="28"/>
        </w:rPr>
      </w:pPr>
      <w:bookmarkStart w:id="3" w:name="_Toc64388041"/>
      <w:r w:rsidRPr="00805C42">
        <w:rPr>
          <w:rFonts w:ascii="Times New Roman" w:hAnsi="Times New Roman" w:cs="Times New Roman"/>
          <w:b/>
          <w:bCs/>
          <w:spacing w:val="-4"/>
          <w:sz w:val="28"/>
          <w:szCs w:val="28"/>
        </w:rPr>
        <w:t xml:space="preserve">SC14 2018 (ASSESSMENT </w:t>
      </w:r>
      <w:r w:rsidR="009C5B15" w:rsidRPr="00805C42">
        <w:rPr>
          <w:rFonts w:ascii="Times New Roman" w:hAnsi="Times New Roman" w:cs="Times New Roman"/>
          <w:b/>
          <w:bCs/>
          <w:spacing w:val="-4"/>
          <w:sz w:val="28"/>
          <w:szCs w:val="28"/>
        </w:rPr>
        <w:t xml:space="preserve">UPDATE </w:t>
      </w:r>
      <w:r w:rsidRPr="00805C42">
        <w:rPr>
          <w:rFonts w:ascii="Times New Roman" w:hAnsi="Times New Roman" w:cs="Times New Roman"/>
          <w:b/>
          <w:bCs/>
          <w:spacing w:val="-4"/>
          <w:sz w:val="28"/>
          <w:szCs w:val="28"/>
        </w:rPr>
        <w:t>CONDUCTED)</w:t>
      </w:r>
      <w:bookmarkEnd w:id="3"/>
    </w:p>
    <w:p w14:paraId="6AECDCA5" w14:textId="77777777" w:rsidR="00FA3BCD" w:rsidRPr="00805C42" w:rsidRDefault="00FA3BCD" w:rsidP="00586C11">
      <w:pPr>
        <w:tabs>
          <w:tab w:val="left" w:pos="820"/>
        </w:tabs>
        <w:adjustRightInd w:val="0"/>
        <w:snapToGrid w:val="0"/>
        <w:spacing w:after="0" w:line="240" w:lineRule="auto"/>
        <w:rPr>
          <w:rFonts w:ascii="Times New Roman" w:hAnsi="Times New Roman" w:cs="Times New Roman"/>
          <w:b/>
          <w:spacing w:val="-4"/>
        </w:rPr>
      </w:pPr>
    </w:p>
    <w:p w14:paraId="1BD9A7A5" w14:textId="0CAB7C9B" w:rsidR="00CD5D04" w:rsidRPr="00805C42" w:rsidRDefault="00CD5D04" w:rsidP="00B42F6C">
      <w:pPr>
        <w:pStyle w:val="ListParagraph"/>
        <w:numPr>
          <w:ilvl w:val="0"/>
          <w:numId w:val="16"/>
        </w:numPr>
        <w:adjustRightInd w:val="0"/>
        <w:snapToGrid w:val="0"/>
        <w:ind w:left="0" w:firstLine="0"/>
        <w:rPr>
          <w:b/>
          <w:spacing w:val="-4"/>
          <w:lang w:eastAsia="ko-KR"/>
        </w:rPr>
      </w:pPr>
      <w:r w:rsidRPr="00805C42">
        <w:rPr>
          <w:b/>
          <w:spacing w:val="-4"/>
        </w:rPr>
        <w:t>Stock Status</w:t>
      </w:r>
      <w:r w:rsidR="008649C0" w:rsidRPr="00805C42">
        <w:rPr>
          <w:b/>
          <w:spacing w:val="-4"/>
          <w:lang w:eastAsia="ko-KR"/>
        </w:rPr>
        <w:t xml:space="preserve"> and trends</w:t>
      </w:r>
    </w:p>
    <w:p w14:paraId="0801289B" w14:textId="77777777" w:rsidR="00586C11" w:rsidRPr="00805C42" w:rsidRDefault="00586C11" w:rsidP="00586C11">
      <w:pPr>
        <w:tabs>
          <w:tab w:val="left" w:pos="820"/>
        </w:tabs>
        <w:adjustRightInd w:val="0"/>
        <w:snapToGrid w:val="0"/>
        <w:spacing w:after="0" w:line="240" w:lineRule="auto"/>
        <w:rPr>
          <w:rFonts w:ascii="Times New Roman" w:hAnsi="Times New Roman" w:cs="Times New Roman"/>
          <w:b/>
          <w:spacing w:val="-4"/>
          <w:lang w:eastAsia="ko-KR"/>
        </w:rPr>
      </w:pPr>
    </w:p>
    <w:p w14:paraId="2F7F769C" w14:textId="77777777" w:rsidR="00CD5D04" w:rsidRPr="00805C42" w:rsidRDefault="00CD5D04" w:rsidP="00586C11">
      <w:pPr>
        <w:pStyle w:val="ListParagraph"/>
        <w:numPr>
          <w:ilvl w:val="0"/>
          <w:numId w:val="13"/>
        </w:numPr>
        <w:adjustRightInd w:val="0"/>
        <w:snapToGrid w:val="0"/>
        <w:ind w:left="0" w:right="114" w:firstLine="0"/>
        <w:rPr>
          <w:spacing w:val="-4"/>
        </w:rPr>
      </w:pPr>
      <w:r w:rsidRPr="00805C42">
        <w:rPr>
          <w:spacing w:val="-4"/>
        </w:rPr>
        <w:t>The median values of relative recent (2012-2015) spawning biomass depletion (</w:t>
      </w:r>
      <w:r w:rsidRPr="00805C42">
        <w:rPr>
          <w:i/>
          <w:spacing w:val="-4"/>
        </w:rPr>
        <w:t>SB</w:t>
      </w:r>
      <w:r w:rsidRPr="00805C42">
        <w:rPr>
          <w:i/>
          <w:spacing w:val="-4"/>
          <w:vertAlign w:val="subscript"/>
        </w:rPr>
        <w:t>recent</w:t>
      </w:r>
      <w:r w:rsidRPr="00805C42">
        <w:rPr>
          <w:i/>
          <w:spacing w:val="-4"/>
        </w:rPr>
        <w:t>/ SB</w:t>
      </w:r>
      <w:r w:rsidRPr="00805C42">
        <w:rPr>
          <w:i/>
          <w:spacing w:val="-4"/>
          <w:vertAlign w:val="subscript"/>
        </w:rPr>
        <w:t>F=0</w:t>
      </w:r>
      <w:r w:rsidRPr="00805C42">
        <w:rPr>
          <w:spacing w:val="-4"/>
        </w:rPr>
        <w:t>) and relative recent (2011-2014) fishing mortality (</w:t>
      </w:r>
      <w:r w:rsidRPr="00805C42">
        <w:rPr>
          <w:i/>
          <w:spacing w:val="-4"/>
        </w:rPr>
        <w:t>F</w:t>
      </w:r>
      <w:r w:rsidRPr="00805C42">
        <w:rPr>
          <w:i/>
          <w:spacing w:val="-4"/>
          <w:vertAlign w:val="subscript"/>
        </w:rPr>
        <w:t>recent</w:t>
      </w:r>
      <w:r w:rsidRPr="00805C42">
        <w:rPr>
          <w:i/>
          <w:spacing w:val="-4"/>
        </w:rPr>
        <w:t>/F</w:t>
      </w:r>
      <w:r w:rsidRPr="00805C42">
        <w:rPr>
          <w:i/>
          <w:spacing w:val="-4"/>
          <w:vertAlign w:val="subscript"/>
        </w:rPr>
        <w:t>MSY</w:t>
      </w:r>
      <w:r w:rsidRPr="00805C42">
        <w:rPr>
          <w:spacing w:val="-4"/>
        </w:rPr>
        <w:t>) over the uncertainty grid of 36 models (Table BET-1) were used to define stock status. The values of the upper 90th and lower 10th percentiles of the empirical distributions of relative spawning biomass and relative fishing mortality from the uncertainty grid were used to characterize the probable range of stock status.</w:t>
      </w:r>
    </w:p>
    <w:p w14:paraId="47F61045" w14:textId="77777777" w:rsidR="00CD5D04" w:rsidRPr="00805C42" w:rsidRDefault="00CD5D04" w:rsidP="00586C11">
      <w:pPr>
        <w:pStyle w:val="BodyText"/>
        <w:adjustRightInd w:val="0"/>
        <w:snapToGrid w:val="0"/>
        <w:rPr>
          <w:b w:val="0"/>
          <w:spacing w:val="-4"/>
        </w:rPr>
      </w:pPr>
    </w:p>
    <w:p w14:paraId="45DAF97D" w14:textId="77777777" w:rsidR="00CD5D04" w:rsidRPr="00805C42" w:rsidRDefault="00CD5D04" w:rsidP="00586C11">
      <w:pPr>
        <w:pStyle w:val="ListParagraph"/>
        <w:numPr>
          <w:ilvl w:val="0"/>
          <w:numId w:val="13"/>
        </w:numPr>
        <w:adjustRightInd w:val="0"/>
        <w:snapToGrid w:val="0"/>
        <w:ind w:left="0" w:right="114" w:firstLine="0"/>
        <w:rPr>
          <w:spacing w:val="-4"/>
        </w:rPr>
      </w:pPr>
      <w:r w:rsidRPr="00805C42">
        <w:rPr>
          <w:spacing w:val="-4"/>
        </w:rPr>
        <w:t>A description of the updated structural sensitivity grid used to characterize uncertainty in the assessment is set out in Table BET-1. Time series of total annual catch by fishing gear over the full assessment period is shown in Figure BET-1. Estimated trends in spawning biomass depletion for the 36 models in the structural uncertainty grid is shown in Figure BET-2, and juvenile and adult fishing mortality rates from the diagnostic case model is show in BET-3. Figure BET-4 displays Majuro plots summarising the results for each of the models in the structural uncertainty grid. Figures BET-5 show Kobe plots summarising the results for each of the models in the structural uncertainty grid. Table BET-2 provides a summary of reference points over the 36 models in the structural uncertainty grid.</w:t>
      </w:r>
    </w:p>
    <w:p w14:paraId="7CA202C1" w14:textId="77777777" w:rsidR="00CD5D04" w:rsidRPr="00805C42" w:rsidRDefault="00CD5D04" w:rsidP="00586C11">
      <w:pPr>
        <w:pStyle w:val="ListParagraph"/>
        <w:tabs>
          <w:tab w:val="left" w:pos="840"/>
        </w:tabs>
        <w:adjustRightInd w:val="0"/>
        <w:snapToGrid w:val="0"/>
        <w:ind w:left="0" w:right="115"/>
        <w:rPr>
          <w:spacing w:val="-4"/>
        </w:rPr>
      </w:pPr>
    </w:p>
    <w:p w14:paraId="6E5097DA" w14:textId="77777777" w:rsidR="00CD5D04" w:rsidRPr="00805C42" w:rsidRDefault="00CD5D04" w:rsidP="00586C11">
      <w:pPr>
        <w:pStyle w:val="ListParagraph"/>
        <w:numPr>
          <w:ilvl w:val="0"/>
          <w:numId w:val="13"/>
        </w:numPr>
        <w:adjustRightInd w:val="0"/>
        <w:snapToGrid w:val="0"/>
        <w:ind w:left="0" w:right="114" w:firstLine="0"/>
        <w:rPr>
          <w:spacing w:val="-4"/>
        </w:rPr>
      </w:pPr>
      <w:r w:rsidRPr="00805C42">
        <w:rPr>
          <w:spacing w:val="-4"/>
        </w:rPr>
        <w:t>SC14 agreed to use the “updated new growth” model to describe the stock status of BET because SC14 considered it to be the best available scientific information. By removing results using the old growth model, the stock status becomes considerably more optimistic. However, SC14 also notes that questions remain regarding the “updated new growth” model.</w:t>
      </w:r>
    </w:p>
    <w:p w14:paraId="24DE7C36" w14:textId="77777777" w:rsidR="00CD5D04" w:rsidRPr="00805C42" w:rsidRDefault="00CD5D04" w:rsidP="00586C11">
      <w:pPr>
        <w:pStyle w:val="ListParagraph"/>
        <w:tabs>
          <w:tab w:val="left" w:pos="840"/>
        </w:tabs>
        <w:adjustRightInd w:val="0"/>
        <w:snapToGrid w:val="0"/>
        <w:ind w:left="0" w:right="115"/>
        <w:rPr>
          <w:spacing w:val="-4"/>
        </w:rPr>
      </w:pPr>
    </w:p>
    <w:p w14:paraId="064FDA65" w14:textId="77777777" w:rsidR="00CD5D04" w:rsidRPr="00805C42" w:rsidRDefault="00CD5D04" w:rsidP="00586C11">
      <w:pPr>
        <w:pStyle w:val="ListParagraph"/>
        <w:numPr>
          <w:ilvl w:val="0"/>
          <w:numId w:val="13"/>
        </w:numPr>
        <w:adjustRightInd w:val="0"/>
        <w:snapToGrid w:val="0"/>
        <w:ind w:left="0" w:right="114" w:firstLine="0"/>
        <w:rPr>
          <w:spacing w:val="-4"/>
        </w:rPr>
      </w:pPr>
      <w:r w:rsidRPr="00805C42">
        <w:rPr>
          <w:spacing w:val="-4"/>
        </w:rPr>
        <w:t xml:space="preserve">Therefore, SC14 acknowledges that further study is warranted related to the new growth model, in particular as to the cause of the difference of growth between EPO and WCPO. An inter-laboratory ageing workshop is planned for late 2018 to review ageing approaches in the WCPO and EPO and to resolve differences, if they exist. </w:t>
      </w:r>
    </w:p>
    <w:p w14:paraId="4079FFB3" w14:textId="77777777" w:rsidR="00CD5D04" w:rsidRPr="00805C42" w:rsidRDefault="00CD5D04" w:rsidP="00586C11">
      <w:pPr>
        <w:pStyle w:val="ListParagraph"/>
        <w:tabs>
          <w:tab w:val="left" w:pos="840"/>
        </w:tabs>
        <w:adjustRightInd w:val="0"/>
        <w:snapToGrid w:val="0"/>
        <w:ind w:left="0" w:right="115"/>
        <w:rPr>
          <w:spacing w:val="-4"/>
        </w:rPr>
      </w:pPr>
    </w:p>
    <w:p w14:paraId="235359E9" w14:textId="77777777" w:rsidR="00CD5D04" w:rsidRPr="00805C42" w:rsidRDefault="00CD5D04" w:rsidP="00586C11">
      <w:pPr>
        <w:pStyle w:val="ListParagraph"/>
        <w:numPr>
          <w:ilvl w:val="0"/>
          <w:numId w:val="13"/>
        </w:numPr>
        <w:adjustRightInd w:val="0"/>
        <w:snapToGrid w:val="0"/>
        <w:ind w:left="0" w:right="114" w:firstLine="0"/>
        <w:rPr>
          <w:spacing w:val="-4"/>
        </w:rPr>
      </w:pPr>
      <w:r w:rsidRPr="00805C42">
        <w:rPr>
          <w:spacing w:val="-4"/>
        </w:rPr>
        <w:t xml:space="preserve">In addition, SC14 acknowledges that further study is warranted to refine the tagging dataset in the WCPO to assist validating age estimates of bigeye in the WCPO. SC14 further notes that adopting the new </w:t>
      </w:r>
      <w:r w:rsidRPr="00805C42">
        <w:rPr>
          <w:spacing w:val="-4"/>
        </w:rPr>
        <w:lastRenderedPageBreak/>
        <w:t>growth curve generates new broader questions related to the BET stock assessment and agreed that several aspects need to be investigated further to inform future assessments.</w:t>
      </w:r>
    </w:p>
    <w:p w14:paraId="4FACF7FD" w14:textId="77777777" w:rsidR="00FA3BCD" w:rsidRPr="00805C42" w:rsidRDefault="00FA3BCD" w:rsidP="00586C11">
      <w:pPr>
        <w:pStyle w:val="ListParagraph"/>
        <w:tabs>
          <w:tab w:val="left" w:pos="840"/>
        </w:tabs>
        <w:adjustRightInd w:val="0"/>
        <w:snapToGrid w:val="0"/>
        <w:ind w:left="0" w:right="115"/>
        <w:rPr>
          <w:spacing w:val="-4"/>
        </w:rPr>
      </w:pPr>
    </w:p>
    <w:p w14:paraId="4C8EF2FE" w14:textId="77777777" w:rsidR="00CD5D04" w:rsidRPr="00805C42" w:rsidRDefault="00CD5D04" w:rsidP="00586C11">
      <w:pPr>
        <w:adjustRightInd w:val="0"/>
        <w:snapToGrid w:val="0"/>
        <w:spacing w:after="0" w:line="240" w:lineRule="auto"/>
        <w:ind w:right="163"/>
        <w:jc w:val="both"/>
        <w:rPr>
          <w:rFonts w:ascii="Times New Roman" w:hAnsi="Times New Roman" w:cs="Times New Roman"/>
          <w:spacing w:val="-4"/>
        </w:rPr>
      </w:pPr>
      <w:r w:rsidRPr="00805C42">
        <w:rPr>
          <w:rFonts w:ascii="Times New Roman" w:hAnsi="Times New Roman" w:cs="Times New Roman"/>
          <w:b/>
          <w:spacing w:val="-4"/>
        </w:rPr>
        <w:t xml:space="preserve">Table BET-1. </w:t>
      </w:r>
      <w:r w:rsidRPr="00805C42">
        <w:rPr>
          <w:rFonts w:ascii="Times New Roman" w:hAnsi="Times New Roman" w:cs="Times New Roman"/>
          <w:spacing w:val="-4"/>
        </w:rPr>
        <w:t>Description of the updated structural sensitivity grid used to characterize uncertainty in the assessment.</w:t>
      </w: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62"/>
        <w:gridCol w:w="1488"/>
        <w:gridCol w:w="4907"/>
      </w:tblGrid>
      <w:tr w:rsidR="00CD5D04" w:rsidRPr="00805C42" w14:paraId="6D4F2BC7" w14:textId="77777777" w:rsidTr="00F27795">
        <w:trPr>
          <w:trHeight w:hRule="exact" w:val="283"/>
        </w:trPr>
        <w:tc>
          <w:tcPr>
            <w:tcW w:w="2962" w:type="dxa"/>
            <w:tcBorders>
              <w:top w:val="single" w:sz="11" w:space="0" w:color="000000"/>
              <w:bottom w:val="single" w:sz="11" w:space="0" w:color="000000"/>
            </w:tcBorders>
          </w:tcPr>
          <w:p w14:paraId="230CC9A0" w14:textId="77777777" w:rsidR="00CD5D04" w:rsidRPr="00805C42" w:rsidRDefault="00CD5D04" w:rsidP="00805C42">
            <w:pPr>
              <w:pStyle w:val="TableParagraph"/>
              <w:adjustRightInd w:val="0"/>
              <w:snapToGrid w:val="0"/>
              <w:spacing w:line="240" w:lineRule="exact"/>
              <w:ind w:left="0"/>
              <w:rPr>
                <w:b/>
                <w:spacing w:val="-4"/>
              </w:rPr>
            </w:pPr>
            <w:r w:rsidRPr="00805C42">
              <w:rPr>
                <w:b/>
                <w:spacing w:val="-4"/>
              </w:rPr>
              <w:t>Axis</w:t>
            </w:r>
          </w:p>
        </w:tc>
        <w:tc>
          <w:tcPr>
            <w:tcW w:w="1488" w:type="dxa"/>
            <w:tcBorders>
              <w:top w:val="single" w:sz="11" w:space="0" w:color="000000"/>
              <w:bottom w:val="single" w:sz="11" w:space="0" w:color="000000"/>
            </w:tcBorders>
          </w:tcPr>
          <w:p w14:paraId="3C9FC050" w14:textId="77777777" w:rsidR="00CD5D04" w:rsidRPr="00805C42" w:rsidRDefault="00CD5D04" w:rsidP="00805C42">
            <w:pPr>
              <w:pStyle w:val="TableParagraph"/>
              <w:adjustRightInd w:val="0"/>
              <w:snapToGrid w:val="0"/>
              <w:spacing w:line="240" w:lineRule="exact"/>
              <w:ind w:left="0" w:right="264"/>
              <w:jc w:val="center"/>
              <w:rPr>
                <w:b/>
                <w:spacing w:val="-4"/>
              </w:rPr>
            </w:pPr>
            <w:r w:rsidRPr="00805C42">
              <w:rPr>
                <w:b/>
                <w:spacing w:val="-4"/>
              </w:rPr>
              <w:t>Levels</w:t>
            </w:r>
          </w:p>
        </w:tc>
        <w:tc>
          <w:tcPr>
            <w:tcW w:w="4907" w:type="dxa"/>
            <w:tcBorders>
              <w:top w:val="single" w:sz="11" w:space="0" w:color="000000"/>
              <w:bottom w:val="single" w:sz="11" w:space="0" w:color="000000"/>
            </w:tcBorders>
          </w:tcPr>
          <w:p w14:paraId="57A197F3" w14:textId="77777777" w:rsidR="00CD5D04" w:rsidRPr="00805C42" w:rsidRDefault="00CD5D04" w:rsidP="00805C42">
            <w:pPr>
              <w:pStyle w:val="TableParagraph"/>
              <w:adjustRightInd w:val="0"/>
              <w:snapToGrid w:val="0"/>
              <w:spacing w:line="240" w:lineRule="exact"/>
              <w:ind w:left="0"/>
              <w:rPr>
                <w:b/>
                <w:spacing w:val="-4"/>
              </w:rPr>
            </w:pPr>
            <w:r w:rsidRPr="00805C42">
              <w:rPr>
                <w:b/>
                <w:spacing w:val="-4"/>
              </w:rPr>
              <w:t>Option</w:t>
            </w:r>
          </w:p>
        </w:tc>
      </w:tr>
      <w:tr w:rsidR="00CD5D04" w:rsidRPr="00805C42" w14:paraId="44A65F71" w14:textId="77777777" w:rsidTr="00F27795">
        <w:trPr>
          <w:trHeight w:hRule="exact" w:val="271"/>
        </w:trPr>
        <w:tc>
          <w:tcPr>
            <w:tcW w:w="2962" w:type="dxa"/>
            <w:tcBorders>
              <w:top w:val="single" w:sz="11" w:space="0" w:color="000000"/>
            </w:tcBorders>
          </w:tcPr>
          <w:p w14:paraId="114F5DB8"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Steepness</w:t>
            </w:r>
          </w:p>
        </w:tc>
        <w:tc>
          <w:tcPr>
            <w:tcW w:w="1488" w:type="dxa"/>
            <w:tcBorders>
              <w:top w:val="single" w:sz="11" w:space="0" w:color="000000"/>
            </w:tcBorders>
          </w:tcPr>
          <w:p w14:paraId="2CCB0907" w14:textId="77777777" w:rsidR="00CD5D04" w:rsidRPr="00805C42" w:rsidRDefault="00CD5D04" w:rsidP="00805C42">
            <w:pPr>
              <w:pStyle w:val="TableParagraph"/>
              <w:adjustRightInd w:val="0"/>
              <w:snapToGrid w:val="0"/>
              <w:spacing w:line="240" w:lineRule="exact"/>
              <w:ind w:left="0"/>
              <w:jc w:val="center"/>
              <w:rPr>
                <w:spacing w:val="-4"/>
              </w:rPr>
            </w:pPr>
            <w:r w:rsidRPr="00805C42">
              <w:rPr>
                <w:spacing w:val="-4"/>
              </w:rPr>
              <w:t>3</w:t>
            </w:r>
          </w:p>
        </w:tc>
        <w:tc>
          <w:tcPr>
            <w:tcW w:w="4907" w:type="dxa"/>
            <w:tcBorders>
              <w:top w:val="single" w:sz="11" w:space="0" w:color="000000"/>
            </w:tcBorders>
          </w:tcPr>
          <w:p w14:paraId="04261954"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0.65, 0.80, 0.95</w:t>
            </w:r>
          </w:p>
        </w:tc>
      </w:tr>
      <w:tr w:rsidR="00CD5D04" w:rsidRPr="00805C42" w14:paraId="72E51A6D" w14:textId="77777777" w:rsidTr="00F27795">
        <w:trPr>
          <w:trHeight w:hRule="exact" w:val="253"/>
        </w:trPr>
        <w:tc>
          <w:tcPr>
            <w:tcW w:w="2962" w:type="dxa"/>
          </w:tcPr>
          <w:p w14:paraId="3DA8472B"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Growth</w:t>
            </w:r>
          </w:p>
        </w:tc>
        <w:tc>
          <w:tcPr>
            <w:tcW w:w="1488" w:type="dxa"/>
          </w:tcPr>
          <w:p w14:paraId="7BBF23A5" w14:textId="77777777" w:rsidR="00CD5D04" w:rsidRPr="00805C42" w:rsidRDefault="00CD5D04" w:rsidP="00805C42">
            <w:pPr>
              <w:pStyle w:val="TableParagraph"/>
              <w:adjustRightInd w:val="0"/>
              <w:snapToGrid w:val="0"/>
              <w:spacing w:line="240" w:lineRule="exact"/>
              <w:ind w:left="0"/>
              <w:jc w:val="center"/>
              <w:rPr>
                <w:spacing w:val="-4"/>
              </w:rPr>
            </w:pPr>
            <w:r w:rsidRPr="00805C42">
              <w:rPr>
                <w:spacing w:val="-4"/>
              </w:rPr>
              <w:t>1</w:t>
            </w:r>
          </w:p>
        </w:tc>
        <w:tc>
          <w:tcPr>
            <w:tcW w:w="4907" w:type="dxa"/>
          </w:tcPr>
          <w:p w14:paraId="6EC767C6"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‘Updated new growth’</w:t>
            </w:r>
          </w:p>
        </w:tc>
      </w:tr>
      <w:tr w:rsidR="00CD5D04" w:rsidRPr="00805C42" w14:paraId="54229DC9" w14:textId="77777777" w:rsidTr="00F27795">
        <w:trPr>
          <w:trHeight w:hRule="exact" w:val="253"/>
        </w:trPr>
        <w:tc>
          <w:tcPr>
            <w:tcW w:w="2962" w:type="dxa"/>
          </w:tcPr>
          <w:p w14:paraId="5A33BF68"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Tagging over-dispersion</w:t>
            </w:r>
          </w:p>
        </w:tc>
        <w:tc>
          <w:tcPr>
            <w:tcW w:w="1488" w:type="dxa"/>
          </w:tcPr>
          <w:p w14:paraId="0E42E3B5" w14:textId="77777777" w:rsidR="00CD5D04" w:rsidRPr="00805C42" w:rsidRDefault="00CD5D04" w:rsidP="00805C42">
            <w:pPr>
              <w:pStyle w:val="TableParagraph"/>
              <w:adjustRightInd w:val="0"/>
              <w:snapToGrid w:val="0"/>
              <w:spacing w:line="240" w:lineRule="exact"/>
              <w:ind w:left="0"/>
              <w:jc w:val="center"/>
              <w:rPr>
                <w:spacing w:val="-4"/>
              </w:rPr>
            </w:pPr>
            <w:r w:rsidRPr="00805C42">
              <w:rPr>
                <w:spacing w:val="-4"/>
              </w:rPr>
              <w:t>2</w:t>
            </w:r>
          </w:p>
        </w:tc>
        <w:tc>
          <w:tcPr>
            <w:tcW w:w="4907" w:type="dxa"/>
          </w:tcPr>
          <w:p w14:paraId="372651F3"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Default level (1), fixed (moderate) level</w:t>
            </w:r>
          </w:p>
        </w:tc>
      </w:tr>
      <w:tr w:rsidR="00CD5D04" w:rsidRPr="00805C42" w14:paraId="1A90ECFE" w14:textId="77777777" w:rsidTr="00F27795">
        <w:trPr>
          <w:trHeight w:hRule="exact" w:val="253"/>
        </w:trPr>
        <w:tc>
          <w:tcPr>
            <w:tcW w:w="2962" w:type="dxa"/>
          </w:tcPr>
          <w:p w14:paraId="4F0BFEF0"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Size frequency weighting</w:t>
            </w:r>
          </w:p>
        </w:tc>
        <w:tc>
          <w:tcPr>
            <w:tcW w:w="1488" w:type="dxa"/>
          </w:tcPr>
          <w:p w14:paraId="1A400BA4" w14:textId="77777777" w:rsidR="00CD5D04" w:rsidRPr="00805C42" w:rsidRDefault="00CD5D04" w:rsidP="00805C42">
            <w:pPr>
              <w:pStyle w:val="TableParagraph"/>
              <w:adjustRightInd w:val="0"/>
              <w:snapToGrid w:val="0"/>
              <w:spacing w:line="240" w:lineRule="exact"/>
              <w:ind w:left="0"/>
              <w:jc w:val="center"/>
              <w:rPr>
                <w:spacing w:val="-4"/>
              </w:rPr>
            </w:pPr>
            <w:r w:rsidRPr="00805C42">
              <w:rPr>
                <w:spacing w:val="-4"/>
              </w:rPr>
              <w:t>3</w:t>
            </w:r>
          </w:p>
        </w:tc>
        <w:tc>
          <w:tcPr>
            <w:tcW w:w="4907" w:type="dxa"/>
          </w:tcPr>
          <w:p w14:paraId="260B4CE0"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Sample sizes divided by 10, 20, 50</w:t>
            </w:r>
          </w:p>
        </w:tc>
      </w:tr>
      <w:tr w:rsidR="00CD5D04" w:rsidRPr="00805C42" w14:paraId="451BE09A" w14:textId="77777777" w:rsidTr="00F27795">
        <w:trPr>
          <w:trHeight w:hRule="exact" w:val="265"/>
        </w:trPr>
        <w:tc>
          <w:tcPr>
            <w:tcW w:w="2962" w:type="dxa"/>
            <w:tcBorders>
              <w:bottom w:val="single" w:sz="11" w:space="0" w:color="000000"/>
            </w:tcBorders>
          </w:tcPr>
          <w:p w14:paraId="44E087EB"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Regional structure</w:t>
            </w:r>
          </w:p>
        </w:tc>
        <w:tc>
          <w:tcPr>
            <w:tcW w:w="1488" w:type="dxa"/>
            <w:tcBorders>
              <w:bottom w:val="single" w:sz="11" w:space="0" w:color="000000"/>
            </w:tcBorders>
          </w:tcPr>
          <w:p w14:paraId="74CB0C53" w14:textId="77777777" w:rsidR="00CD5D04" w:rsidRPr="00805C42" w:rsidRDefault="00CD5D04" w:rsidP="00805C42">
            <w:pPr>
              <w:pStyle w:val="TableParagraph"/>
              <w:adjustRightInd w:val="0"/>
              <w:snapToGrid w:val="0"/>
              <w:spacing w:line="240" w:lineRule="exact"/>
              <w:ind w:left="0"/>
              <w:jc w:val="center"/>
              <w:rPr>
                <w:spacing w:val="-4"/>
              </w:rPr>
            </w:pPr>
            <w:r w:rsidRPr="00805C42">
              <w:rPr>
                <w:spacing w:val="-4"/>
              </w:rPr>
              <w:t>2</w:t>
            </w:r>
          </w:p>
        </w:tc>
        <w:tc>
          <w:tcPr>
            <w:tcW w:w="4907" w:type="dxa"/>
            <w:tcBorders>
              <w:bottom w:val="single" w:sz="11" w:space="0" w:color="000000"/>
            </w:tcBorders>
          </w:tcPr>
          <w:p w14:paraId="2CA4B0B5" w14:textId="77777777" w:rsidR="00CD5D04" w:rsidRPr="00805C42" w:rsidRDefault="00CD5D04" w:rsidP="00805C42">
            <w:pPr>
              <w:pStyle w:val="TableParagraph"/>
              <w:adjustRightInd w:val="0"/>
              <w:snapToGrid w:val="0"/>
              <w:spacing w:line="240" w:lineRule="exact"/>
              <w:ind w:left="0"/>
              <w:rPr>
                <w:spacing w:val="-4"/>
              </w:rPr>
            </w:pPr>
            <w:r w:rsidRPr="00805C42">
              <w:rPr>
                <w:spacing w:val="-4"/>
              </w:rPr>
              <w:t>10°N regions, 20°N regions</w:t>
            </w:r>
          </w:p>
        </w:tc>
      </w:tr>
    </w:tbl>
    <w:p w14:paraId="439A8A57" w14:textId="77E6CF8F" w:rsidR="00CD5D04" w:rsidRDefault="00CD5D04" w:rsidP="00586C11">
      <w:pPr>
        <w:pStyle w:val="BodyText"/>
        <w:adjustRightInd w:val="0"/>
        <w:snapToGrid w:val="0"/>
        <w:ind w:left="272"/>
        <w:rPr>
          <w:b w:val="0"/>
        </w:rPr>
      </w:pPr>
    </w:p>
    <w:p w14:paraId="6CB5A0D9" w14:textId="0EE8A76F" w:rsidR="0024312A" w:rsidRDefault="0024312A" w:rsidP="00586C11">
      <w:pPr>
        <w:pStyle w:val="BodyText"/>
        <w:adjustRightInd w:val="0"/>
        <w:snapToGrid w:val="0"/>
        <w:ind w:left="272"/>
        <w:rPr>
          <w:b w:val="0"/>
        </w:rPr>
      </w:pPr>
    </w:p>
    <w:p w14:paraId="0E6C17E2" w14:textId="77777777" w:rsidR="0024312A" w:rsidRPr="00EA7C95" w:rsidRDefault="0024312A" w:rsidP="00586C11">
      <w:pPr>
        <w:pStyle w:val="BodyText"/>
        <w:adjustRightInd w:val="0"/>
        <w:snapToGrid w:val="0"/>
        <w:ind w:left="272"/>
        <w:rPr>
          <w:b w:val="0"/>
        </w:rPr>
      </w:pPr>
    </w:p>
    <w:p w14:paraId="6EDD4203" w14:textId="138176B8" w:rsidR="0024312A" w:rsidRDefault="0024312A" w:rsidP="00586C11">
      <w:pPr>
        <w:adjustRightInd w:val="0"/>
        <w:snapToGrid w:val="0"/>
        <w:spacing w:after="0" w:line="240" w:lineRule="auto"/>
        <w:ind w:left="100"/>
        <w:rPr>
          <w:rFonts w:ascii="Times New Roman" w:hAnsi="Times New Roman" w:cs="Times New Roman"/>
          <w:b/>
        </w:rPr>
      </w:pPr>
      <w:r w:rsidRPr="00EA7C95">
        <w:rPr>
          <w:b/>
          <w:noProof/>
          <w:lang w:eastAsia="zh-CN" w:bidi="mn-Mong-CN"/>
        </w:rPr>
        <w:drawing>
          <wp:inline distT="0" distB="0" distL="0" distR="0" wp14:anchorId="68B435ED" wp14:editId="6485B111">
            <wp:extent cx="5676332" cy="32438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5676332" cy="3243833"/>
                    </a:xfrm>
                    <a:prstGeom prst="rect">
                      <a:avLst/>
                    </a:prstGeom>
                  </pic:spPr>
                </pic:pic>
              </a:graphicData>
            </a:graphic>
          </wp:inline>
        </w:drawing>
      </w:r>
    </w:p>
    <w:p w14:paraId="110CAD2B" w14:textId="77777777" w:rsidR="0024312A" w:rsidRDefault="0024312A" w:rsidP="00586C11">
      <w:pPr>
        <w:adjustRightInd w:val="0"/>
        <w:snapToGrid w:val="0"/>
        <w:spacing w:after="0" w:line="240" w:lineRule="auto"/>
        <w:ind w:left="100"/>
        <w:rPr>
          <w:rFonts w:ascii="Times New Roman" w:hAnsi="Times New Roman" w:cs="Times New Roman"/>
          <w:b/>
        </w:rPr>
      </w:pPr>
    </w:p>
    <w:p w14:paraId="1AB9F33D" w14:textId="5473E14C" w:rsidR="00CD5D04" w:rsidRPr="00EA7C95" w:rsidRDefault="00CD5D04" w:rsidP="00586C11">
      <w:pPr>
        <w:adjustRightInd w:val="0"/>
        <w:snapToGrid w:val="0"/>
        <w:spacing w:after="0" w:line="240" w:lineRule="auto"/>
        <w:ind w:left="100"/>
        <w:rPr>
          <w:rFonts w:ascii="Times New Roman" w:hAnsi="Times New Roman" w:cs="Times New Roman"/>
        </w:rPr>
      </w:pPr>
      <w:r w:rsidRPr="00EA7C95">
        <w:rPr>
          <w:rFonts w:ascii="Times New Roman" w:hAnsi="Times New Roman" w:cs="Times New Roman"/>
          <w:b/>
        </w:rPr>
        <w:t xml:space="preserve">Figure BET-1. </w:t>
      </w:r>
      <w:r w:rsidRPr="00EA7C95">
        <w:rPr>
          <w:rFonts w:ascii="Times New Roman" w:hAnsi="Times New Roman" w:cs="Times New Roman"/>
        </w:rPr>
        <w:t>Time series of total annual catch (1000's mt) by fishing gear over the full assessment period.</w:t>
      </w:r>
    </w:p>
    <w:p w14:paraId="6AB53783" w14:textId="77777777" w:rsidR="00F27795" w:rsidRPr="00EA7C95" w:rsidRDefault="00F27795" w:rsidP="00586C11">
      <w:pPr>
        <w:adjustRightInd w:val="0"/>
        <w:snapToGrid w:val="0"/>
        <w:spacing w:after="0" w:line="240" w:lineRule="auto"/>
        <w:ind w:left="100"/>
        <w:rPr>
          <w:rFonts w:ascii="Times New Roman" w:hAnsi="Times New Roman" w:cs="Times New Roman"/>
        </w:rPr>
      </w:pPr>
    </w:p>
    <w:p w14:paraId="451F79F3" w14:textId="77777777" w:rsidR="00CD5D04" w:rsidRPr="00EA7C95" w:rsidRDefault="00CD5D04" w:rsidP="00586C11">
      <w:pPr>
        <w:pStyle w:val="BodyText"/>
        <w:adjustRightInd w:val="0"/>
        <w:snapToGrid w:val="0"/>
        <w:rPr>
          <w:b w:val="0"/>
        </w:rPr>
      </w:pPr>
      <w:r w:rsidRPr="00EA7C95">
        <w:rPr>
          <w:b w:val="0"/>
          <w:noProof/>
          <w:lang w:eastAsia="zh-CN" w:bidi="mn-Mong-CN"/>
        </w:rPr>
        <w:lastRenderedPageBreak/>
        <w:drawing>
          <wp:inline distT="0" distB="0" distL="0" distR="0" wp14:anchorId="1A273196" wp14:editId="6CA60741">
            <wp:extent cx="5858587" cy="3606127"/>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a:extLst>
                        <a:ext uri="{28A0092B-C50C-407E-A947-70E740481C1C}">
                          <a14:useLocalDpi xmlns:a14="http://schemas.microsoft.com/office/drawing/2010/main" val="0"/>
                        </a:ext>
                      </a:extLst>
                    </a:blip>
                    <a:stretch>
                      <a:fillRect/>
                    </a:stretch>
                  </pic:blipFill>
                  <pic:spPr>
                    <a:xfrm>
                      <a:off x="0" y="0"/>
                      <a:ext cx="5858587" cy="3606127"/>
                    </a:xfrm>
                    <a:prstGeom prst="rect">
                      <a:avLst/>
                    </a:prstGeom>
                  </pic:spPr>
                </pic:pic>
              </a:graphicData>
            </a:graphic>
          </wp:inline>
        </w:drawing>
      </w:r>
    </w:p>
    <w:p w14:paraId="6396458D" w14:textId="77777777" w:rsidR="00CD5D04" w:rsidRPr="00EA7C95" w:rsidRDefault="00CD5D04" w:rsidP="00586C11">
      <w:pPr>
        <w:adjustRightInd w:val="0"/>
        <w:snapToGrid w:val="0"/>
        <w:spacing w:after="0" w:line="240" w:lineRule="auto"/>
        <w:ind w:left="101" w:right="101"/>
        <w:jc w:val="both"/>
        <w:rPr>
          <w:rFonts w:ascii="Times New Roman" w:hAnsi="Times New Roman" w:cs="Times New Roman"/>
        </w:rPr>
      </w:pPr>
      <w:r w:rsidRPr="00EA7C95">
        <w:rPr>
          <w:rFonts w:ascii="Times New Roman" w:hAnsi="Times New Roman" w:cs="Times New Roman"/>
          <w:b/>
        </w:rPr>
        <w:t xml:space="preserve">Figure BET-2. </w:t>
      </w:r>
      <w:r w:rsidRPr="00EA7C95">
        <w:rPr>
          <w:rFonts w:ascii="Times New Roman" w:hAnsi="Times New Roman" w:cs="Times New Roman"/>
        </w:rPr>
        <w:t xml:space="preserve">Plot showing the trajectories of spawning biomass depletion for the 36 model runs included in the structural uncertainty grid. The </w:t>
      </w:r>
      <w:proofErr w:type="spellStart"/>
      <w:r w:rsidRPr="00EA7C95">
        <w:rPr>
          <w:rFonts w:ascii="Times New Roman" w:hAnsi="Times New Roman" w:cs="Times New Roman"/>
        </w:rPr>
        <w:t>colours</w:t>
      </w:r>
      <w:proofErr w:type="spellEnd"/>
      <w:r w:rsidRPr="00EA7C95">
        <w:rPr>
          <w:rFonts w:ascii="Times New Roman" w:hAnsi="Times New Roman" w:cs="Times New Roman"/>
        </w:rPr>
        <w:t xml:space="preserve"> depict the models in the grid with the 10°N and 20°N spatial structures.</w:t>
      </w:r>
    </w:p>
    <w:p w14:paraId="16F7301B" w14:textId="77777777" w:rsidR="00CD5D04" w:rsidRPr="00EA7C95" w:rsidRDefault="00CD5D04" w:rsidP="00586C11">
      <w:pPr>
        <w:adjustRightInd w:val="0"/>
        <w:snapToGrid w:val="0"/>
        <w:spacing w:after="0" w:line="240" w:lineRule="auto"/>
        <w:jc w:val="both"/>
        <w:rPr>
          <w:rFonts w:ascii="Times New Roman" w:hAnsi="Times New Roman" w:cs="Times New Roman"/>
        </w:rPr>
      </w:pPr>
    </w:p>
    <w:p w14:paraId="23FD3548" w14:textId="77777777" w:rsidR="00CD5D04" w:rsidRPr="00EA7C95" w:rsidRDefault="00CD5D04" w:rsidP="00586C11">
      <w:pPr>
        <w:adjustRightInd w:val="0"/>
        <w:snapToGrid w:val="0"/>
        <w:spacing w:after="0" w:line="240" w:lineRule="auto"/>
        <w:jc w:val="both"/>
        <w:rPr>
          <w:rFonts w:ascii="Times New Roman" w:hAnsi="Times New Roman" w:cs="Times New Roman"/>
        </w:rPr>
      </w:pPr>
    </w:p>
    <w:p w14:paraId="43F1CAD8" w14:textId="0C3E18F1" w:rsidR="00CD5D04" w:rsidRPr="00EA7C95" w:rsidRDefault="00B42F6C" w:rsidP="00B42F6C">
      <w:pPr>
        <w:adjustRightInd w:val="0"/>
        <w:snapToGrid w:val="0"/>
        <w:spacing w:after="0" w:line="240" w:lineRule="auto"/>
        <w:jc w:val="center"/>
        <w:rPr>
          <w:rFonts w:ascii="Times New Roman" w:hAnsi="Times New Roman" w:cs="Times New Roman"/>
        </w:rPr>
      </w:pPr>
      <w:r w:rsidRPr="00EA7C95">
        <w:rPr>
          <w:rFonts w:ascii="Times New Roman" w:hAnsi="Times New Roman" w:cs="Times New Roman"/>
          <w:noProof/>
        </w:rPr>
        <w:drawing>
          <wp:inline distT="0" distB="0" distL="0" distR="0" wp14:anchorId="1E7C052D" wp14:editId="553D1E98">
            <wp:extent cx="4387407" cy="27306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7842" cy="2755841"/>
                    </a:xfrm>
                    <a:prstGeom prst="rect">
                      <a:avLst/>
                    </a:prstGeom>
                    <a:noFill/>
                    <a:ln>
                      <a:noFill/>
                    </a:ln>
                  </pic:spPr>
                </pic:pic>
              </a:graphicData>
            </a:graphic>
          </wp:inline>
        </w:drawing>
      </w:r>
    </w:p>
    <w:p w14:paraId="53569721" w14:textId="1E34CAFA" w:rsidR="00CD5D04" w:rsidRPr="00EA7C95" w:rsidRDefault="00CD5D04" w:rsidP="00586C11">
      <w:pPr>
        <w:adjustRightInd w:val="0"/>
        <w:snapToGrid w:val="0"/>
        <w:spacing w:after="0" w:line="240" w:lineRule="auto"/>
        <w:jc w:val="both"/>
        <w:rPr>
          <w:rFonts w:ascii="Times New Roman" w:hAnsi="Times New Roman" w:cs="Times New Roman"/>
        </w:rPr>
      </w:pPr>
      <w:r w:rsidRPr="00EA7C95">
        <w:rPr>
          <w:rFonts w:ascii="Times New Roman" w:hAnsi="Times New Roman" w:cs="Times New Roman"/>
          <w:b/>
        </w:rPr>
        <w:t xml:space="preserve">Figure BET-3. </w:t>
      </w:r>
      <w:r w:rsidRPr="00EA7C95">
        <w:rPr>
          <w:rFonts w:ascii="Times New Roman" w:hAnsi="Times New Roman" w:cs="Times New Roman"/>
        </w:rPr>
        <w:t>Estimated annual average juvenile and adult fishing mortality for the diagnostic case model.</w:t>
      </w:r>
    </w:p>
    <w:p w14:paraId="6A5B9031" w14:textId="63DCE24F" w:rsidR="0024312A" w:rsidRDefault="0024312A">
      <w:pPr>
        <w:rPr>
          <w:rFonts w:ascii="Times New Roman" w:hAnsi="Times New Roman" w:cs="Times New Roman"/>
        </w:rPr>
      </w:pPr>
      <w:r>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7"/>
      </w:tblGrid>
      <w:tr w:rsidR="00B42F6C" w:rsidRPr="00EA7C95" w14:paraId="0E35297C" w14:textId="77777777" w:rsidTr="0024312A">
        <w:tc>
          <w:tcPr>
            <w:tcW w:w="4723" w:type="dxa"/>
          </w:tcPr>
          <w:p w14:paraId="36A92767" w14:textId="257C2055" w:rsidR="00B42F6C" w:rsidRPr="00EA7C95" w:rsidRDefault="00B42F6C" w:rsidP="00B42F6C">
            <w:pPr>
              <w:adjustRightInd w:val="0"/>
              <w:snapToGrid w:val="0"/>
              <w:jc w:val="center"/>
              <w:rPr>
                <w:rFonts w:ascii="Times New Roman" w:hAnsi="Times New Roman" w:cs="Times New Roman"/>
              </w:rPr>
            </w:pPr>
            <w:proofErr w:type="spellStart"/>
            <w:r w:rsidRPr="00EA7C95">
              <w:rPr>
                <w:rFonts w:ascii="Times New Roman" w:hAnsi="Times New Roman" w:cs="Times New Roman"/>
              </w:rPr>
              <w:lastRenderedPageBreak/>
              <w:t>SB</w:t>
            </w:r>
            <w:r w:rsidRPr="00EA7C95">
              <w:rPr>
                <w:rFonts w:ascii="Times New Roman" w:hAnsi="Times New Roman" w:cs="Times New Roman"/>
                <w:vertAlign w:val="subscript"/>
              </w:rPr>
              <w:t>recent</w:t>
            </w:r>
            <w:proofErr w:type="spellEnd"/>
            <w:r w:rsidRPr="00EA7C95">
              <w:rPr>
                <w:rFonts w:ascii="Times New Roman" w:hAnsi="Times New Roman" w:cs="Times New Roman"/>
              </w:rPr>
              <w:t xml:space="preserve"> (2012-2015) / SB</w:t>
            </w:r>
            <w:r w:rsidRPr="00EA7C95">
              <w:rPr>
                <w:rFonts w:ascii="Times New Roman" w:hAnsi="Times New Roman" w:cs="Times New Roman"/>
                <w:vertAlign w:val="subscript"/>
              </w:rPr>
              <w:t>F=0</w:t>
            </w:r>
          </w:p>
        </w:tc>
        <w:tc>
          <w:tcPr>
            <w:tcW w:w="4637" w:type="dxa"/>
          </w:tcPr>
          <w:p w14:paraId="12597DA0" w14:textId="1FB7ECEB" w:rsidR="00B42F6C" w:rsidRPr="00EA7C95" w:rsidRDefault="00B42F6C" w:rsidP="00B42F6C">
            <w:pPr>
              <w:adjustRightInd w:val="0"/>
              <w:snapToGrid w:val="0"/>
              <w:jc w:val="center"/>
              <w:rPr>
                <w:rFonts w:ascii="Times New Roman" w:hAnsi="Times New Roman" w:cs="Times New Roman"/>
              </w:rPr>
            </w:pPr>
            <w:r w:rsidRPr="00EA7C95">
              <w:rPr>
                <w:rFonts w:ascii="Times New Roman" w:hAnsi="Times New Roman" w:cs="Times New Roman"/>
              </w:rPr>
              <w:t>SB</w:t>
            </w:r>
            <w:r w:rsidRPr="00EA7C95">
              <w:rPr>
                <w:rFonts w:ascii="Times New Roman" w:hAnsi="Times New Roman" w:cs="Times New Roman"/>
                <w:vertAlign w:val="subscript"/>
              </w:rPr>
              <w:t>latest</w:t>
            </w:r>
            <w:r w:rsidRPr="00EA7C95">
              <w:rPr>
                <w:rFonts w:ascii="Times New Roman" w:hAnsi="Times New Roman" w:cs="Times New Roman"/>
              </w:rPr>
              <w:t xml:space="preserve"> (2015) / SB</w:t>
            </w:r>
            <w:r w:rsidRPr="00EA7C95">
              <w:rPr>
                <w:rFonts w:ascii="Times New Roman" w:hAnsi="Times New Roman" w:cs="Times New Roman"/>
                <w:vertAlign w:val="subscript"/>
              </w:rPr>
              <w:t>F=0</w:t>
            </w:r>
          </w:p>
        </w:tc>
      </w:tr>
      <w:tr w:rsidR="00B42F6C" w:rsidRPr="00EA7C95" w14:paraId="2EEBEFB5" w14:textId="77777777" w:rsidTr="0024312A">
        <w:tc>
          <w:tcPr>
            <w:tcW w:w="4723" w:type="dxa"/>
          </w:tcPr>
          <w:p w14:paraId="28854307" w14:textId="52C17B9B" w:rsidR="00B42F6C" w:rsidRPr="00EA7C95" w:rsidRDefault="00B42F6C" w:rsidP="00586C11">
            <w:pPr>
              <w:adjustRightInd w:val="0"/>
              <w:snapToGrid w:val="0"/>
              <w:jc w:val="both"/>
              <w:rPr>
                <w:rFonts w:ascii="Times New Roman" w:hAnsi="Times New Roman" w:cs="Times New Roman"/>
              </w:rPr>
            </w:pPr>
            <w:r w:rsidRPr="00EA7C95">
              <w:rPr>
                <w:rFonts w:ascii="Times New Roman" w:hAnsi="Times New Roman" w:cs="Times New Roman"/>
                <w:b/>
                <w:noProof/>
                <w:lang w:eastAsia="zh-CN" w:bidi="mn-Mong-CN"/>
              </w:rPr>
              <w:drawing>
                <wp:inline distT="0" distB="0" distL="0" distR="0" wp14:anchorId="63AFDC19" wp14:editId="08A6F782">
                  <wp:extent cx="2651760" cy="2651760"/>
                  <wp:effectExtent l="0" t="0" r="0" b="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c>
          <w:tcPr>
            <w:tcW w:w="4637" w:type="dxa"/>
          </w:tcPr>
          <w:p w14:paraId="1B693A3D" w14:textId="1B31A700" w:rsidR="00B42F6C" w:rsidRPr="00EA7C95" w:rsidRDefault="00B42F6C" w:rsidP="00586C11">
            <w:pPr>
              <w:adjustRightInd w:val="0"/>
              <w:snapToGrid w:val="0"/>
              <w:jc w:val="both"/>
              <w:rPr>
                <w:rFonts w:ascii="Times New Roman" w:hAnsi="Times New Roman" w:cs="Times New Roman"/>
              </w:rPr>
            </w:pPr>
            <w:r w:rsidRPr="00EA7C95">
              <w:rPr>
                <w:rFonts w:ascii="Times New Roman" w:hAnsi="Times New Roman" w:cs="Times New Roman"/>
                <w:b/>
                <w:noProof/>
                <w:lang w:eastAsia="zh-CN" w:bidi="mn-Mong-CN"/>
              </w:rPr>
              <w:drawing>
                <wp:inline distT="0" distB="0" distL="0" distR="0" wp14:anchorId="5AE0631F" wp14:editId="0871FE3D">
                  <wp:extent cx="2651760" cy="2651760"/>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r>
      <w:tr w:rsidR="00B42F6C" w:rsidRPr="00EA7C95" w14:paraId="39F1B804" w14:textId="77777777" w:rsidTr="0024312A">
        <w:tc>
          <w:tcPr>
            <w:tcW w:w="9360" w:type="dxa"/>
            <w:gridSpan w:val="2"/>
          </w:tcPr>
          <w:p w14:paraId="572B79EF" w14:textId="5BB2AD83" w:rsidR="00B42F6C" w:rsidRPr="00EA7C95" w:rsidRDefault="00B42F6C" w:rsidP="00586C11">
            <w:pPr>
              <w:adjustRightInd w:val="0"/>
              <w:snapToGrid w:val="0"/>
              <w:jc w:val="both"/>
              <w:rPr>
                <w:rFonts w:ascii="Times New Roman" w:hAnsi="Times New Roman" w:cs="Times New Roman"/>
                <w:b/>
                <w:noProof/>
                <w:lang w:eastAsia="zh-CN" w:bidi="mn-Mong-CN"/>
              </w:rPr>
            </w:pPr>
            <w:r w:rsidRPr="00EA7C95">
              <w:rPr>
                <w:rFonts w:ascii="Times New Roman" w:hAnsi="Times New Roman" w:cs="Times New Roman"/>
                <w:b/>
              </w:rPr>
              <w:t>Figure BET-4</w:t>
            </w:r>
            <w:r w:rsidRPr="00EA7C95">
              <w:rPr>
                <w:rFonts w:ascii="Times New Roman" w:hAnsi="Times New Roman" w:cs="Times New Roman"/>
              </w:rPr>
              <w:t xml:space="preserve">. Majuro plot summarising the results for each of the models in the structural uncertainty grid. The plots represent estimates of stock status in terms of spawning biomass depletion and fishing mortality. The red zone represents spawning biomass levels lower than the agreed limit reference point, </w:t>
            </w:r>
            <w:r w:rsidRPr="00EA7C95">
              <w:rPr>
                <w:rFonts w:ascii="Times New Roman" w:hAnsi="Times New Roman" w:cs="Times New Roman"/>
                <w:position w:val="2"/>
              </w:rPr>
              <w:t>which</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is</w:t>
            </w:r>
            <w:r w:rsidRPr="00EA7C95">
              <w:rPr>
                <w:rFonts w:ascii="Times New Roman" w:hAnsi="Times New Roman" w:cs="Times New Roman"/>
                <w:spacing w:val="-12"/>
                <w:position w:val="2"/>
              </w:rPr>
              <w:t xml:space="preserve"> </w:t>
            </w:r>
            <w:r w:rsidRPr="00EA7C95">
              <w:rPr>
                <w:rFonts w:ascii="Times New Roman" w:hAnsi="Times New Roman" w:cs="Times New Roman"/>
                <w:position w:val="2"/>
              </w:rPr>
              <w:t>marked</w:t>
            </w:r>
            <w:r w:rsidRPr="00EA7C95">
              <w:rPr>
                <w:rFonts w:ascii="Times New Roman" w:hAnsi="Times New Roman" w:cs="Times New Roman"/>
                <w:spacing w:val="-11"/>
                <w:position w:val="2"/>
              </w:rPr>
              <w:t xml:space="preserve"> </w:t>
            </w:r>
            <w:r w:rsidRPr="00EA7C95">
              <w:rPr>
                <w:rFonts w:ascii="Times New Roman" w:hAnsi="Times New Roman" w:cs="Times New Roman"/>
                <w:position w:val="2"/>
              </w:rPr>
              <w:t>with</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the</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solid</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black</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line.</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The</w:t>
            </w:r>
            <w:r w:rsidRPr="00EA7C95">
              <w:rPr>
                <w:rFonts w:ascii="Times New Roman" w:hAnsi="Times New Roman" w:cs="Times New Roman"/>
                <w:spacing w:val="-11"/>
                <w:position w:val="2"/>
              </w:rPr>
              <w:t xml:space="preserve"> </w:t>
            </w:r>
            <w:r w:rsidRPr="00EA7C95">
              <w:rPr>
                <w:rFonts w:ascii="Times New Roman" w:hAnsi="Times New Roman" w:cs="Times New Roman"/>
                <w:position w:val="2"/>
              </w:rPr>
              <w:t>orange</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region</w:t>
            </w:r>
            <w:r w:rsidRPr="00EA7C95">
              <w:rPr>
                <w:rFonts w:ascii="Times New Roman" w:hAnsi="Times New Roman" w:cs="Times New Roman"/>
                <w:spacing w:val="-11"/>
                <w:position w:val="2"/>
              </w:rPr>
              <w:t xml:space="preserve"> </w:t>
            </w:r>
            <w:r w:rsidRPr="00EA7C95">
              <w:rPr>
                <w:rFonts w:ascii="Times New Roman" w:hAnsi="Times New Roman" w:cs="Times New Roman"/>
                <w:position w:val="2"/>
              </w:rPr>
              <w:t>is</w:t>
            </w:r>
            <w:r w:rsidRPr="00EA7C95">
              <w:rPr>
                <w:rFonts w:ascii="Times New Roman" w:hAnsi="Times New Roman" w:cs="Times New Roman"/>
                <w:spacing w:val="-12"/>
                <w:position w:val="2"/>
              </w:rPr>
              <w:t xml:space="preserve"> </w:t>
            </w:r>
            <w:r w:rsidRPr="00EA7C95">
              <w:rPr>
                <w:rFonts w:ascii="Times New Roman" w:hAnsi="Times New Roman" w:cs="Times New Roman"/>
                <w:position w:val="2"/>
              </w:rPr>
              <w:t>for</w:t>
            </w:r>
            <w:r w:rsidRPr="00EA7C95">
              <w:rPr>
                <w:rFonts w:ascii="Times New Roman" w:hAnsi="Times New Roman" w:cs="Times New Roman"/>
                <w:spacing w:val="-12"/>
                <w:position w:val="2"/>
              </w:rPr>
              <w:t xml:space="preserve"> </w:t>
            </w:r>
            <w:r w:rsidRPr="00EA7C95">
              <w:rPr>
                <w:rFonts w:ascii="Times New Roman" w:hAnsi="Times New Roman" w:cs="Times New Roman"/>
                <w:position w:val="2"/>
              </w:rPr>
              <w:t>fishing</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mortality</w:t>
            </w:r>
            <w:r w:rsidRPr="00EA7C95">
              <w:rPr>
                <w:rFonts w:ascii="Times New Roman" w:hAnsi="Times New Roman" w:cs="Times New Roman"/>
                <w:spacing w:val="-13"/>
                <w:position w:val="2"/>
              </w:rPr>
              <w:t xml:space="preserve"> </w:t>
            </w:r>
            <w:r w:rsidRPr="00EA7C95">
              <w:rPr>
                <w:rFonts w:ascii="Times New Roman" w:hAnsi="Times New Roman" w:cs="Times New Roman"/>
                <w:position w:val="2"/>
              </w:rPr>
              <w:t>greater</w:t>
            </w:r>
            <w:r w:rsidRPr="00EA7C95">
              <w:rPr>
                <w:rFonts w:ascii="Times New Roman" w:hAnsi="Times New Roman" w:cs="Times New Roman"/>
                <w:spacing w:val="-11"/>
                <w:position w:val="2"/>
              </w:rPr>
              <w:t xml:space="preserve"> </w:t>
            </w:r>
            <w:r w:rsidRPr="00EA7C95">
              <w:rPr>
                <w:rFonts w:ascii="Times New Roman" w:hAnsi="Times New Roman" w:cs="Times New Roman"/>
                <w:position w:val="2"/>
              </w:rPr>
              <w:t>than</w:t>
            </w:r>
            <w:r w:rsidRPr="00EA7C95">
              <w:rPr>
                <w:rFonts w:ascii="Times New Roman" w:hAnsi="Times New Roman" w:cs="Times New Roman"/>
                <w:spacing w:val="-11"/>
                <w:position w:val="2"/>
              </w:rPr>
              <w:t xml:space="preserve"> </w:t>
            </w:r>
            <w:r w:rsidRPr="00EA7C95">
              <w:rPr>
                <w:rFonts w:ascii="Times New Roman" w:hAnsi="Times New Roman" w:cs="Times New Roman"/>
                <w:i/>
                <w:position w:val="2"/>
              </w:rPr>
              <w:t>F</w:t>
            </w:r>
            <w:r w:rsidRPr="00EA7C95">
              <w:rPr>
                <w:rFonts w:ascii="Times New Roman" w:hAnsi="Times New Roman" w:cs="Times New Roman"/>
              </w:rPr>
              <w:t>MSY</w:t>
            </w:r>
            <w:r w:rsidRPr="00EA7C95">
              <w:rPr>
                <w:rFonts w:ascii="Times New Roman" w:hAnsi="Times New Roman" w:cs="Times New Roman"/>
                <w:spacing w:val="9"/>
              </w:rPr>
              <w:t xml:space="preserve"> </w:t>
            </w:r>
            <w:r w:rsidRPr="00EA7C95">
              <w:rPr>
                <w:rFonts w:ascii="Times New Roman" w:hAnsi="Times New Roman" w:cs="Times New Roman"/>
                <w:position w:val="2"/>
              </w:rPr>
              <w:t>(</w:t>
            </w:r>
            <w:r w:rsidRPr="00EA7C95">
              <w:rPr>
                <w:rFonts w:ascii="Times New Roman" w:hAnsi="Times New Roman" w:cs="Times New Roman"/>
                <w:i/>
                <w:position w:val="2"/>
              </w:rPr>
              <w:t>F</w:t>
            </w:r>
            <w:r w:rsidRPr="00EA7C95">
              <w:rPr>
                <w:rFonts w:ascii="Times New Roman" w:hAnsi="Times New Roman" w:cs="Times New Roman"/>
              </w:rPr>
              <w:t xml:space="preserve">MSY </w:t>
            </w:r>
            <w:r w:rsidRPr="00EA7C95">
              <w:rPr>
                <w:rFonts w:ascii="Times New Roman" w:hAnsi="Times New Roman" w:cs="Times New Roman"/>
                <w:position w:val="2"/>
              </w:rPr>
              <w:t xml:space="preserve">is marked with the black dashed line). In the upper panel, the points represent </w:t>
            </w:r>
            <w:r w:rsidRPr="00EA7C95">
              <w:rPr>
                <w:rFonts w:ascii="Times New Roman" w:hAnsi="Times New Roman" w:cs="Times New Roman"/>
                <w:i/>
                <w:position w:val="2"/>
              </w:rPr>
              <w:t>SB</w:t>
            </w:r>
            <w:r w:rsidRPr="00EA7C95">
              <w:rPr>
                <w:rFonts w:ascii="Times New Roman" w:hAnsi="Times New Roman" w:cs="Times New Roman"/>
                <w:i/>
              </w:rPr>
              <w:t>recent</w:t>
            </w:r>
            <w:r w:rsidRPr="00EA7C95">
              <w:rPr>
                <w:rFonts w:ascii="Times New Roman" w:hAnsi="Times New Roman" w:cs="Times New Roman"/>
                <w:i/>
                <w:position w:val="2"/>
              </w:rPr>
              <w:t>/SB</w:t>
            </w:r>
            <w:r w:rsidRPr="00EA7C95">
              <w:rPr>
                <w:rFonts w:ascii="Times New Roman" w:hAnsi="Times New Roman" w:cs="Times New Roman"/>
                <w:i/>
              </w:rPr>
              <w:t>F=0</w:t>
            </w:r>
            <w:r w:rsidRPr="00EA7C95">
              <w:rPr>
                <w:rFonts w:ascii="Times New Roman" w:hAnsi="Times New Roman" w:cs="Times New Roman"/>
                <w:position w:val="2"/>
              </w:rPr>
              <w:t xml:space="preserve">, where </w:t>
            </w:r>
            <w:r w:rsidRPr="00EA7C95">
              <w:rPr>
                <w:rFonts w:ascii="Times New Roman" w:hAnsi="Times New Roman" w:cs="Times New Roman"/>
                <w:i/>
                <w:position w:val="2"/>
              </w:rPr>
              <w:t>SB</w:t>
            </w:r>
            <w:r w:rsidRPr="00EA7C95">
              <w:rPr>
                <w:rFonts w:ascii="Times New Roman" w:hAnsi="Times New Roman" w:cs="Times New Roman"/>
                <w:i/>
              </w:rPr>
              <w:t>recent</w:t>
            </w:r>
            <w:r w:rsidRPr="00EA7C95">
              <w:rPr>
                <w:rFonts w:ascii="Times New Roman" w:hAnsi="Times New Roman" w:cs="Times New Roman"/>
                <w:position w:val="2"/>
              </w:rPr>
              <w:t xml:space="preserve"> is the mean </w:t>
            </w:r>
            <w:r w:rsidRPr="00EA7C95">
              <w:rPr>
                <w:rFonts w:ascii="Times New Roman" w:hAnsi="Times New Roman" w:cs="Times New Roman"/>
                <w:i/>
                <w:position w:val="2"/>
              </w:rPr>
              <w:t xml:space="preserve">SB </w:t>
            </w:r>
            <w:r w:rsidRPr="00EA7C95">
              <w:rPr>
                <w:rFonts w:ascii="Times New Roman" w:hAnsi="Times New Roman" w:cs="Times New Roman"/>
                <w:position w:val="2"/>
              </w:rPr>
              <w:t xml:space="preserve">over 2012-2015. In the lower panel, the points represent </w:t>
            </w:r>
            <w:r w:rsidRPr="00EA7C95">
              <w:rPr>
                <w:rFonts w:ascii="Times New Roman" w:hAnsi="Times New Roman" w:cs="Times New Roman"/>
                <w:i/>
                <w:position w:val="2"/>
              </w:rPr>
              <w:t>SB</w:t>
            </w:r>
            <w:r w:rsidRPr="00EA7C95">
              <w:rPr>
                <w:rFonts w:ascii="Times New Roman" w:hAnsi="Times New Roman" w:cs="Times New Roman"/>
                <w:i/>
                <w:position w:val="2"/>
                <w:vertAlign w:val="subscript"/>
              </w:rPr>
              <w:t>latest</w:t>
            </w:r>
            <w:r w:rsidRPr="00EA7C95">
              <w:rPr>
                <w:rFonts w:ascii="Times New Roman" w:hAnsi="Times New Roman" w:cs="Times New Roman"/>
                <w:i/>
                <w:position w:val="2"/>
              </w:rPr>
              <w:t>/SB</w:t>
            </w:r>
            <w:r w:rsidRPr="00EA7C95">
              <w:rPr>
                <w:rFonts w:ascii="Times New Roman" w:hAnsi="Times New Roman" w:cs="Times New Roman"/>
                <w:i/>
                <w:position w:val="2"/>
                <w:vertAlign w:val="subscript"/>
              </w:rPr>
              <w:t>F=0</w:t>
            </w:r>
            <w:r w:rsidRPr="00EA7C95">
              <w:rPr>
                <w:rFonts w:ascii="Times New Roman" w:hAnsi="Times New Roman" w:cs="Times New Roman"/>
                <w:position w:val="2"/>
              </w:rPr>
              <w:t xml:space="preserve">, where </w:t>
            </w:r>
            <w:r w:rsidRPr="00EA7C95">
              <w:rPr>
                <w:rFonts w:ascii="Times New Roman" w:hAnsi="Times New Roman" w:cs="Times New Roman"/>
                <w:i/>
                <w:position w:val="2"/>
              </w:rPr>
              <w:t>SB</w:t>
            </w:r>
            <w:r w:rsidRPr="00EA7C95">
              <w:rPr>
                <w:rFonts w:ascii="Times New Roman" w:hAnsi="Times New Roman" w:cs="Times New Roman"/>
                <w:i/>
                <w:position w:val="2"/>
                <w:vertAlign w:val="subscript"/>
              </w:rPr>
              <w:t>latest</w:t>
            </w:r>
            <w:r w:rsidRPr="00EA7C95">
              <w:rPr>
                <w:rFonts w:ascii="Times New Roman" w:hAnsi="Times New Roman" w:cs="Times New Roman"/>
                <w:position w:val="2"/>
              </w:rPr>
              <w:t xml:space="preserve"> is from 2015. In both panels </w:t>
            </w:r>
            <w:r w:rsidRPr="00EA7C95">
              <w:rPr>
                <w:rFonts w:ascii="Times New Roman" w:hAnsi="Times New Roman" w:cs="Times New Roman"/>
              </w:rPr>
              <w:t xml:space="preserve">the </w:t>
            </w:r>
            <w:proofErr w:type="spellStart"/>
            <w:r w:rsidRPr="00EA7C95">
              <w:rPr>
                <w:rFonts w:ascii="Times New Roman" w:hAnsi="Times New Roman" w:cs="Times New Roman"/>
              </w:rPr>
              <w:t>colours</w:t>
            </w:r>
            <w:proofErr w:type="spellEnd"/>
            <w:r w:rsidRPr="00EA7C95">
              <w:rPr>
                <w:rFonts w:ascii="Times New Roman" w:hAnsi="Times New Roman" w:cs="Times New Roman"/>
              </w:rPr>
              <w:t xml:space="preserve"> depict the models in the grid with the 10°N and 20°N regional structures.</w:t>
            </w:r>
          </w:p>
        </w:tc>
      </w:tr>
    </w:tbl>
    <w:p w14:paraId="368DF814" w14:textId="77777777" w:rsidR="00E465D9" w:rsidRPr="00EA7C95" w:rsidRDefault="00E465D9">
      <w:pPr>
        <w:rPr>
          <w:rFonts w:ascii="Times New Roman" w:hAnsi="Times New Roman" w:cs="Times New Roman"/>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414"/>
      </w:tblGrid>
      <w:tr w:rsidR="00B42F6C" w:rsidRPr="00EA7C95" w14:paraId="12C69C5C" w14:textId="77777777" w:rsidTr="001F72E6">
        <w:tc>
          <w:tcPr>
            <w:tcW w:w="4671" w:type="dxa"/>
          </w:tcPr>
          <w:p w14:paraId="0EF2A2F6" w14:textId="100C19FC" w:rsidR="00B42F6C" w:rsidRPr="00EA7C95" w:rsidRDefault="00B42F6C" w:rsidP="00B42F6C">
            <w:pPr>
              <w:pStyle w:val="BodyText"/>
              <w:adjustRightInd w:val="0"/>
              <w:snapToGrid w:val="0"/>
              <w:jc w:val="center"/>
              <w:rPr>
                <w:b w:val="0"/>
              </w:rPr>
            </w:pPr>
            <w:proofErr w:type="spellStart"/>
            <w:r w:rsidRPr="00EA7C95">
              <w:rPr>
                <w:b w:val="0"/>
              </w:rPr>
              <w:t>SB</w:t>
            </w:r>
            <w:r w:rsidRPr="00EA7C95">
              <w:rPr>
                <w:b w:val="0"/>
                <w:vertAlign w:val="subscript"/>
              </w:rPr>
              <w:t>recent</w:t>
            </w:r>
            <w:proofErr w:type="spellEnd"/>
            <w:r w:rsidRPr="00EA7C95">
              <w:rPr>
                <w:b w:val="0"/>
              </w:rPr>
              <w:t xml:space="preserve"> (2012-2015) / SB</w:t>
            </w:r>
            <w:r w:rsidRPr="00EA7C95">
              <w:rPr>
                <w:b w:val="0"/>
                <w:vertAlign w:val="subscript"/>
              </w:rPr>
              <w:t>MSY</w:t>
            </w:r>
          </w:p>
        </w:tc>
        <w:tc>
          <w:tcPr>
            <w:tcW w:w="4414" w:type="dxa"/>
          </w:tcPr>
          <w:p w14:paraId="0D6264ED" w14:textId="1113CBDC" w:rsidR="00B42F6C" w:rsidRPr="00EA7C95" w:rsidRDefault="00B42F6C" w:rsidP="00B42F6C">
            <w:pPr>
              <w:pStyle w:val="BodyText"/>
              <w:adjustRightInd w:val="0"/>
              <w:snapToGrid w:val="0"/>
              <w:jc w:val="center"/>
              <w:rPr>
                <w:b w:val="0"/>
              </w:rPr>
            </w:pPr>
            <w:r w:rsidRPr="00EA7C95">
              <w:rPr>
                <w:b w:val="0"/>
              </w:rPr>
              <w:t>SB</w:t>
            </w:r>
            <w:r w:rsidRPr="00EA7C95">
              <w:rPr>
                <w:b w:val="0"/>
                <w:vertAlign w:val="subscript"/>
              </w:rPr>
              <w:t>latest</w:t>
            </w:r>
            <w:r w:rsidRPr="00EA7C95">
              <w:rPr>
                <w:b w:val="0"/>
              </w:rPr>
              <w:t xml:space="preserve"> (2015) / SB</w:t>
            </w:r>
            <w:r w:rsidRPr="00EA7C95">
              <w:rPr>
                <w:b w:val="0"/>
                <w:vertAlign w:val="subscript"/>
              </w:rPr>
              <w:t>MSY</w:t>
            </w:r>
          </w:p>
        </w:tc>
      </w:tr>
      <w:tr w:rsidR="00B42F6C" w:rsidRPr="00EA7C95" w14:paraId="2207FAE5" w14:textId="77777777" w:rsidTr="001F72E6">
        <w:tc>
          <w:tcPr>
            <w:tcW w:w="4671" w:type="dxa"/>
          </w:tcPr>
          <w:p w14:paraId="68693B1A" w14:textId="41AB59BA" w:rsidR="00B42F6C" w:rsidRPr="00EA7C95" w:rsidRDefault="00B42F6C" w:rsidP="00586C11">
            <w:pPr>
              <w:pStyle w:val="BodyText"/>
              <w:adjustRightInd w:val="0"/>
              <w:snapToGrid w:val="0"/>
              <w:rPr>
                <w:b w:val="0"/>
              </w:rPr>
            </w:pPr>
            <w:r w:rsidRPr="00EA7C95">
              <w:rPr>
                <w:b w:val="0"/>
                <w:noProof/>
                <w:lang w:eastAsia="zh-CN" w:bidi="mn-Mong-CN"/>
              </w:rPr>
              <w:drawing>
                <wp:inline distT="0" distB="0" distL="0" distR="0" wp14:anchorId="659E1D65" wp14:editId="0228AEFC">
                  <wp:extent cx="2606040" cy="2606040"/>
                  <wp:effectExtent l="0" t="0" r="3810" b="3810"/>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c>
          <w:tcPr>
            <w:tcW w:w="4414" w:type="dxa"/>
          </w:tcPr>
          <w:p w14:paraId="280D51CD" w14:textId="2B194A4C" w:rsidR="00B42F6C" w:rsidRPr="00EA7C95" w:rsidRDefault="00B42F6C" w:rsidP="00586C11">
            <w:pPr>
              <w:pStyle w:val="BodyText"/>
              <w:adjustRightInd w:val="0"/>
              <w:snapToGrid w:val="0"/>
              <w:rPr>
                <w:b w:val="0"/>
              </w:rPr>
            </w:pPr>
            <w:r w:rsidRPr="00EA7C95">
              <w:rPr>
                <w:b w:val="0"/>
                <w:noProof/>
                <w:lang w:eastAsia="zh-CN" w:bidi="mn-Mong-CN"/>
              </w:rPr>
              <w:drawing>
                <wp:inline distT="0" distB="0" distL="0" distR="0" wp14:anchorId="04441317" wp14:editId="6DCDBBB5">
                  <wp:extent cx="2606040" cy="2606040"/>
                  <wp:effectExtent l="0" t="0" r="3810" b="381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r>
      <w:tr w:rsidR="001F72E6" w:rsidRPr="00EA7C95" w14:paraId="3F495C49" w14:textId="77777777" w:rsidTr="001F72E6">
        <w:tc>
          <w:tcPr>
            <w:tcW w:w="9085" w:type="dxa"/>
            <w:gridSpan w:val="2"/>
          </w:tcPr>
          <w:p w14:paraId="5AF68B42" w14:textId="7F347BDE" w:rsidR="001F72E6" w:rsidRPr="001F72E6" w:rsidRDefault="001F72E6" w:rsidP="001F72E6">
            <w:pPr>
              <w:widowControl w:val="0"/>
              <w:adjustRightInd w:val="0"/>
              <w:snapToGrid w:val="0"/>
              <w:ind w:left="100" w:right="99"/>
              <w:jc w:val="both"/>
              <w:rPr>
                <w:rFonts w:ascii="Times New Roman" w:hAnsi="Times New Roman" w:cs="Times New Roman"/>
                <w:position w:val="2"/>
              </w:rPr>
            </w:pPr>
            <w:r w:rsidRPr="00EA7C95">
              <w:rPr>
                <w:rFonts w:ascii="Times New Roman" w:hAnsi="Times New Roman" w:cs="Times New Roman"/>
                <w:b/>
              </w:rPr>
              <w:t xml:space="preserve">Figure BET-5. </w:t>
            </w:r>
            <w:r w:rsidRPr="00EA7C95">
              <w:rPr>
                <w:rFonts w:ascii="Times New Roman" w:hAnsi="Times New Roman" w:cs="Times New Roman"/>
              </w:rPr>
              <w:t xml:space="preserve">Kobe plot summarising the results for each of the models in the structural uncertainty grid. </w:t>
            </w:r>
            <w:r w:rsidRPr="00EA7C95">
              <w:rPr>
                <w:rFonts w:ascii="Times New Roman" w:hAnsi="Times New Roman" w:cs="Times New Roman"/>
                <w:position w:val="2"/>
              </w:rPr>
              <w:t xml:space="preserve">In the upper panel, the points represent </w:t>
            </w:r>
            <w:r w:rsidRPr="00EA7C95">
              <w:rPr>
                <w:rFonts w:ascii="Times New Roman" w:hAnsi="Times New Roman" w:cs="Times New Roman"/>
                <w:i/>
                <w:position w:val="2"/>
              </w:rPr>
              <w:t>SB</w:t>
            </w:r>
            <w:r w:rsidRPr="00EA7C95">
              <w:rPr>
                <w:rFonts w:ascii="Times New Roman" w:hAnsi="Times New Roman" w:cs="Times New Roman"/>
                <w:i/>
              </w:rPr>
              <w:t>recent</w:t>
            </w:r>
            <w:r w:rsidRPr="00EA7C95">
              <w:rPr>
                <w:rFonts w:ascii="Times New Roman" w:hAnsi="Times New Roman" w:cs="Times New Roman"/>
                <w:i/>
                <w:position w:val="2"/>
              </w:rPr>
              <w:t>/SB</w:t>
            </w:r>
            <w:r w:rsidRPr="00EA7C95">
              <w:rPr>
                <w:rFonts w:ascii="Times New Roman" w:hAnsi="Times New Roman" w:cs="Times New Roman"/>
                <w:i/>
              </w:rPr>
              <w:t>MSY</w:t>
            </w:r>
            <w:r w:rsidRPr="00EA7C95">
              <w:rPr>
                <w:rFonts w:ascii="Times New Roman" w:hAnsi="Times New Roman" w:cs="Times New Roman"/>
                <w:position w:val="2"/>
              </w:rPr>
              <w:t xml:space="preserve">, where </w:t>
            </w:r>
            <w:r w:rsidRPr="00EA7C95">
              <w:rPr>
                <w:rFonts w:ascii="Times New Roman" w:hAnsi="Times New Roman" w:cs="Times New Roman"/>
                <w:i/>
                <w:position w:val="2"/>
              </w:rPr>
              <w:t>SB</w:t>
            </w:r>
            <w:r w:rsidRPr="00EA7C95">
              <w:rPr>
                <w:rFonts w:ascii="Times New Roman" w:hAnsi="Times New Roman" w:cs="Times New Roman"/>
                <w:i/>
              </w:rPr>
              <w:t>recent</w:t>
            </w:r>
            <w:r w:rsidRPr="00EA7C95">
              <w:rPr>
                <w:rFonts w:ascii="Times New Roman" w:hAnsi="Times New Roman" w:cs="Times New Roman"/>
                <w:position w:val="2"/>
              </w:rPr>
              <w:t xml:space="preserve"> is the mean </w:t>
            </w:r>
            <w:r w:rsidRPr="00EA7C95">
              <w:rPr>
                <w:rFonts w:ascii="Times New Roman" w:hAnsi="Times New Roman" w:cs="Times New Roman"/>
                <w:i/>
                <w:position w:val="2"/>
              </w:rPr>
              <w:t xml:space="preserve">SB </w:t>
            </w:r>
            <w:r w:rsidRPr="00EA7C95">
              <w:rPr>
                <w:rFonts w:ascii="Times New Roman" w:hAnsi="Times New Roman" w:cs="Times New Roman"/>
                <w:position w:val="2"/>
              </w:rPr>
              <w:t xml:space="preserve">over 2012-2015. In the lower panel, the points represent </w:t>
            </w:r>
            <w:proofErr w:type="spellStart"/>
            <w:r w:rsidRPr="00EA7C95">
              <w:rPr>
                <w:rFonts w:ascii="Times New Roman" w:hAnsi="Times New Roman" w:cs="Times New Roman"/>
                <w:i/>
                <w:position w:val="2"/>
              </w:rPr>
              <w:t>SB</w:t>
            </w:r>
            <w:r w:rsidRPr="00EA7C95">
              <w:rPr>
                <w:rFonts w:ascii="Times New Roman" w:hAnsi="Times New Roman" w:cs="Times New Roman"/>
                <w:i/>
                <w:position w:val="2"/>
                <w:vertAlign w:val="subscript"/>
              </w:rPr>
              <w:t>latest</w:t>
            </w:r>
            <w:proofErr w:type="spellEnd"/>
            <w:r w:rsidRPr="00EA7C95">
              <w:rPr>
                <w:rFonts w:ascii="Times New Roman" w:hAnsi="Times New Roman" w:cs="Times New Roman"/>
                <w:i/>
                <w:position w:val="2"/>
              </w:rPr>
              <w:t>/SB</w:t>
            </w:r>
            <w:r w:rsidRPr="00EA7C95">
              <w:rPr>
                <w:rFonts w:ascii="Times New Roman" w:hAnsi="Times New Roman" w:cs="Times New Roman"/>
                <w:i/>
                <w:position w:val="2"/>
                <w:vertAlign w:val="subscript"/>
              </w:rPr>
              <w:t>MSY</w:t>
            </w:r>
            <w:r w:rsidRPr="00EA7C95">
              <w:rPr>
                <w:rFonts w:ascii="Times New Roman" w:hAnsi="Times New Roman" w:cs="Times New Roman"/>
                <w:position w:val="2"/>
              </w:rPr>
              <w:t xml:space="preserve">, where </w:t>
            </w:r>
            <w:proofErr w:type="spellStart"/>
            <w:r w:rsidRPr="00EA7C95">
              <w:rPr>
                <w:rFonts w:ascii="Times New Roman" w:hAnsi="Times New Roman" w:cs="Times New Roman"/>
                <w:i/>
                <w:position w:val="2"/>
              </w:rPr>
              <w:t>SB</w:t>
            </w:r>
            <w:r w:rsidRPr="00EA7C95">
              <w:rPr>
                <w:rFonts w:ascii="Times New Roman" w:hAnsi="Times New Roman" w:cs="Times New Roman"/>
                <w:i/>
                <w:position w:val="2"/>
                <w:vertAlign w:val="subscript"/>
              </w:rPr>
              <w:t>latest</w:t>
            </w:r>
            <w:proofErr w:type="spellEnd"/>
            <w:r w:rsidRPr="00EA7C95">
              <w:rPr>
                <w:rFonts w:ascii="Times New Roman" w:hAnsi="Times New Roman" w:cs="Times New Roman"/>
                <w:position w:val="2"/>
              </w:rPr>
              <w:t xml:space="preserve"> is from 2015.</w:t>
            </w:r>
          </w:p>
        </w:tc>
      </w:tr>
    </w:tbl>
    <w:p w14:paraId="1B80E684" w14:textId="77777777" w:rsidR="001F72E6" w:rsidRDefault="001F72E6"/>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tblGrid>
      <w:tr w:rsidR="00B42F6C" w:rsidRPr="00EA7C95" w14:paraId="2C253C33" w14:textId="77777777" w:rsidTr="008F5B6C">
        <w:tc>
          <w:tcPr>
            <w:tcW w:w="9095" w:type="dxa"/>
          </w:tcPr>
          <w:p w14:paraId="2CFB479F" w14:textId="4552AE9D" w:rsidR="00805C42" w:rsidRPr="00EA7C95" w:rsidRDefault="008F5B6C" w:rsidP="0024312A">
            <w:pPr>
              <w:widowControl w:val="0"/>
              <w:adjustRightInd w:val="0"/>
              <w:snapToGrid w:val="0"/>
              <w:ind w:right="115"/>
              <w:jc w:val="both"/>
              <w:rPr>
                <w:rFonts w:ascii="Times New Roman" w:hAnsi="Times New Roman" w:cs="Times New Roman"/>
              </w:rPr>
            </w:pPr>
            <w:r>
              <w:lastRenderedPageBreak/>
              <w:br w:type="page"/>
            </w:r>
            <w:r w:rsidR="00805C42" w:rsidRPr="00EA7C95">
              <w:rPr>
                <w:rFonts w:ascii="Times New Roman" w:hAnsi="Times New Roman" w:cs="Times New Roman"/>
                <w:b/>
              </w:rPr>
              <w:t>Table</w:t>
            </w:r>
            <w:r w:rsidR="00805C42" w:rsidRPr="00EA7C95">
              <w:rPr>
                <w:rFonts w:ascii="Times New Roman" w:hAnsi="Times New Roman" w:cs="Times New Roman"/>
                <w:b/>
                <w:spacing w:val="-8"/>
              </w:rPr>
              <w:t xml:space="preserve"> </w:t>
            </w:r>
            <w:r w:rsidR="00805C42" w:rsidRPr="00EA7C95">
              <w:rPr>
                <w:rFonts w:ascii="Times New Roman" w:hAnsi="Times New Roman" w:cs="Times New Roman"/>
                <w:b/>
              </w:rPr>
              <w:t>BET-2.</w:t>
            </w:r>
            <w:r w:rsidR="00805C42" w:rsidRPr="00EA7C95">
              <w:rPr>
                <w:rFonts w:ascii="Times New Roman" w:hAnsi="Times New Roman" w:cs="Times New Roman"/>
                <w:b/>
                <w:spacing w:val="-6"/>
              </w:rPr>
              <w:t xml:space="preserve"> </w:t>
            </w:r>
            <w:r w:rsidR="00805C42" w:rsidRPr="00EA7C95">
              <w:rPr>
                <w:rFonts w:ascii="Times New Roman" w:hAnsi="Times New Roman" w:cs="Times New Roman"/>
              </w:rPr>
              <w:t>Summary</w:t>
            </w:r>
            <w:r w:rsidR="00805C42" w:rsidRPr="00EA7C95">
              <w:rPr>
                <w:rFonts w:ascii="Times New Roman" w:hAnsi="Times New Roman" w:cs="Times New Roman"/>
                <w:spacing w:val="-8"/>
              </w:rPr>
              <w:t xml:space="preserve"> </w:t>
            </w:r>
            <w:r w:rsidR="00805C42" w:rsidRPr="00EA7C95">
              <w:rPr>
                <w:rFonts w:ascii="Times New Roman" w:hAnsi="Times New Roman" w:cs="Times New Roman"/>
              </w:rPr>
              <w:t>of</w:t>
            </w:r>
            <w:r w:rsidR="00805C42" w:rsidRPr="00EA7C95">
              <w:rPr>
                <w:rFonts w:ascii="Times New Roman" w:hAnsi="Times New Roman" w:cs="Times New Roman"/>
                <w:spacing w:val="-5"/>
              </w:rPr>
              <w:t xml:space="preserve"> </w:t>
            </w:r>
            <w:r w:rsidR="00805C42" w:rsidRPr="00EA7C95">
              <w:rPr>
                <w:rFonts w:ascii="Times New Roman" w:hAnsi="Times New Roman" w:cs="Times New Roman"/>
              </w:rPr>
              <w:t>reference</w:t>
            </w:r>
            <w:r w:rsidR="00805C42" w:rsidRPr="00EA7C95">
              <w:rPr>
                <w:rFonts w:ascii="Times New Roman" w:hAnsi="Times New Roman" w:cs="Times New Roman"/>
                <w:spacing w:val="-6"/>
              </w:rPr>
              <w:t xml:space="preserve"> </w:t>
            </w:r>
            <w:r w:rsidR="00805C42" w:rsidRPr="00EA7C95">
              <w:rPr>
                <w:rFonts w:ascii="Times New Roman" w:hAnsi="Times New Roman" w:cs="Times New Roman"/>
              </w:rPr>
              <w:t>points</w:t>
            </w:r>
            <w:r w:rsidR="00805C42" w:rsidRPr="00EA7C95">
              <w:rPr>
                <w:rFonts w:ascii="Times New Roman" w:hAnsi="Times New Roman" w:cs="Times New Roman"/>
                <w:spacing w:val="-5"/>
              </w:rPr>
              <w:t xml:space="preserve"> </w:t>
            </w:r>
            <w:r w:rsidR="00805C42" w:rsidRPr="00EA7C95">
              <w:rPr>
                <w:rFonts w:ascii="Times New Roman" w:hAnsi="Times New Roman" w:cs="Times New Roman"/>
              </w:rPr>
              <w:t>over</w:t>
            </w:r>
            <w:r w:rsidR="00805C42" w:rsidRPr="00EA7C95">
              <w:rPr>
                <w:rFonts w:ascii="Times New Roman" w:hAnsi="Times New Roman" w:cs="Times New Roman"/>
                <w:spacing w:val="-5"/>
              </w:rPr>
              <w:t xml:space="preserve"> </w:t>
            </w:r>
            <w:r w:rsidR="00805C42" w:rsidRPr="00EA7C95">
              <w:rPr>
                <w:rFonts w:ascii="Times New Roman" w:hAnsi="Times New Roman" w:cs="Times New Roman"/>
              </w:rPr>
              <w:t>the</w:t>
            </w:r>
            <w:r w:rsidR="00805C42" w:rsidRPr="00EA7C95">
              <w:rPr>
                <w:rFonts w:ascii="Times New Roman" w:hAnsi="Times New Roman" w:cs="Times New Roman"/>
                <w:spacing w:val="-6"/>
              </w:rPr>
              <w:t xml:space="preserve"> </w:t>
            </w:r>
            <w:r w:rsidR="00805C42" w:rsidRPr="00EA7C95">
              <w:rPr>
                <w:rFonts w:ascii="Times New Roman" w:hAnsi="Times New Roman" w:cs="Times New Roman"/>
              </w:rPr>
              <w:t>36</w:t>
            </w:r>
            <w:r w:rsidR="00805C42" w:rsidRPr="00EA7C95">
              <w:rPr>
                <w:rFonts w:ascii="Times New Roman" w:hAnsi="Times New Roman" w:cs="Times New Roman"/>
                <w:spacing w:val="-6"/>
              </w:rPr>
              <w:t xml:space="preserve"> </w:t>
            </w:r>
            <w:r w:rsidR="00805C42" w:rsidRPr="00EA7C95">
              <w:rPr>
                <w:rFonts w:ascii="Times New Roman" w:hAnsi="Times New Roman" w:cs="Times New Roman"/>
              </w:rPr>
              <w:t>models</w:t>
            </w:r>
            <w:r w:rsidR="00805C42" w:rsidRPr="00EA7C95">
              <w:rPr>
                <w:rFonts w:ascii="Times New Roman" w:hAnsi="Times New Roman" w:cs="Times New Roman"/>
                <w:spacing w:val="-4"/>
              </w:rPr>
              <w:t xml:space="preserve"> </w:t>
            </w:r>
            <w:r w:rsidR="00805C42" w:rsidRPr="00EA7C95">
              <w:rPr>
                <w:rFonts w:ascii="Times New Roman" w:hAnsi="Times New Roman" w:cs="Times New Roman"/>
              </w:rPr>
              <w:t>in</w:t>
            </w:r>
            <w:r w:rsidR="00805C42" w:rsidRPr="00EA7C95">
              <w:rPr>
                <w:rFonts w:ascii="Times New Roman" w:hAnsi="Times New Roman" w:cs="Times New Roman"/>
                <w:spacing w:val="-6"/>
              </w:rPr>
              <w:t xml:space="preserve"> </w:t>
            </w:r>
            <w:r w:rsidR="00805C42" w:rsidRPr="00EA7C95">
              <w:rPr>
                <w:rFonts w:ascii="Times New Roman" w:hAnsi="Times New Roman" w:cs="Times New Roman"/>
              </w:rPr>
              <w:t>the</w:t>
            </w:r>
            <w:r w:rsidR="00805C42" w:rsidRPr="00EA7C95">
              <w:rPr>
                <w:rFonts w:ascii="Times New Roman" w:hAnsi="Times New Roman" w:cs="Times New Roman"/>
                <w:spacing w:val="-6"/>
              </w:rPr>
              <w:t xml:space="preserve"> </w:t>
            </w:r>
            <w:r w:rsidR="00805C42" w:rsidRPr="00EA7C95">
              <w:rPr>
                <w:rFonts w:ascii="Times New Roman" w:hAnsi="Times New Roman" w:cs="Times New Roman"/>
              </w:rPr>
              <w:t>structural</w:t>
            </w:r>
            <w:r w:rsidR="00805C42" w:rsidRPr="00EA7C95">
              <w:rPr>
                <w:rFonts w:ascii="Times New Roman" w:hAnsi="Times New Roman" w:cs="Times New Roman"/>
                <w:spacing w:val="-5"/>
              </w:rPr>
              <w:t xml:space="preserve"> </w:t>
            </w:r>
            <w:r w:rsidR="00805C42" w:rsidRPr="00EA7C95">
              <w:rPr>
                <w:rFonts w:ascii="Times New Roman" w:hAnsi="Times New Roman" w:cs="Times New Roman"/>
              </w:rPr>
              <w:t>uncertainty</w:t>
            </w:r>
            <w:r w:rsidR="00805C42" w:rsidRPr="00EA7C95">
              <w:rPr>
                <w:rFonts w:ascii="Times New Roman" w:hAnsi="Times New Roman" w:cs="Times New Roman"/>
                <w:spacing w:val="-8"/>
              </w:rPr>
              <w:t xml:space="preserve"> </w:t>
            </w:r>
            <w:r w:rsidR="00805C42" w:rsidRPr="00EA7C95">
              <w:rPr>
                <w:rFonts w:ascii="Times New Roman" w:hAnsi="Times New Roman" w:cs="Times New Roman"/>
              </w:rPr>
              <w:t>grid</w:t>
            </w:r>
            <w:r w:rsidR="00805C42" w:rsidRPr="00EA7C95">
              <w:rPr>
                <w:rFonts w:ascii="Times New Roman" w:hAnsi="Times New Roman" w:cs="Times New Roman"/>
                <w:position w:val="2"/>
              </w:rPr>
              <w:t>.</w:t>
            </w:r>
            <w:r w:rsidR="00805C42" w:rsidRPr="00EA7C95">
              <w:rPr>
                <w:rFonts w:ascii="Times New Roman" w:hAnsi="Times New Roman" w:cs="Times New Roman"/>
                <w:spacing w:val="-6"/>
                <w:position w:val="2"/>
              </w:rPr>
              <w:t xml:space="preserve"> </w:t>
            </w:r>
            <w:r w:rsidR="00805C42" w:rsidRPr="00EA7C95">
              <w:rPr>
                <w:rFonts w:ascii="Times New Roman" w:hAnsi="Times New Roman" w:cs="Times New Roman"/>
                <w:position w:val="2"/>
              </w:rPr>
              <w:t>Note</w:t>
            </w:r>
            <w:r w:rsidR="00805C42" w:rsidRPr="00EA7C95">
              <w:rPr>
                <w:rFonts w:ascii="Times New Roman" w:hAnsi="Times New Roman" w:cs="Times New Roman"/>
                <w:spacing w:val="-6"/>
                <w:position w:val="2"/>
              </w:rPr>
              <w:t xml:space="preserve"> </w:t>
            </w:r>
            <w:r w:rsidR="00805C42" w:rsidRPr="00EA7C95">
              <w:rPr>
                <w:rFonts w:ascii="Times New Roman" w:hAnsi="Times New Roman" w:cs="Times New Roman"/>
                <w:position w:val="2"/>
              </w:rPr>
              <w:t>that</w:t>
            </w:r>
            <w:r w:rsidR="00805C42" w:rsidRPr="00EA7C95">
              <w:rPr>
                <w:rFonts w:ascii="Times New Roman" w:hAnsi="Times New Roman" w:cs="Times New Roman"/>
                <w:spacing w:val="-6"/>
                <w:position w:val="2"/>
              </w:rPr>
              <w:t xml:space="preserve"> </w:t>
            </w:r>
            <w:r w:rsidR="00805C42" w:rsidRPr="00EA7C95">
              <w:rPr>
                <w:rFonts w:ascii="Times New Roman" w:hAnsi="Times New Roman" w:cs="Times New Roman"/>
                <w:i/>
                <w:position w:val="2"/>
              </w:rPr>
              <w:t>SB</w:t>
            </w:r>
            <w:r w:rsidR="00805C42" w:rsidRPr="00EA7C95">
              <w:rPr>
                <w:rFonts w:ascii="Times New Roman" w:hAnsi="Times New Roman" w:cs="Times New Roman"/>
                <w:i/>
              </w:rPr>
              <w:t>recent</w:t>
            </w:r>
            <w:r w:rsidR="00805C42" w:rsidRPr="00EA7C95">
              <w:rPr>
                <w:rFonts w:ascii="Times New Roman" w:hAnsi="Times New Roman" w:cs="Times New Roman"/>
                <w:i/>
                <w:position w:val="2"/>
              </w:rPr>
              <w:t>/SB</w:t>
            </w:r>
            <w:r w:rsidR="00805C42" w:rsidRPr="00EA7C95">
              <w:rPr>
                <w:rFonts w:ascii="Times New Roman" w:hAnsi="Times New Roman" w:cs="Times New Roman"/>
                <w:i/>
              </w:rPr>
              <w:t>F=0</w:t>
            </w:r>
            <w:r w:rsidR="00805C42" w:rsidRPr="00EA7C95">
              <w:rPr>
                <w:rFonts w:ascii="Times New Roman" w:hAnsi="Times New Roman" w:cs="Times New Roman"/>
                <w:i/>
                <w:spacing w:val="14"/>
              </w:rPr>
              <w:t xml:space="preserve"> </w:t>
            </w:r>
            <w:r w:rsidR="00805C42" w:rsidRPr="00EA7C95">
              <w:rPr>
                <w:rFonts w:ascii="Times New Roman" w:hAnsi="Times New Roman" w:cs="Times New Roman"/>
                <w:position w:val="2"/>
              </w:rPr>
              <w:t>is</w:t>
            </w:r>
            <w:r w:rsidR="00805C42" w:rsidRPr="00EA7C95">
              <w:rPr>
                <w:rFonts w:ascii="Times New Roman" w:hAnsi="Times New Roman" w:cs="Times New Roman"/>
                <w:spacing w:val="-5"/>
                <w:position w:val="2"/>
              </w:rPr>
              <w:t xml:space="preserve"> </w:t>
            </w:r>
            <w:r w:rsidR="00805C42" w:rsidRPr="00EA7C95">
              <w:rPr>
                <w:rFonts w:ascii="Times New Roman" w:hAnsi="Times New Roman" w:cs="Times New Roman"/>
                <w:position w:val="2"/>
              </w:rPr>
              <w:t>calculated</w:t>
            </w:r>
            <w:r w:rsidR="00805C42" w:rsidRPr="00EA7C95">
              <w:rPr>
                <w:rFonts w:ascii="Times New Roman" w:hAnsi="Times New Roman" w:cs="Times New Roman"/>
                <w:spacing w:val="-6"/>
                <w:position w:val="2"/>
              </w:rPr>
              <w:t xml:space="preserve"> </w:t>
            </w:r>
            <w:r w:rsidR="00805C42" w:rsidRPr="00EA7C95">
              <w:rPr>
                <w:rFonts w:ascii="Times New Roman" w:hAnsi="Times New Roman" w:cs="Times New Roman"/>
                <w:position w:val="2"/>
              </w:rPr>
              <w:t>where</w:t>
            </w:r>
            <w:r w:rsidR="00805C42" w:rsidRPr="00EA7C95">
              <w:rPr>
                <w:rFonts w:ascii="Times New Roman" w:hAnsi="Times New Roman" w:cs="Times New Roman"/>
                <w:spacing w:val="-4"/>
                <w:position w:val="2"/>
              </w:rPr>
              <w:t xml:space="preserve"> </w:t>
            </w:r>
            <w:r w:rsidR="00805C42" w:rsidRPr="00EA7C95">
              <w:rPr>
                <w:rFonts w:ascii="Times New Roman" w:hAnsi="Times New Roman" w:cs="Times New Roman"/>
                <w:i/>
                <w:position w:val="2"/>
              </w:rPr>
              <w:t>SB</w:t>
            </w:r>
            <w:r w:rsidR="00805C42" w:rsidRPr="00EA7C95">
              <w:rPr>
                <w:rFonts w:ascii="Times New Roman" w:hAnsi="Times New Roman" w:cs="Times New Roman"/>
                <w:i/>
              </w:rPr>
              <w:t>recent</w:t>
            </w:r>
            <w:r w:rsidR="00805C42" w:rsidRPr="00EA7C95">
              <w:rPr>
                <w:rFonts w:ascii="Times New Roman" w:hAnsi="Times New Roman" w:cs="Times New Roman"/>
                <w:i/>
                <w:spacing w:val="14"/>
              </w:rPr>
              <w:t xml:space="preserve"> </w:t>
            </w:r>
            <w:r w:rsidR="00805C42" w:rsidRPr="00EA7C95">
              <w:rPr>
                <w:rFonts w:ascii="Times New Roman" w:hAnsi="Times New Roman" w:cs="Times New Roman"/>
                <w:position w:val="2"/>
              </w:rPr>
              <w:t>is</w:t>
            </w:r>
            <w:r w:rsidR="00805C42" w:rsidRPr="00EA7C95">
              <w:rPr>
                <w:rFonts w:ascii="Times New Roman" w:hAnsi="Times New Roman" w:cs="Times New Roman"/>
                <w:spacing w:val="-5"/>
                <w:position w:val="2"/>
              </w:rPr>
              <w:t xml:space="preserve"> </w:t>
            </w:r>
            <w:r w:rsidR="00805C42" w:rsidRPr="00EA7C95">
              <w:rPr>
                <w:rFonts w:ascii="Times New Roman" w:hAnsi="Times New Roman" w:cs="Times New Roman"/>
                <w:position w:val="2"/>
              </w:rPr>
              <w:t>the</w:t>
            </w:r>
            <w:r w:rsidR="00805C42" w:rsidRPr="00EA7C95">
              <w:rPr>
                <w:rFonts w:ascii="Times New Roman" w:hAnsi="Times New Roman" w:cs="Times New Roman"/>
                <w:spacing w:val="-6"/>
                <w:position w:val="2"/>
              </w:rPr>
              <w:t xml:space="preserve"> </w:t>
            </w:r>
            <w:r w:rsidR="00805C42" w:rsidRPr="00EA7C95">
              <w:rPr>
                <w:rFonts w:ascii="Times New Roman" w:hAnsi="Times New Roman" w:cs="Times New Roman"/>
                <w:position w:val="2"/>
              </w:rPr>
              <w:t>mean</w:t>
            </w:r>
            <w:r w:rsidR="00805C42" w:rsidRPr="00EA7C95">
              <w:rPr>
                <w:rFonts w:ascii="Times New Roman" w:hAnsi="Times New Roman" w:cs="Times New Roman"/>
                <w:spacing w:val="-5"/>
                <w:position w:val="2"/>
              </w:rPr>
              <w:t xml:space="preserve"> </w:t>
            </w:r>
            <w:r w:rsidR="00805C42" w:rsidRPr="00EA7C95">
              <w:rPr>
                <w:rFonts w:ascii="Times New Roman" w:hAnsi="Times New Roman" w:cs="Times New Roman"/>
                <w:i/>
                <w:position w:val="2"/>
              </w:rPr>
              <w:t>SB</w:t>
            </w:r>
            <w:r w:rsidR="00805C42" w:rsidRPr="00EA7C95">
              <w:rPr>
                <w:rFonts w:ascii="Times New Roman" w:hAnsi="Times New Roman" w:cs="Times New Roman"/>
                <w:i/>
                <w:spacing w:val="-6"/>
                <w:position w:val="2"/>
              </w:rPr>
              <w:t xml:space="preserve"> </w:t>
            </w:r>
            <w:r w:rsidR="00805C42" w:rsidRPr="00EA7C95">
              <w:rPr>
                <w:rFonts w:ascii="Times New Roman" w:hAnsi="Times New Roman" w:cs="Times New Roman"/>
                <w:position w:val="2"/>
              </w:rPr>
              <w:t>over</w:t>
            </w:r>
            <w:r w:rsidR="00805C42" w:rsidRPr="00EA7C95">
              <w:rPr>
                <w:rFonts w:ascii="Times New Roman" w:hAnsi="Times New Roman" w:cs="Times New Roman"/>
                <w:spacing w:val="-5"/>
                <w:position w:val="2"/>
              </w:rPr>
              <w:t xml:space="preserve"> </w:t>
            </w:r>
            <w:r w:rsidR="00805C42" w:rsidRPr="00EA7C95">
              <w:rPr>
                <w:rFonts w:ascii="Times New Roman" w:hAnsi="Times New Roman" w:cs="Times New Roman"/>
                <w:position w:val="2"/>
              </w:rPr>
              <w:t>2012-2015</w:t>
            </w:r>
            <w:r w:rsidR="00805C42" w:rsidRPr="00EA7C95">
              <w:rPr>
                <w:rFonts w:ascii="Times New Roman" w:hAnsi="Times New Roman" w:cs="Times New Roman"/>
                <w:spacing w:val="-5"/>
                <w:position w:val="2"/>
              </w:rPr>
              <w:t xml:space="preserve"> </w:t>
            </w:r>
            <w:r w:rsidR="00805C42" w:rsidRPr="00EA7C95">
              <w:rPr>
                <w:rFonts w:ascii="Times New Roman" w:hAnsi="Times New Roman" w:cs="Times New Roman"/>
              </w:rPr>
              <w:t>at the request of the Scientific</w:t>
            </w:r>
            <w:r w:rsidR="00805C42" w:rsidRPr="00EA7C95">
              <w:rPr>
                <w:rFonts w:ascii="Times New Roman" w:hAnsi="Times New Roman" w:cs="Times New Roman"/>
                <w:spacing w:val="-27"/>
              </w:rPr>
              <w:t xml:space="preserve"> </w:t>
            </w:r>
            <w:r w:rsidR="00805C42" w:rsidRPr="00EA7C95">
              <w:rPr>
                <w:rFonts w:ascii="Times New Roman" w:hAnsi="Times New Roman" w:cs="Times New Roman"/>
              </w:rPr>
              <w:t>Committee.</w:t>
            </w:r>
          </w:p>
          <w:tbl>
            <w:tblPr>
              <w:tblW w:w="9779" w:type="dxa"/>
              <w:tblLook w:val="04A0" w:firstRow="1" w:lastRow="0" w:firstColumn="1" w:lastColumn="0" w:noHBand="0" w:noVBand="1"/>
            </w:tblPr>
            <w:tblGrid>
              <w:gridCol w:w="1665"/>
              <w:gridCol w:w="999"/>
              <w:gridCol w:w="1243"/>
              <w:gridCol w:w="1243"/>
              <w:gridCol w:w="1243"/>
              <w:gridCol w:w="1243"/>
              <w:gridCol w:w="1243"/>
            </w:tblGrid>
            <w:tr w:rsidR="00805C42" w:rsidRPr="00EA7C95" w14:paraId="3EC24808" w14:textId="77777777" w:rsidTr="0024312A">
              <w:tc>
                <w:tcPr>
                  <w:tcW w:w="1843" w:type="dxa"/>
                  <w:tcBorders>
                    <w:top w:val="single" w:sz="4" w:space="0" w:color="auto"/>
                    <w:left w:val="nil"/>
                    <w:bottom w:val="single" w:sz="4" w:space="0" w:color="auto"/>
                    <w:right w:val="nil"/>
                  </w:tcBorders>
                  <w:shd w:val="clear" w:color="auto" w:fill="auto"/>
                  <w:noWrap/>
                  <w:vAlign w:val="bottom"/>
                  <w:hideMark/>
                </w:tcPr>
                <w:p w14:paraId="3EF75F46" w14:textId="77777777" w:rsidR="00805C42" w:rsidRPr="00EA7C95" w:rsidRDefault="00805C42" w:rsidP="0024312A">
                  <w:pPr>
                    <w:widowControl w:val="0"/>
                    <w:adjustRightInd w:val="0"/>
                    <w:snapToGrid w:val="0"/>
                    <w:spacing w:after="0" w:line="240" w:lineRule="auto"/>
                    <w:rPr>
                      <w:rFonts w:ascii="Times New Roman" w:hAnsi="Times New Roman" w:cs="Times New Roman"/>
                      <w:i/>
                      <w:lang w:val="en-AU"/>
                    </w:rPr>
                  </w:pPr>
                </w:p>
              </w:tc>
              <w:tc>
                <w:tcPr>
                  <w:tcW w:w="1096" w:type="dxa"/>
                  <w:tcBorders>
                    <w:top w:val="single" w:sz="4" w:space="0" w:color="auto"/>
                    <w:left w:val="nil"/>
                    <w:bottom w:val="single" w:sz="4" w:space="0" w:color="auto"/>
                    <w:right w:val="nil"/>
                  </w:tcBorders>
                  <w:shd w:val="clear" w:color="auto" w:fill="auto"/>
                  <w:noWrap/>
                  <w:vAlign w:val="bottom"/>
                  <w:hideMark/>
                </w:tcPr>
                <w:p w14:paraId="330EE955"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Mean</w:t>
                  </w:r>
                </w:p>
              </w:tc>
              <w:tc>
                <w:tcPr>
                  <w:tcW w:w="1368" w:type="dxa"/>
                  <w:tcBorders>
                    <w:top w:val="single" w:sz="4" w:space="0" w:color="auto"/>
                    <w:left w:val="nil"/>
                    <w:bottom w:val="single" w:sz="4" w:space="0" w:color="auto"/>
                    <w:right w:val="nil"/>
                  </w:tcBorders>
                  <w:shd w:val="clear" w:color="auto" w:fill="auto"/>
                  <w:noWrap/>
                  <w:vAlign w:val="bottom"/>
                  <w:hideMark/>
                </w:tcPr>
                <w:p w14:paraId="5E1A20BE"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Median</w:t>
                  </w:r>
                </w:p>
              </w:tc>
              <w:tc>
                <w:tcPr>
                  <w:tcW w:w="1368" w:type="dxa"/>
                  <w:tcBorders>
                    <w:top w:val="single" w:sz="4" w:space="0" w:color="auto"/>
                    <w:left w:val="nil"/>
                    <w:bottom w:val="single" w:sz="4" w:space="0" w:color="auto"/>
                    <w:right w:val="nil"/>
                  </w:tcBorders>
                  <w:shd w:val="clear" w:color="auto" w:fill="auto"/>
                  <w:noWrap/>
                  <w:vAlign w:val="bottom"/>
                  <w:hideMark/>
                </w:tcPr>
                <w:p w14:paraId="2B670213"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Min</w:t>
                  </w:r>
                </w:p>
              </w:tc>
              <w:tc>
                <w:tcPr>
                  <w:tcW w:w="1368" w:type="dxa"/>
                  <w:tcBorders>
                    <w:top w:val="single" w:sz="4" w:space="0" w:color="auto"/>
                    <w:left w:val="nil"/>
                    <w:bottom w:val="single" w:sz="4" w:space="0" w:color="auto"/>
                    <w:right w:val="nil"/>
                  </w:tcBorders>
                  <w:shd w:val="clear" w:color="auto" w:fill="auto"/>
                  <w:noWrap/>
                  <w:vAlign w:val="bottom"/>
                  <w:hideMark/>
                </w:tcPr>
                <w:p w14:paraId="29C75FB5"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10%</w:t>
                  </w:r>
                </w:p>
              </w:tc>
              <w:tc>
                <w:tcPr>
                  <w:tcW w:w="1368" w:type="dxa"/>
                  <w:tcBorders>
                    <w:top w:val="single" w:sz="4" w:space="0" w:color="auto"/>
                    <w:left w:val="nil"/>
                    <w:bottom w:val="single" w:sz="4" w:space="0" w:color="auto"/>
                    <w:right w:val="nil"/>
                  </w:tcBorders>
                  <w:shd w:val="clear" w:color="auto" w:fill="auto"/>
                  <w:noWrap/>
                  <w:vAlign w:val="bottom"/>
                  <w:hideMark/>
                </w:tcPr>
                <w:p w14:paraId="60AF5D32"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90%</w:t>
                  </w:r>
                </w:p>
              </w:tc>
              <w:tc>
                <w:tcPr>
                  <w:tcW w:w="1368" w:type="dxa"/>
                  <w:tcBorders>
                    <w:top w:val="single" w:sz="4" w:space="0" w:color="auto"/>
                    <w:left w:val="nil"/>
                    <w:bottom w:val="single" w:sz="4" w:space="0" w:color="auto"/>
                    <w:right w:val="nil"/>
                  </w:tcBorders>
                  <w:shd w:val="clear" w:color="auto" w:fill="auto"/>
                  <w:noWrap/>
                  <w:vAlign w:val="bottom"/>
                  <w:hideMark/>
                </w:tcPr>
                <w:p w14:paraId="42973B14" w14:textId="77777777" w:rsidR="00805C42" w:rsidRPr="00EA7C95" w:rsidRDefault="00805C42" w:rsidP="0024312A">
                  <w:pPr>
                    <w:widowControl w:val="0"/>
                    <w:adjustRightInd w:val="0"/>
                    <w:snapToGrid w:val="0"/>
                    <w:spacing w:after="0" w:line="240" w:lineRule="auto"/>
                    <w:jc w:val="center"/>
                    <w:rPr>
                      <w:rFonts w:ascii="Times New Roman" w:hAnsi="Times New Roman" w:cs="Times New Roman"/>
                      <w:color w:val="000000"/>
                      <w:lang w:val="en-AU"/>
                    </w:rPr>
                  </w:pPr>
                  <w:r w:rsidRPr="00EA7C95">
                    <w:rPr>
                      <w:rFonts w:ascii="Times New Roman" w:hAnsi="Times New Roman" w:cs="Times New Roman"/>
                      <w:color w:val="000000"/>
                      <w:lang w:val="en-AU"/>
                    </w:rPr>
                    <w:t>Max</w:t>
                  </w:r>
                </w:p>
              </w:tc>
            </w:tr>
            <w:tr w:rsidR="00805C42" w:rsidRPr="00EA7C95" w14:paraId="17B7D6FB" w14:textId="77777777" w:rsidTr="0024312A">
              <w:tc>
                <w:tcPr>
                  <w:tcW w:w="1843" w:type="dxa"/>
                  <w:tcBorders>
                    <w:top w:val="single" w:sz="4" w:space="0" w:color="auto"/>
                    <w:left w:val="nil"/>
                    <w:bottom w:val="nil"/>
                    <w:right w:val="nil"/>
                  </w:tcBorders>
                  <w:shd w:val="clear" w:color="auto" w:fill="auto"/>
                  <w:noWrap/>
                  <w:vAlign w:val="bottom"/>
                  <w:hideMark/>
                </w:tcPr>
                <w:p w14:paraId="3E52259C"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C</w:t>
                  </w:r>
                  <w:r w:rsidRPr="00EA7C95">
                    <w:rPr>
                      <w:rFonts w:ascii="Times New Roman" w:hAnsi="Times New Roman" w:cs="Times New Roman"/>
                      <w:i/>
                      <w:color w:val="000000"/>
                      <w:vertAlign w:val="subscript"/>
                      <w:lang w:val="en-AU"/>
                    </w:rPr>
                    <w:t>latest</w:t>
                  </w:r>
                </w:p>
              </w:tc>
              <w:tc>
                <w:tcPr>
                  <w:tcW w:w="1096" w:type="dxa"/>
                  <w:tcBorders>
                    <w:top w:val="single" w:sz="4" w:space="0" w:color="auto"/>
                    <w:left w:val="nil"/>
                    <w:bottom w:val="nil"/>
                    <w:right w:val="nil"/>
                  </w:tcBorders>
                  <w:shd w:val="clear" w:color="auto" w:fill="auto"/>
                  <w:noWrap/>
                  <w:vAlign w:val="bottom"/>
                  <w:hideMark/>
                </w:tcPr>
                <w:p w14:paraId="7079AF2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152,148</w:t>
                  </w:r>
                </w:p>
              </w:tc>
              <w:tc>
                <w:tcPr>
                  <w:tcW w:w="1368" w:type="dxa"/>
                  <w:tcBorders>
                    <w:top w:val="single" w:sz="4" w:space="0" w:color="auto"/>
                    <w:left w:val="nil"/>
                    <w:bottom w:val="nil"/>
                    <w:right w:val="nil"/>
                  </w:tcBorders>
                  <w:shd w:val="clear" w:color="auto" w:fill="auto"/>
                  <w:noWrap/>
                  <w:vAlign w:val="bottom"/>
                  <w:hideMark/>
                </w:tcPr>
                <w:p w14:paraId="07426BE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151,846</w:t>
                  </w:r>
                </w:p>
              </w:tc>
              <w:tc>
                <w:tcPr>
                  <w:tcW w:w="1368" w:type="dxa"/>
                  <w:tcBorders>
                    <w:top w:val="single" w:sz="4" w:space="0" w:color="auto"/>
                    <w:left w:val="nil"/>
                    <w:bottom w:val="nil"/>
                    <w:right w:val="nil"/>
                  </w:tcBorders>
                  <w:shd w:val="clear" w:color="auto" w:fill="auto"/>
                  <w:noWrap/>
                  <w:vAlign w:val="bottom"/>
                  <w:hideMark/>
                </w:tcPr>
                <w:p w14:paraId="1A33327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148,888</w:t>
                  </w:r>
                </w:p>
              </w:tc>
              <w:tc>
                <w:tcPr>
                  <w:tcW w:w="1368" w:type="dxa"/>
                  <w:tcBorders>
                    <w:top w:val="single" w:sz="4" w:space="0" w:color="auto"/>
                    <w:left w:val="nil"/>
                    <w:bottom w:val="nil"/>
                    <w:right w:val="nil"/>
                  </w:tcBorders>
                  <w:shd w:val="clear" w:color="auto" w:fill="auto"/>
                  <w:noWrap/>
                  <w:vAlign w:val="bottom"/>
                  <w:hideMark/>
                </w:tcPr>
                <w:p w14:paraId="392326F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148,936</w:t>
                  </w:r>
                </w:p>
              </w:tc>
              <w:tc>
                <w:tcPr>
                  <w:tcW w:w="1368" w:type="dxa"/>
                  <w:tcBorders>
                    <w:top w:val="single" w:sz="4" w:space="0" w:color="auto"/>
                    <w:left w:val="nil"/>
                    <w:bottom w:val="nil"/>
                    <w:right w:val="nil"/>
                  </w:tcBorders>
                  <w:shd w:val="clear" w:color="auto" w:fill="auto"/>
                  <w:noWrap/>
                  <w:vAlign w:val="bottom"/>
                  <w:hideMark/>
                </w:tcPr>
                <w:p w14:paraId="149AAC9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154,971</w:t>
                  </w:r>
                </w:p>
              </w:tc>
              <w:tc>
                <w:tcPr>
                  <w:tcW w:w="1368" w:type="dxa"/>
                  <w:tcBorders>
                    <w:top w:val="single" w:sz="4" w:space="0" w:color="auto"/>
                    <w:left w:val="nil"/>
                    <w:bottom w:val="nil"/>
                    <w:right w:val="nil"/>
                  </w:tcBorders>
                  <w:shd w:val="clear" w:color="auto" w:fill="auto"/>
                  <w:noWrap/>
                  <w:vAlign w:val="bottom"/>
                  <w:hideMark/>
                </w:tcPr>
                <w:p w14:paraId="0CDD0FE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155,577</w:t>
                  </w:r>
                </w:p>
              </w:tc>
            </w:tr>
            <w:tr w:rsidR="00805C42" w:rsidRPr="00EA7C95" w14:paraId="7BF13B74" w14:textId="77777777" w:rsidTr="0024312A">
              <w:tc>
                <w:tcPr>
                  <w:tcW w:w="1843" w:type="dxa"/>
                  <w:tcBorders>
                    <w:top w:val="nil"/>
                    <w:left w:val="nil"/>
                    <w:bottom w:val="nil"/>
                    <w:right w:val="nil"/>
                  </w:tcBorders>
                  <w:shd w:val="clear" w:color="auto" w:fill="auto"/>
                  <w:noWrap/>
                  <w:vAlign w:val="bottom"/>
                  <w:hideMark/>
                </w:tcPr>
                <w:p w14:paraId="02BF084B"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YF</w:t>
                  </w:r>
                  <w:r w:rsidRPr="00EA7C95">
                    <w:rPr>
                      <w:rFonts w:ascii="Times New Roman" w:hAnsi="Times New Roman" w:cs="Times New Roman"/>
                      <w:i/>
                      <w:color w:val="000000"/>
                      <w:vertAlign w:val="subscript"/>
                      <w:lang w:val="en-AU"/>
                    </w:rPr>
                    <w:t>recent</w:t>
                  </w:r>
                </w:p>
              </w:tc>
              <w:tc>
                <w:tcPr>
                  <w:tcW w:w="1096" w:type="dxa"/>
                  <w:tcBorders>
                    <w:top w:val="nil"/>
                    <w:left w:val="nil"/>
                    <w:bottom w:val="nil"/>
                    <w:right w:val="nil"/>
                  </w:tcBorders>
                  <w:shd w:val="clear" w:color="auto" w:fill="auto"/>
                  <w:noWrap/>
                  <w:vAlign w:val="bottom"/>
                  <w:hideMark/>
                </w:tcPr>
                <w:p w14:paraId="75ADE60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154,180</w:t>
                  </w:r>
                </w:p>
              </w:tc>
              <w:tc>
                <w:tcPr>
                  <w:tcW w:w="1368" w:type="dxa"/>
                  <w:tcBorders>
                    <w:top w:val="nil"/>
                    <w:left w:val="nil"/>
                    <w:bottom w:val="nil"/>
                    <w:right w:val="nil"/>
                  </w:tcBorders>
                  <w:shd w:val="clear" w:color="auto" w:fill="auto"/>
                  <w:noWrap/>
                  <w:vAlign w:val="bottom"/>
                  <w:hideMark/>
                </w:tcPr>
                <w:p w14:paraId="2B5FABD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153,220</w:t>
                  </w:r>
                </w:p>
              </w:tc>
              <w:tc>
                <w:tcPr>
                  <w:tcW w:w="1368" w:type="dxa"/>
                  <w:tcBorders>
                    <w:top w:val="nil"/>
                    <w:left w:val="nil"/>
                    <w:bottom w:val="nil"/>
                    <w:right w:val="nil"/>
                  </w:tcBorders>
                  <w:shd w:val="clear" w:color="auto" w:fill="auto"/>
                  <w:noWrap/>
                  <w:vAlign w:val="bottom"/>
                  <w:hideMark/>
                </w:tcPr>
                <w:p w14:paraId="105102B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133</w:t>
                  </w:r>
                  <w:r w:rsidRPr="00EA7C95">
                    <w:rPr>
                      <w:rFonts w:ascii="Times New Roman" w:hAnsi="Times New Roman" w:cs="Times New Roman"/>
                      <w:color w:val="000000"/>
                      <w:lang w:val="en-AU"/>
                    </w:rPr>
                    <w:t>,120</w:t>
                  </w:r>
                </w:p>
              </w:tc>
              <w:tc>
                <w:tcPr>
                  <w:tcW w:w="1368" w:type="dxa"/>
                  <w:tcBorders>
                    <w:top w:val="nil"/>
                    <w:left w:val="nil"/>
                    <w:bottom w:val="nil"/>
                    <w:right w:val="nil"/>
                  </w:tcBorders>
                  <w:shd w:val="clear" w:color="auto" w:fill="auto"/>
                  <w:noWrap/>
                  <w:vAlign w:val="bottom"/>
                  <w:hideMark/>
                </w:tcPr>
                <w:p w14:paraId="0EE31B7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141,140</w:t>
                  </w:r>
                </w:p>
              </w:tc>
              <w:tc>
                <w:tcPr>
                  <w:tcW w:w="1368" w:type="dxa"/>
                  <w:tcBorders>
                    <w:top w:val="nil"/>
                    <w:left w:val="nil"/>
                    <w:bottom w:val="nil"/>
                    <w:right w:val="nil"/>
                  </w:tcBorders>
                  <w:shd w:val="clear" w:color="auto" w:fill="auto"/>
                  <w:noWrap/>
                  <w:vAlign w:val="bottom"/>
                  <w:hideMark/>
                </w:tcPr>
                <w:p w14:paraId="39A1D2B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170,720</w:t>
                  </w:r>
                </w:p>
              </w:tc>
              <w:tc>
                <w:tcPr>
                  <w:tcW w:w="1368" w:type="dxa"/>
                  <w:tcBorders>
                    <w:top w:val="nil"/>
                    <w:left w:val="nil"/>
                    <w:bottom w:val="nil"/>
                    <w:right w:val="nil"/>
                  </w:tcBorders>
                  <w:shd w:val="clear" w:color="auto" w:fill="auto"/>
                  <w:noWrap/>
                  <w:vAlign w:val="bottom"/>
                  <w:hideMark/>
                </w:tcPr>
                <w:p w14:paraId="101E781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172,280</w:t>
                  </w:r>
                </w:p>
              </w:tc>
            </w:tr>
            <w:tr w:rsidR="00805C42" w:rsidRPr="00EA7C95" w14:paraId="4C2AF686" w14:textId="77777777" w:rsidTr="0024312A">
              <w:tc>
                <w:tcPr>
                  <w:tcW w:w="1843" w:type="dxa"/>
                  <w:tcBorders>
                    <w:top w:val="nil"/>
                    <w:left w:val="nil"/>
                    <w:bottom w:val="nil"/>
                    <w:right w:val="nil"/>
                  </w:tcBorders>
                  <w:shd w:val="clear" w:color="auto" w:fill="auto"/>
                  <w:noWrap/>
                  <w:vAlign w:val="bottom"/>
                  <w:hideMark/>
                </w:tcPr>
                <w:p w14:paraId="7082C713"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eastAsia="Times New Roman" w:hAnsi="Times New Roman" w:cs="Times New Roman"/>
                      <w:i/>
                      <w:iCs/>
                      <w:color w:val="000000"/>
                      <w:lang w:val="en-AU" w:eastAsia="en-AU"/>
                    </w:rPr>
                    <w:t>f</w:t>
                  </w:r>
                  <w:r w:rsidRPr="00EA7C95">
                    <w:rPr>
                      <w:rFonts w:ascii="Times New Roman" w:eastAsia="Times New Roman" w:hAnsi="Times New Roman" w:cs="Times New Roman"/>
                      <w:i/>
                      <w:iCs/>
                      <w:color w:val="000000"/>
                      <w:vertAlign w:val="subscript"/>
                      <w:lang w:val="en-AU" w:eastAsia="en-AU"/>
                    </w:rPr>
                    <w:t>mult</w:t>
                  </w:r>
                </w:p>
              </w:tc>
              <w:tc>
                <w:tcPr>
                  <w:tcW w:w="1096" w:type="dxa"/>
                  <w:tcBorders>
                    <w:top w:val="nil"/>
                    <w:left w:val="nil"/>
                    <w:bottom w:val="nil"/>
                    <w:right w:val="nil"/>
                  </w:tcBorders>
                  <w:shd w:val="clear" w:color="auto" w:fill="auto"/>
                  <w:noWrap/>
                  <w:vAlign w:val="bottom"/>
                  <w:hideMark/>
                </w:tcPr>
                <w:p w14:paraId="641C208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1.291</w:t>
                  </w:r>
                </w:p>
              </w:tc>
              <w:tc>
                <w:tcPr>
                  <w:tcW w:w="1368" w:type="dxa"/>
                  <w:tcBorders>
                    <w:top w:val="nil"/>
                    <w:left w:val="nil"/>
                    <w:bottom w:val="nil"/>
                    <w:right w:val="nil"/>
                  </w:tcBorders>
                  <w:shd w:val="clear" w:color="auto" w:fill="auto"/>
                  <w:noWrap/>
                  <w:vAlign w:val="bottom"/>
                  <w:hideMark/>
                </w:tcPr>
                <w:p w14:paraId="2617F7C4"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1.301</w:t>
                  </w:r>
                </w:p>
              </w:tc>
              <w:tc>
                <w:tcPr>
                  <w:tcW w:w="1368" w:type="dxa"/>
                  <w:tcBorders>
                    <w:top w:val="nil"/>
                    <w:left w:val="nil"/>
                    <w:bottom w:val="nil"/>
                    <w:right w:val="nil"/>
                  </w:tcBorders>
                  <w:shd w:val="clear" w:color="auto" w:fill="auto"/>
                  <w:noWrap/>
                  <w:vAlign w:val="bottom"/>
                  <w:hideMark/>
                </w:tcPr>
                <w:p w14:paraId="0088DA3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0.946</w:t>
                  </w:r>
                </w:p>
              </w:tc>
              <w:tc>
                <w:tcPr>
                  <w:tcW w:w="1368" w:type="dxa"/>
                  <w:tcBorders>
                    <w:top w:val="nil"/>
                    <w:left w:val="nil"/>
                    <w:bottom w:val="nil"/>
                    <w:right w:val="nil"/>
                  </w:tcBorders>
                  <w:shd w:val="clear" w:color="auto" w:fill="auto"/>
                  <w:noWrap/>
                  <w:vAlign w:val="bottom"/>
                  <w:hideMark/>
                </w:tcPr>
                <w:p w14:paraId="1D27684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1.075</w:t>
                  </w:r>
                </w:p>
              </w:tc>
              <w:tc>
                <w:tcPr>
                  <w:tcW w:w="1368" w:type="dxa"/>
                  <w:tcBorders>
                    <w:top w:val="nil"/>
                    <w:left w:val="nil"/>
                    <w:bottom w:val="nil"/>
                    <w:right w:val="nil"/>
                  </w:tcBorders>
                  <w:shd w:val="clear" w:color="auto" w:fill="auto"/>
                  <w:noWrap/>
                  <w:vAlign w:val="bottom"/>
                  <w:hideMark/>
                </w:tcPr>
                <w:p w14:paraId="0BD8943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1.499</w:t>
                  </w:r>
                </w:p>
              </w:tc>
              <w:tc>
                <w:tcPr>
                  <w:tcW w:w="1368" w:type="dxa"/>
                  <w:tcBorders>
                    <w:top w:val="nil"/>
                    <w:left w:val="nil"/>
                    <w:bottom w:val="nil"/>
                    <w:right w:val="nil"/>
                  </w:tcBorders>
                  <w:shd w:val="clear" w:color="auto" w:fill="auto"/>
                  <w:noWrap/>
                  <w:vAlign w:val="bottom"/>
                  <w:hideMark/>
                </w:tcPr>
                <w:p w14:paraId="0EBB8D5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1.690</w:t>
                  </w:r>
                </w:p>
              </w:tc>
            </w:tr>
            <w:tr w:rsidR="00805C42" w:rsidRPr="00EA7C95" w14:paraId="47DDD2C7" w14:textId="77777777" w:rsidTr="0024312A">
              <w:tc>
                <w:tcPr>
                  <w:tcW w:w="1843" w:type="dxa"/>
                  <w:tcBorders>
                    <w:top w:val="nil"/>
                    <w:left w:val="nil"/>
                    <w:bottom w:val="nil"/>
                    <w:right w:val="nil"/>
                  </w:tcBorders>
                  <w:shd w:val="clear" w:color="auto" w:fill="auto"/>
                  <w:noWrap/>
                  <w:vAlign w:val="bottom"/>
                  <w:hideMark/>
                </w:tcPr>
                <w:p w14:paraId="27404AAF"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F</w:t>
                  </w:r>
                  <w:r w:rsidRPr="00EA7C95">
                    <w:rPr>
                      <w:rFonts w:ascii="Times New Roman" w:hAnsi="Times New Roman" w:cs="Times New Roman"/>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687DEF3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0.050</w:t>
                  </w:r>
                </w:p>
              </w:tc>
              <w:tc>
                <w:tcPr>
                  <w:tcW w:w="1368" w:type="dxa"/>
                  <w:tcBorders>
                    <w:top w:val="nil"/>
                    <w:left w:val="nil"/>
                    <w:bottom w:val="nil"/>
                    <w:right w:val="nil"/>
                  </w:tcBorders>
                  <w:shd w:val="clear" w:color="auto" w:fill="auto"/>
                  <w:noWrap/>
                  <w:vAlign w:val="bottom"/>
                  <w:hideMark/>
                </w:tcPr>
                <w:p w14:paraId="424E1FE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0.049</w:t>
                  </w:r>
                </w:p>
              </w:tc>
              <w:tc>
                <w:tcPr>
                  <w:tcW w:w="1368" w:type="dxa"/>
                  <w:tcBorders>
                    <w:top w:val="nil"/>
                    <w:left w:val="nil"/>
                    <w:bottom w:val="nil"/>
                    <w:right w:val="nil"/>
                  </w:tcBorders>
                  <w:shd w:val="clear" w:color="auto" w:fill="auto"/>
                  <w:noWrap/>
                  <w:vAlign w:val="bottom"/>
                  <w:hideMark/>
                </w:tcPr>
                <w:p w14:paraId="4A2B2A2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044</w:t>
                  </w:r>
                </w:p>
              </w:tc>
              <w:tc>
                <w:tcPr>
                  <w:tcW w:w="1368" w:type="dxa"/>
                  <w:tcBorders>
                    <w:top w:val="nil"/>
                    <w:left w:val="nil"/>
                    <w:bottom w:val="nil"/>
                    <w:right w:val="nil"/>
                  </w:tcBorders>
                  <w:shd w:val="clear" w:color="auto" w:fill="auto"/>
                  <w:noWrap/>
                  <w:vAlign w:val="bottom"/>
                  <w:hideMark/>
                </w:tcPr>
                <w:p w14:paraId="74FDD5D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045</w:t>
                  </w:r>
                </w:p>
              </w:tc>
              <w:tc>
                <w:tcPr>
                  <w:tcW w:w="1368" w:type="dxa"/>
                  <w:tcBorders>
                    <w:top w:val="nil"/>
                    <w:left w:val="nil"/>
                    <w:bottom w:val="nil"/>
                    <w:right w:val="nil"/>
                  </w:tcBorders>
                  <w:shd w:val="clear" w:color="auto" w:fill="auto"/>
                  <w:noWrap/>
                  <w:vAlign w:val="bottom"/>
                  <w:hideMark/>
                </w:tcPr>
                <w:p w14:paraId="49017C9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0.054</w:t>
                  </w:r>
                </w:p>
              </w:tc>
              <w:tc>
                <w:tcPr>
                  <w:tcW w:w="1368" w:type="dxa"/>
                  <w:tcBorders>
                    <w:top w:val="nil"/>
                    <w:left w:val="nil"/>
                    <w:bottom w:val="nil"/>
                    <w:right w:val="nil"/>
                  </w:tcBorders>
                  <w:shd w:val="clear" w:color="auto" w:fill="auto"/>
                  <w:noWrap/>
                  <w:vAlign w:val="bottom"/>
                  <w:hideMark/>
                </w:tcPr>
                <w:p w14:paraId="59164EE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0.056</w:t>
                  </w:r>
                </w:p>
              </w:tc>
            </w:tr>
            <w:tr w:rsidR="00805C42" w:rsidRPr="00EA7C95" w14:paraId="2CE6FFE3" w14:textId="77777777" w:rsidTr="0024312A">
              <w:tc>
                <w:tcPr>
                  <w:tcW w:w="1843" w:type="dxa"/>
                  <w:tcBorders>
                    <w:top w:val="nil"/>
                    <w:left w:val="nil"/>
                    <w:bottom w:val="nil"/>
                    <w:right w:val="nil"/>
                  </w:tcBorders>
                  <w:shd w:val="clear" w:color="auto" w:fill="auto"/>
                  <w:noWrap/>
                  <w:vAlign w:val="bottom"/>
                  <w:hideMark/>
                </w:tcPr>
                <w:p w14:paraId="23EBF47C"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eastAsia="Times New Roman" w:hAnsi="Times New Roman" w:cs="Times New Roman"/>
                      <w:i/>
                      <w:color w:val="000000"/>
                      <w:lang w:val="en-AU" w:eastAsia="en-AU"/>
                    </w:rPr>
                    <w:t>MSY</w:t>
                  </w:r>
                </w:p>
              </w:tc>
              <w:tc>
                <w:tcPr>
                  <w:tcW w:w="1096" w:type="dxa"/>
                  <w:tcBorders>
                    <w:top w:val="nil"/>
                    <w:left w:val="nil"/>
                    <w:bottom w:val="nil"/>
                    <w:right w:val="nil"/>
                  </w:tcBorders>
                  <w:shd w:val="clear" w:color="auto" w:fill="auto"/>
                  <w:noWrap/>
                  <w:vAlign w:val="bottom"/>
                  <w:hideMark/>
                </w:tcPr>
                <w:p w14:paraId="2E0F0AD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158,551</w:t>
                  </w:r>
                </w:p>
              </w:tc>
              <w:tc>
                <w:tcPr>
                  <w:tcW w:w="1368" w:type="dxa"/>
                  <w:tcBorders>
                    <w:top w:val="nil"/>
                    <w:left w:val="nil"/>
                    <w:bottom w:val="nil"/>
                    <w:right w:val="nil"/>
                  </w:tcBorders>
                  <w:shd w:val="clear" w:color="auto" w:fill="auto"/>
                  <w:noWrap/>
                  <w:vAlign w:val="bottom"/>
                  <w:hideMark/>
                </w:tcPr>
                <w:p w14:paraId="1220CDF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159,020</w:t>
                  </w:r>
                </w:p>
              </w:tc>
              <w:tc>
                <w:tcPr>
                  <w:tcW w:w="1368" w:type="dxa"/>
                  <w:tcBorders>
                    <w:top w:val="nil"/>
                    <w:left w:val="nil"/>
                    <w:bottom w:val="nil"/>
                    <w:right w:val="nil"/>
                  </w:tcBorders>
                  <w:shd w:val="clear" w:color="auto" w:fill="auto"/>
                  <w:noWrap/>
                  <w:vAlign w:val="bottom"/>
                  <w:hideMark/>
                </w:tcPr>
                <w:p w14:paraId="0F8AB5C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133,520</w:t>
                  </w:r>
                </w:p>
              </w:tc>
              <w:tc>
                <w:tcPr>
                  <w:tcW w:w="1368" w:type="dxa"/>
                  <w:tcBorders>
                    <w:top w:val="nil"/>
                    <w:left w:val="nil"/>
                    <w:bottom w:val="nil"/>
                    <w:right w:val="nil"/>
                  </w:tcBorders>
                  <w:shd w:val="clear" w:color="auto" w:fill="auto"/>
                  <w:noWrap/>
                  <w:vAlign w:val="bottom"/>
                  <w:hideMark/>
                </w:tcPr>
                <w:p w14:paraId="576D6C56"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143,040</w:t>
                  </w:r>
                </w:p>
              </w:tc>
              <w:tc>
                <w:tcPr>
                  <w:tcW w:w="1368" w:type="dxa"/>
                  <w:tcBorders>
                    <w:top w:val="nil"/>
                    <w:left w:val="nil"/>
                    <w:bottom w:val="nil"/>
                    <w:right w:val="nil"/>
                  </w:tcBorders>
                  <w:shd w:val="clear" w:color="auto" w:fill="auto"/>
                  <w:noWrap/>
                  <w:vAlign w:val="bottom"/>
                  <w:hideMark/>
                </w:tcPr>
                <w:p w14:paraId="1BE20A8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173,880</w:t>
                  </w:r>
                </w:p>
              </w:tc>
              <w:tc>
                <w:tcPr>
                  <w:tcW w:w="1368" w:type="dxa"/>
                  <w:tcBorders>
                    <w:top w:val="nil"/>
                    <w:left w:val="nil"/>
                    <w:bottom w:val="nil"/>
                    <w:right w:val="nil"/>
                  </w:tcBorders>
                  <w:shd w:val="clear" w:color="auto" w:fill="auto"/>
                  <w:noWrap/>
                  <w:vAlign w:val="bottom"/>
                  <w:hideMark/>
                </w:tcPr>
                <w:p w14:paraId="49BB2E2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180,120</w:t>
                  </w:r>
                </w:p>
              </w:tc>
            </w:tr>
            <w:tr w:rsidR="00805C42" w:rsidRPr="00EA7C95" w14:paraId="67963D3F" w14:textId="77777777" w:rsidTr="0024312A">
              <w:tc>
                <w:tcPr>
                  <w:tcW w:w="1843" w:type="dxa"/>
                  <w:tcBorders>
                    <w:top w:val="nil"/>
                    <w:left w:val="nil"/>
                    <w:bottom w:val="nil"/>
                    <w:right w:val="nil"/>
                  </w:tcBorders>
                  <w:shd w:val="clear" w:color="auto" w:fill="auto"/>
                  <w:noWrap/>
                  <w:vAlign w:val="bottom"/>
                  <w:hideMark/>
                </w:tcPr>
                <w:p w14:paraId="34F38042"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F</w:t>
                  </w:r>
                  <w:r w:rsidRPr="00EA7C95">
                    <w:rPr>
                      <w:rFonts w:ascii="Times New Roman" w:hAnsi="Times New Roman" w:cs="Times New Roman"/>
                      <w:i/>
                      <w:color w:val="000000"/>
                      <w:vertAlign w:val="subscript"/>
                      <w:lang w:val="en-AU"/>
                    </w:rPr>
                    <w:t>recent</w:t>
                  </w:r>
                  <w:r w:rsidRPr="00EA7C95">
                    <w:rPr>
                      <w:rFonts w:ascii="Times New Roman" w:hAnsi="Times New Roman" w:cs="Times New Roman"/>
                      <w:i/>
                      <w:color w:val="000000"/>
                      <w:lang w:val="en-AU"/>
                    </w:rPr>
                    <w:t>/F</w:t>
                  </w:r>
                  <w:r w:rsidRPr="00EA7C95">
                    <w:rPr>
                      <w:rFonts w:ascii="Times New Roman" w:hAnsi="Times New Roman" w:cs="Times New Roman"/>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7C8C20D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789</w:t>
                  </w:r>
                </w:p>
              </w:tc>
              <w:tc>
                <w:tcPr>
                  <w:tcW w:w="1368" w:type="dxa"/>
                  <w:tcBorders>
                    <w:top w:val="nil"/>
                    <w:left w:val="nil"/>
                    <w:bottom w:val="nil"/>
                    <w:right w:val="nil"/>
                  </w:tcBorders>
                  <w:shd w:val="clear" w:color="auto" w:fill="auto"/>
                  <w:noWrap/>
                  <w:vAlign w:val="bottom"/>
                  <w:hideMark/>
                </w:tcPr>
                <w:p w14:paraId="26D3DEA6"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768</w:t>
                  </w:r>
                </w:p>
              </w:tc>
              <w:tc>
                <w:tcPr>
                  <w:tcW w:w="1368" w:type="dxa"/>
                  <w:tcBorders>
                    <w:top w:val="nil"/>
                    <w:left w:val="nil"/>
                    <w:bottom w:val="nil"/>
                    <w:right w:val="nil"/>
                  </w:tcBorders>
                  <w:shd w:val="clear" w:color="auto" w:fill="auto"/>
                  <w:noWrap/>
                  <w:vAlign w:val="bottom"/>
                  <w:hideMark/>
                </w:tcPr>
                <w:p w14:paraId="29114F5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592</w:t>
                  </w:r>
                </w:p>
              </w:tc>
              <w:tc>
                <w:tcPr>
                  <w:tcW w:w="1368" w:type="dxa"/>
                  <w:tcBorders>
                    <w:top w:val="nil"/>
                    <w:left w:val="nil"/>
                    <w:bottom w:val="nil"/>
                    <w:right w:val="nil"/>
                  </w:tcBorders>
                  <w:shd w:val="clear" w:color="auto" w:fill="auto"/>
                  <w:noWrap/>
                  <w:vAlign w:val="bottom"/>
                  <w:hideMark/>
                </w:tcPr>
                <w:p w14:paraId="181E5A16"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667</w:t>
                  </w:r>
                </w:p>
              </w:tc>
              <w:tc>
                <w:tcPr>
                  <w:tcW w:w="1368" w:type="dxa"/>
                  <w:tcBorders>
                    <w:top w:val="nil"/>
                    <w:left w:val="nil"/>
                    <w:bottom w:val="nil"/>
                    <w:right w:val="nil"/>
                  </w:tcBorders>
                  <w:shd w:val="clear" w:color="auto" w:fill="auto"/>
                  <w:noWrap/>
                  <w:vAlign w:val="bottom"/>
                  <w:hideMark/>
                </w:tcPr>
                <w:p w14:paraId="5F72B36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0.931</w:t>
                  </w:r>
                </w:p>
              </w:tc>
              <w:tc>
                <w:tcPr>
                  <w:tcW w:w="1368" w:type="dxa"/>
                  <w:tcBorders>
                    <w:top w:val="nil"/>
                    <w:left w:val="nil"/>
                    <w:bottom w:val="nil"/>
                    <w:right w:val="nil"/>
                  </w:tcBorders>
                  <w:shd w:val="clear" w:color="auto" w:fill="auto"/>
                  <w:noWrap/>
                  <w:vAlign w:val="bottom"/>
                  <w:hideMark/>
                </w:tcPr>
                <w:p w14:paraId="4E59D6E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058</w:t>
                  </w:r>
                </w:p>
              </w:tc>
            </w:tr>
            <w:tr w:rsidR="00805C42" w:rsidRPr="00EA7C95" w14:paraId="070C7F97" w14:textId="77777777" w:rsidTr="0024312A">
              <w:tc>
                <w:tcPr>
                  <w:tcW w:w="1843" w:type="dxa"/>
                  <w:tcBorders>
                    <w:top w:val="nil"/>
                    <w:left w:val="nil"/>
                    <w:bottom w:val="nil"/>
                    <w:right w:val="nil"/>
                  </w:tcBorders>
                  <w:shd w:val="clear" w:color="auto" w:fill="auto"/>
                  <w:noWrap/>
                  <w:vAlign w:val="bottom"/>
                  <w:hideMark/>
                </w:tcPr>
                <w:p w14:paraId="09B89838"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vertAlign w:val="subscript"/>
                      <w:lang w:val="en-AU"/>
                    </w:rPr>
                  </w:pPr>
                  <w:r w:rsidRPr="00EA7C95">
                    <w:rPr>
                      <w:rFonts w:ascii="Times New Roman" w:eastAsia="Times New Roman" w:hAnsi="Times New Roman" w:cs="Times New Roman"/>
                      <w:i/>
                      <w:iCs/>
                      <w:color w:val="000000"/>
                      <w:lang w:val="en-AU" w:eastAsia="en-AU"/>
                    </w:rPr>
                    <w:t>SB</w:t>
                  </w:r>
                  <w:r w:rsidRPr="00EA7C95">
                    <w:rPr>
                      <w:rFonts w:ascii="Times New Roman" w:eastAsia="Times New Roman" w:hAnsi="Times New Roman" w:cs="Times New Roman"/>
                      <w:i/>
                      <w:iCs/>
                      <w:color w:val="000000"/>
                      <w:vertAlign w:val="subscript"/>
                      <w:lang w:val="en-AU" w:eastAsia="en-AU"/>
                    </w:rPr>
                    <w:t>0</w:t>
                  </w:r>
                </w:p>
              </w:tc>
              <w:tc>
                <w:tcPr>
                  <w:tcW w:w="1096" w:type="dxa"/>
                  <w:tcBorders>
                    <w:top w:val="nil"/>
                    <w:left w:val="nil"/>
                    <w:bottom w:val="nil"/>
                    <w:right w:val="nil"/>
                  </w:tcBorders>
                  <w:shd w:val="clear" w:color="auto" w:fill="auto"/>
                  <w:noWrap/>
                  <w:vAlign w:val="bottom"/>
                  <w:hideMark/>
                </w:tcPr>
                <w:p w14:paraId="09B45944"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1,674,833</w:t>
                  </w:r>
                </w:p>
              </w:tc>
              <w:tc>
                <w:tcPr>
                  <w:tcW w:w="1368" w:type="dxa"/>
                  <w:tcBorders>
                    <w:top w:val="nil"/>
                    <w:left w:val="nil"/>
                    <w:bottom w:val="nil"/>
                    <w:right w:val="nil"/>
                  </w:tcBorders>
                  <w:shd w:val="clear" w:color="auto" w:fill="auto"/>
                  <w:noWrap/>
                  <w:vAlign w:val="bottom"/>
                  <w:hideMark/>
                </w:tcPr>
                <w:p w14:paraId="66D12CA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1,675,500</w:t>
                  </w:r>
                </w:p>
              </w:tc>
              <w:tc>
                <w:tcPr>
                  <w:tcW w:w="1368" w:type="dxa"/>
                  <w:tcBorders>
                    <w:top w:val="nil"/>
                    <w:left w:val="nil"/>
                    <w:bottom w:val="nil"/>
                    <w:right w:val="nil"/>
                  </w:tcBorders>
                  <w:shd w:val="clear" w:color="auto" w:fill="auto"/>
                  <w:noWrap/>
                  <w:vAlign w:val="bottom"/>
                  <w:hideMark/>
                </w:tcPr>
                <w:p w14:paraId="01AB60F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1,261,000</w:t>
                  </w:r>
                </w:p>
              </w:tc>
              <w:tc>
                <w:tcPr>
                  <w:tcW w:w="1368" w:type="dxa"/>
                  <w:tcBorders>
                    <w:top w:val="nil"/>
                    <w:left w:val="nil"/>
                    <w:bottom w:val="nil"/>
                    <w:right w:val="nil"/>
                  </w:tcBorders>
                  <w:shd w:val="clear" w:color="auto" w:fill="auto"/>
                  <w:noWrap/>
                  <w:vAlign w:val="bottom"/>
                  <w:hideMark/>
                </w:tcPr>
                <w:p w14:paraId="26B4544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1,415,500</w:t>
                  </w:r>
                </w:p>
              </w:tc>
              <w:tc>
                <w:tcPr>
                  <w:tcW w:w="1368" w:type="dxa"/>
                  <w:tcBorders>
                    <w:top w:val="nil"/>
                    <w:left w:val="nil"/>
                    <w:bottom w:val="nil"/>
                    <w:right w:val="nil"/>
                  </w:tcBorders>
                  <w:shd w:val="clear" w:color="auto" w:fill="auto"/>
                  <w:noWrap/>
                  <w:vAlign w:val="bottom"/>
                  <w:hideMark/>
                </w:tcPr>
                <w:p w14:paraId="6F10F7A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1,941,000</w:t>
                  </w:r>
                </w:p>
              </w:tc>
              <w:tc>
                <w:tcPr>
                  <w:tcW w:w="1368" w:type="dxa"/>
                  <w:tcBorders>
                    <w:top w:val="nil"/>
                    <w:left w:val="nil"/>
                    <w:bottom w:val="nil"/>
                    <w:right w:val="nil"/>
                  </w:tcBorders>
                  <w:shd w:val="clear" w:color="auto" w:fill="auto"/>
                  <w:noWrap/>
                  <w:vAlign w:val="bottom"/>
                  <w:hideMark/>
                </w:tcPr>
                <w:p w14:paraId="78F917A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2,085</w:t>
                  </w:r>
                  <w:r w:rsidRPr="00EA7C95">
                    <w:rPr>
                      <w:rFonts w:ascii="Times New Roman" w:hAnsi="Times New Roman" w:cs="Times New Roman"/>
                      <w:color w:val="000000"/>
                      <w:lang w:val="en-AU"/>
                    </w:rPr>
                    <w:t>,000</w:t>
                  </w:r>
                </w:p>
              </w:tc>
            </w:tr>
            <w:tr w:rsidR="00805C42" w:rsidRPr="00EA7C95" w14:paraId="12B94127" w14:textId="77777777" w:rsidTr="0024312A">
              <w:tc>
                <w:tcPr>
                  <w:tcW w:w="1843" w:type="dxa"/>
                  <w:tcBorders>
                    <w:top w:val="nil"/>
                    <w:left w:val="nil"/>
                    <w:bottom w:val="nil"/>
                    <w:right w:val="nil"/>
                  </w:tcBorders>
                  <w:shd w:val="clear" w:color="auto" w:fill="auto"/>
                  <w:noWrap/>
                  <w:vAlign w:val="bottom"/>
                  <w:hideMark/>
                </w:tcPr>
                <w:p w14:paraId="05878054"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3A52BA08"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841,609</w:t>
                  </w:r>
                </w:p>
              </w:tc>
              <w:tc>
                <w:tcPr>
                  <w:tcW w:w="1368" w:type="dxa"/>
                  <w:tcBorders>
                    <w:top w:val="nil"/>
                    <w:left w:val="nil"/>
                    <w:bottom w:val="nil"/>
                    <w:right w:val="nil"/>
                  </w:tcBorders>
                  <w:shd w:val="clear" w:color="auto" w:fill="auto"/>
                  <w:noWrap/>
                  <w:vAlign w:val="bottom"/>
                  <w:hideMark/>
                </w:tcPr>
                <w:p w14:paraId="12B7A27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858,775</w:t>
                  </w:r>
                </w:p>
              </w:tc>
              <w:tc>
                <w:tcPr>
                  <w:tcW w:w="1368" w:type="dxa"/>
                  <w:tcBorders>
                    <w:top w:val="nil"/>
                    <w:left w:val="nil"/>
                    <w:bottom w:val="nil"/>
                    <w:right w:val="nil"/>
                  </w:tcBorders>
                  <w:shd w:val="clear" w:color="auto" w:fill="auto"/>
                  <w:noWrap/>
                  <w:vAlign w:val="bottom"/>
                  <w:hideMark/>
                </w:tcPr>
                <w:p w14:paraId="29E19098"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509,007</w:t>
                  </w:r>
                </w:p>
              </w:tc>
              <w:tc>
                <w:tcPr>
                  <w:tcW w:w="1368" w:type="dxa"/>
                  <w:tcBorders>
                    <w:top w:val="nil"/>
                    <w:left w:val="nil"/>
                    <w:bottom w:val="nil"/>
                    <w:right w:val="nil"/>
                  </w:tcBorders>
                  <w:shd w:val="clear" w:color="auto" w:fill="auto"/>
                  <w:noWrap/>
                  <w:vAlign w:val="bottom"/>
                  <w:hideMark/>
                </w:tcPr>
                <w:p w14:paraId="4D74E25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632,014</w:t>
                  </w:r>
                </w:p>
              </w:tc>
              <w:tc>
                <w:tcPr>
                  <w:tcW w:w="1368" w:type="dxa"/>
                  <w:tcBorders>
                    <w:top w:val="nil"/>
                    <w:left w:val="nil"/>
                    <w:bottom w:val="nil"/>
                    <w:right w:val="nil"/>
                  </w:tcBorders>
                  <w:shd w:val="clear" w:color="auto" w:fill="auto"/>
                  <w:noWrap/>
                  <w:vAlign w:val="bottom"/>
                  <w:hideMark/>
                </w:tcPr>
                <w:p w14:paraId="181D3779"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2,</w:t>
                  </w:r>
                  <w:r w:rsidRPr="00EA7C95">
                    <w:rPr>
                      <w:rFonts w:ascii="Times New Roman" w:eastAsia="Times New Roman" w:hAnsi="Times New Roman" w:cs="Times New Roman"/>
                      <w:color w:val="000000"/>
                      <w:lang w:val="en-AU" w:eastAsia="en-AU"/>
                    </w:rPr>
                    <w:t>043,108</w:t>
                  </w:r>
                </w:p>
              </w:tc>
              <w:tc>
                <w:tcPr>
                  <w:tcW w:w="1368" w:type="dxa"/>
                  <w:tcBorders>
                    <w:top w:val="nil"/>
                    <w:left w:val="nil"/>
                    <w:bottom w:val="nil"/>
                    <w:right w:val="nil"/>
                  </w:tcBorders>
                  <w:shd w:val="clear" w:color="auto" w:fill="auto"/>
                  <w:noWrap/>
                  <w:vAlign w:val="bottom"/>
                  <w:hideMark/>
                </w:tcPr>
                <w:p w14:paraId="33E5D21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2,</w:t>
                  </w:r>
                  <w:r w:rsidRPr="00EA7C95">
                    <w:rPr>
                      <w:rFonts w:ascii="Times New Roman" w:eastAsia="Times New Roman" w:hAnsi="Times New Roman" w:cs="Times New Roman"/>
                      <w:color w:val="000000"/>
                      <w:lang w:val="en-AU" w:eastAsia="en-AU"/>
                    </w:rPr>
                    <w:t>139,644</w:t>
                  </w:r>
                </w:p>
              </w:tc>
            </w:tr>
            <w:tr w:rsidR="00805C42" w:rsidRPr="00EA7C95" w14:paraId="0CFF956A" w14:textId="77777777" w:rsidTr="0024312A">
              <w:tc>
                <w:tcPr>
                  <w:tcW w:w="1843" w:type="dxa"/>
                  <w:tcBorders>
                    <w:top w:val="nil"/>
                    <w:left w:val="nil"/>
                    <w:bottom w:val="nil"/>
                    <w:right w:val="nil"/>
                  </w:tcBorders>
                  <w:shd w:val="clear" w:color="auto" w:fill="auto"/>
                  <w:noWrap/>
                  <w:vAlign w:val="bottom"/>
                  <w:hideMark/>
                </w:tcPr>
                <w:p w14:paraId="6805409E"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2C8CEA3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471,956</w:t>
                  </w:r>
                </w:p>
              </w:tc>
              <w:tc>
                <w:tcPr>
                  <w:tcW w:w="1368" w:type="dxa"/>
                  <w:tcBorders>
                    <w:top w:val="nil"/>
                    <w:left w:val="nil"/>
                    <w:bottom w:val="nil"/>
                    <w:right w:val="nil"/>
                  </w:tcBorders>
                  <w:shd w:val="clear" w:color="auto" w:fill="auto"/>
                  <w:noWrap/>
                  <w:vAlign w:val="bottom"/>
                  <w:hideMark/>
                </w:tcPr>
                <w:p w14:paraId="3502A470"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476,050</w:t>
                  </w:r>
                </w:p>
              </w:tc>
              <w:tc>
                <w:tcPr>
                  <w:tcW w:w="1368" w:type="dxa"/>
                  <w:tcBorders>
                    <w:top w:val="nil"/>
                    <w:left w:val="nil"/>
                    <w:bottom w:val="nil"/>
                    <w:right w:val="nil"/>
                  </w:tcBorders>
                  <w:shd w:val="clear" w:color="auto" w:fill="auto"/>
                  <w:noWrap/>
                  <w:vAlign w:val="bottom"/>
                  <w:hideMark/>
                </w:tcPr>
                <w:p w14:paraId="416B2FB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340,700</w:t>
                  </w:r>
                </w:p>
              </w:tc>
              <w:tc>
                <w:tcPr>
                  <w:tcW w:w="1368" w:type="dxa"/>
                  <w:tcBorders>
                    <w:top w:val="nil"/>
                    <w:left w:val="nil"/>
                    <w:bottom w:val="nil"/>
                    <w:right w:val="nil"/>
                  </w:tcBorders>
                  <w:shd w:val="clear" w:color="auto" w:fill="auto"/>
                  <w:noWrap/>
                  <w:vAlign w:val="bottom"/>
                  <w:hideMark/>
                </w:tcPr>
                <w:p w14:paraId="4812167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386,600</w:t>
                  </w:r>
                </w:p>
              </w:tc>
              <w:tc>
                <w:tcPr>
                  <w:tcW w:w="1368" w:type="dxa"/>
                  <w:tcBorders>
                    <w:top w:val="nil"/>
                    <w:left w:val="nil"/>
                    <w:bottom w:val="nil"/>
                    <w:right w:val="nil"/>
                  </w:tcBorders>
                  <w:shd w:val="clear" w:color="auto" w:fill="auto"/>
                  <w:noWrap/>
                  <w:vAlign w:val="bottom"/>
                  <w:hideMark/>
                </w:tcPr>
                <w:p w14:paraId="78F563D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577,400</w:t>
                  </w:r>
                </w:p>
              </w:tc>
              <w:tc>
                <w:tcPr>
                  <w:tcW w:w="1368" w:type="dxa"/>
                  <w:tcBorders>
                    <w:top w:val="nil"/>
                    <w:left w:val="nil"/>
                    <w:bottom w:val="nil"/>
                    <w:right w:val="nil"/>
                  </w:tcBorders>
                  <w:shd w:val="clear" w:color="auto" w:fill="auto"/>
                  <w:noWrap/>
                  <w:vAlign w:val="bottom"/>
                  <w:hideMark/>
                </w:tcPr>
                <w:p w14:paraId="790341C8"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614,200</w:t>
                  </w:r>
                </w:p>
              </w:tc>
            </w:tr>
            <w:tr w:rsidR="00805C42" w:rsidRPr="00EA7C95" w14:paraId="3E308E53" w14:textId="77777777" w:rsidTr="0024312A">
              <w:tc>
                <w:tcPr>
                  <w:tcW w:w="1843" w:type="dxa"/>
                  <w:tcBorders>
                    <w:top w:val="nil"/>
                    <w:left w:val="nil"/>
                    <w:bottom w:val="nil"/>
                    <w:right w:val="nil"/>
                  </w:tcBorders>
                  <w:shd w:val="clear" w:color="auto" w:fill="auto"/>
                  <w:noWrap/>
                  <w:vAlign w:val="bottom"/>
                  <w:hideMark/>
                </w:tcPr>
                <w:p w14:paraId="4413AB72"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MSY</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0</w:t>
                  </w:r>
                </w:p>
              </w:tc>
              <w:tc>
                <w:tcPr>
                  <w:tcW w:w="1096" w:type="dxa"/>
                  <w:tcBorders>
                    <w:top w:val="nil"/>
                    <w:left w:val="nil"/>
                    <w:bottom w:val="nil"/>
                    <w:right w:val="nil"/>
                  </w:tcBorders>
                  <w:shd w:val="clear" w:color="auto" w:fill="auto"/>
                  <w:noWrap/>
                  <w:vAlign w:val="bottom"/>
                  <w:hideMark/>
                </w:tcPr>
                <w:p w14:paraId="41A5072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0.281</w:t>
                  </w:r>
                </w:p>
              </w:tc>
              <w:tc>
                <w:tcPr>
                  <w:tcW w:w="1368" w:type="dxa"/>
                  <w:tcBorders>
                    <w:top w:val="nil"/>
                    <w:left w:val="nil"/>
                    <w:bottom w:val="nil"/>
                    <w:right w:val="nil"/>
                  </w:tcBorders>
                  <w:shd w:val="clear" w:color="auto" w:fill="auto"/>
                  <w:noWrap/>
                  <w:vAlign w:val="bottom"/>
                  <w:hideMark/>
                </w:tcPr>
                <w:p w14:paraId="730F919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0.280</w:t>
                  </w:r>
                </w:p>
              </w:tc>
              <w:tc>
                <w:tcPr>
                  <w:tcW w:w="1368" w:type="dxa"/>
                  <w:tcBorders>
                    <w:top w:val="nil"/>
                    <w:left w:val="nil"/>
                    <w:bottom w:val="nil"/>
                    <w:right w:val="nil"/>
                  </w:tcBorders>
                  <w:shd w:val="clear" w:color="auto" w:fill="auto"/>
                  <w:noWrap/>
                  <w:vAlign w:val="bottom"/>
                  <w:hideMark/>
                </w:tcPr>
                <w:p w14:paraId="37506F4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0.260</w:t>
                  </w:r>
                </w:p>
              </w:tc>
              <w:tc>
                <w:tcPr>
                  <w:tcW w:w="1368" w:type="dxa"/>
                  <w:tcBorders>
                    <w:top w:val="nil"/>
                    <w:left w:val="nil"/>
                    <w:bottom w:val="nil"/>
                    <w:right w:val="nil"/>
                  </w:tcBorders>
                  <w:shd w:val="clear" w:color="auto" w:fill="auto"/>
                  <w:noWrap/>
                  <w:vAlign w:val="bottom"/>
                  <w:hideMark/>
                </w:tcPr>
                <w:p w14:paraId="23CA87C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0.262</w:t>
                  </w:r>
                </w:p>
              </w:tc>
              <w:tc>
                <w:tcPr>
                  <w:tcW w:w="1368" w:type="dxa"/>
                  <w:tcBorders>
                    <w:top w:val="nil"/>
                    <w:left w:val="nil"/>
                    <w:bottom w:val="nil"/>
                    <w:right w:val="nil"/>
                  </w:tcBorders>
                  <w:shd w:val="clear" w:color="auto" w:fill="auto"/>
                  <w:noWrap/>
                  <w:vAlign w:val="bottom"/>
                  <w:hideMark/>
                </w:tcPr>
                <w:p w14:paraId="2BC6EC74"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0.300</w:t>
                  </w:r>
                </w:p>
              </w:tc>
              <w:tc>
                <w:tcPr>
                  <w:tcW w:w="1368" w:type="dxa"/>
                  <w:tcBorders>
                    <w:top w:val="nil"/>
                    <w:left w:val="nil"/>
                    <w:bottom w:val="nil"/>
                    <w:right w:val="nil"/>
                  </w:tcBorders>
                  <w:shd w:val="clear" w:color="auto" w:fill="auto"/>
                  <w:noWrap/>
                  <w:vAlign w:val="bottom"/>
                  <w:hideMark/>
                </w:tcPr>
                <w:p w14:paraId="0969E2D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0.302</w:t>
                  </w:r>
                </w:p>
              </w:tc>
            </w:tr>
            <w:tr w:rsidR="00805C42" w:rsidRPr="00EA7C95" w14:paraId="274C7DEF" w14:textId="77777777" w:rsidTr="0024312A">
              <w:tc>
                <w:tcPr>
                  <w:tcW w:w="1843" w:type="dxa"/>
                  <w:tcBorders>
                    <w:top w:val="nil"/>
                    <w:left w:val="nil"/>
                    <w:bottom w:val="nil"/>
                    <w:right w:val="nil"/>
                  </w:tcBorders>
                  <w:shd w:val="clear" w:color="auto" w:fill="auto"/>
                  <w:noWrap/>
                  <w:vAlign w:val="bottom"/>
                  <w:hideMark/>
                </w:tcPr>
                <w:p w14:paraId="67D0EAC7"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MSY</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54CBD25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255</w:t>
                  </w:r>
                </w:p>
              </w:tc>
              <w:tc>
                <w:tcPr>
                  <w:tcW w:w="1368" w:type="dxa"/>
                  <w:tcBorders>
                    <w:top w:val="nil"/>
                    <w:left w:val="nil"/>
                    <w:bottom w:val="nil"/>
                    <w:right w:val="nil"/>
                  </w:tcBorders>
                  <w:shd w:val="clear" w:color="auto" w:fill="auto"/>
                  <w:noWrap/>
                  <w:vAlign w:val="bottom"/>
                  <w:hideMark/>
                </w:tcPr>
                <w:p w14:paraId="2A508190"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255</w:t>
                  </w:r>
                </w:p>
              </w:tc>
              <w:tc>
                <w:tcPr>
                  <w:tcW w:w="1368" w:type="dxa"/>
                  <w:tcBorders>
                    <w:top w:val="nil"/>
                    <w:left w:val="nil"/>
                    <w:bottom w:val="nil"/>
                    <w:right w:val="nil"/>
                  </w:tcBorders>
                  <w:shd w:val="clear" w:color="auto" w:fill="auto"/>
                  <w:noWrap/>
                  <w:vAlign w:val="bottom"/>
                  <w:hideMark/>
                </w:tcPr>
                <w:p w14:paraId="6D8728C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226</w:t>
                  </w:r>
                </w:p>
              </w:tc>
              <w:tc>
                <w:tcPr>
                  <w:tcW w:w="1368" w:type="dxa"/>
                  <w:tcBorders>
                    <w:top w:val="nil"/>
                    <w:left w:val="nil"/>
                    <w:bottom w:val="nil"/>
                    <w:right w:val="nil"/>
                  </w:tcBorders>
                  <w:shd w:val="clear" w:color="auto" w:fill="auto"/>
                  <w:noWrap/>
                  <w:vAlign w:val="bottom"/>
                  <w:hideMark/>
                </w:tcPr>
                <w:p w14:paraId="7533843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235</w:t>
                  </w:r>
                </w:p>
              </w:tc>
              <w:tc>
                <w:tcPr>
                  <w:tcW w:w="1368" w:type="dxa"/>
                  <w:tcBorders>
                    <w:top w:val="nil"/>
                    <w:left w:val="nil"/>
                    <w:bottom w:val="nil"/>
                    <w:right w:val="nil"/>
                  </w:tcBorders>
                  <w:shd w:val="clear" w:color="auto" w:fill="auto"/>
                  <w:noWrap/>
                  <w:vAlign w:val="bottom"/>
                  <w:hideMark/>
                </w:tcPr>
                <w:p w14:paraId="54637DC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280</w:t>
                  </w:r>
                </w:p>
              </w:tc>
              <w:tc>
                <w:tcPr>
                  <w:tcW w:w="1368" w:type="dxa"/>
                  <w:tcBorders>
                    <w:top w:val="nil"/>
                    <w:left w:val="nil"/>
                    <w:bottom w:val="nil"/>
                    <w:right w:val="nil"/>
                  </w:tcBorders>
                  <w:shd w:val="clear" w:color="auto" w:fill="auto"/>
                  <w:noWrap/>
                  <w:vAlign w:val="bottom"/>
                  <w:hideMark/>
                </w:tcPr>
                <w:p w14:paraId="07DC3E3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287</w:t>
                  </w:r>
                </w:p>
              </w:tc>
            </w:tr>
            <w:tr w:rsidR="00805C42" w:rsidRPr="00EA7C95" w14:paraId="632512CC" w14:textId="77777777" w:rsidTr="0024312A">
              <w:tc>
                <w:tcPr>
                  <w:tcW w:w="1843" w:type="dxa"/>
                  <w:tcBorders>
                    <w:top w:val="nil"/>
                    <w:left w:val="nil"/>
                    <w:bottom w:val="nil"/>
                    <w:right w:val="nil"/>
                  </w:tcBorders>
                  <w:shd w:val="clear" w:color="auto" w:fill="auto"/>
                  <w:noWrap/>
                  <w:vAlign w:val="bottom"/>
                  <w:hideMark/>
                </w:tcPr>
                <w:p w14:paraId="3C87F026"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vertAlign w:val="subscript"/>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latest</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0</w:t>
                  </w:r>
                </w:p>
              </w:tc>
              <w:tc>
                <w:tcPr>
                  <w:tcW w:w="1096" w:type="dxa"/>
                  <w:tcBorders>
                    <w:top w:val="nil"/>
                    <w:left w:val="nil"/>
                    <w:bottom w:val="nil"/>
                    <w:right w:val="nil"/>
                  </w:tcBorders>
                  <w:shd w:val="clear" w:color="auto" w:fill="auto"/>
                  <w:noWrap/>
                  <w:vAlign w:val="bottom"/>
                  <w:hideMark/>
                </w:tcPr>
                <w:p w14:paraId="4614AFB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456</w:t>
                  </w:r>
                </w:p>
              </w:tc>
              <w:tc>
                <w:tcPr>
                  <w:tcW w:w="1368" w:type="dxa"/>
                  <w:tcBorders>
                    <w:top w:val="nil"/>
                    <w:left w:val="nil"/>
                    <w:bottom w:val="nil"/>
                    <w:right w:val="nil"/>
                  </w:tcBorders>
                  <w:shd w:val="clear" w:color="auto" w:fill="auto"/>
                  <w:noWrap/>
                  <w:vAlign w:val="bottom"/>
                  <w:hideMark/>
                </w:tcPr>
                <w:p w14:paraId="22A66F2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456</w:t>
                  </w:r>
                </w:p>
              </w:tc>
              <w:tc>
                <w:tcPr>
                  <w:tcW w:w="1368" w:type="dxa"/>
                  <w:tcBorders>
                    <w:top w:val="nil"/>
                    <w:left w:val="nil"/>
                    <w:bottom w:val="nil"/>
                    <w:right w:val="nil"/>
                  </w:tcBorders>
                  <w:shd w:val="clear" w:color="auto" w:fill="auto"/>
                  <w:noWrap/>
                  <w:vAlign w:val="bottom"/>
                  <w:hideMark/>
                </w:tcPr>
                <w:p w14:paraId="6603EDC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346</w:t>
                  </w:r>
                </w:p>
              </w:tc>
              <w:tc>
                <w:tcPr>
                  <w:tcW w:w="1368" w:type="dxa"/>
                  <w:tcBorders>
                    <w:top w:val="nil"/>
                    <w:left w:val="nil"/>
                    <w:bottom w:val="nil"/>
                    <w:right w:val="nil"/>
                  </w:tcBorders>
                  <w:shd w:val="clear" w:color="auto" w:fill="auto"/>
                  <w:noWrap/>
                  <w:vAlign w:val="bottom"/>
                  <w:hideMark/>
                </w:tcPr>
                <w:p w14:paraId="3FC6FD9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392</w:t>
                  </w:r>
                </w:p>
              </w:tc>
              <w:tc>
                <w:tcPr>
                  <w:tcW w:w="1368" w:type="dxa"/>
                  <w:tcBorders>
                    <w:top w:val="nil"/>
                    <w:left w:val="nil"/>
                    <w:bottom w:val="nil"/>
                    <w:right w:val="nil"/>
                  </w:tcBorders>
                  <w:shd w:val="clear" w:color="auto" w:fill="auto"/>
                  <w:noWrap/>
                  <w:vAlign w:val="bottom"/>
                  <w:hideMark/>
                </w:tcPr>
                <w:p w14:paraId="4FFB1FB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523</w:t>
                  </w:r>
                </w:p>
              </w:tc>
              <w:tc>
                <w:tcPr>
                  <w:tcW w:w="1368" w:type="dxa"/>
                  <w:tcBorders>
                    <w:top w:val="nil"/>
                    <w:left w:val="nil"/>
                    <w:bottom w:val="nil"/>
                    <w:right w:val="nil"/>
                  </w:tcBorders>
                  <w:shd w:val="clear" w:color="auto" w:fill="auto"/>
                  <w:noWrap/>
                  <w:vAlign w:val="bottom"/>
                  <w:hideMark/>
                </w:tcPr>
                <w:p w14:paraId="6FFD4AA2"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568</w:t>
                  </w:r>
                </w:p>
              </w:tc>
            </w:tr>
            <w:tr w:rsidR="00805C42" w:rsidRPr="00EA7C95" w14:paraId="6D49E5DC" w14:textId="77777777" w:rsidTr="0024312A">
              <w:tc>
                <w:tcPr>
                  <w:tcW w:w="1843" w:type="dxa"/>
                  <w:tcBorders>
                    <w:top w:val="nil"/>
                    <w:left w:val="nil"/>
                    <w:bottom w:val="nil"/>
                    <w:right w:val="nil"/>
                  </w:tcBorders>
                  <w:shd w:val="clear" w:color="auto" w:fill="auto"/>
                  <w:noWrap/>
                  <w:vAlign w:val="bottom"/>
                  <w:hideMark/>
                </w:tcPr>
                <w:p w14:paraId="204F1652"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latest</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F=0</w:t>
                  </w:r>
                </w:p>
              </w:tc>
              <w:tc>
                <w:tcPr>
                  <w:tcW w:w="1096" w:type="dxa"/>
                  <w:tcBorders>
                    <w:top w:val="nil"/>
                    <w:left w:val="nil"/>
                    <w:bottom w:val="nil"/>
                    <w:right w:val="nil"/>
                  </w:tcBorders>
                  <w:shd w:val="clear" w:color="auto" w:fill="auto"/>
                  <w:noWrap/>
                  <w:vAlign w:val="bottom"/>
                  <w:hideMark/>
                </w:tcPr>
                <w:p w14:paraId="1518051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414</w:t>
                  </w:r>
                </w:p>
              </w:tc>
              <w:tc>
                <w:tcPr>
                  <w:tcW w:w="1368" w:type="dxa"/>
                  <w:tcBorders>
                    <w:top w:val="nil"/>
                    <w:left w:val="nil"/>
                    <w:bottom w:val="nil"/>
                    <w:right w:val="nil"/>
                  </w:tcBorders>
                  <w:shd w:val="clear" w:color="auto" w:fill="auto"/>
                  <w:noWrap/>
                  <w:vAlign w:val="bottom"/>
                  <w:hideMark/>
                </w:tcPr>
                <w:p w14:paraId="5587C06F"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420</w:t>
                  </w:r>
                </w:p>
              </w:tc>
              <w:tc>
                <w:tcPr>
                  <w:tcW w:w="1368" w:type="dxa"/>
                  <w:tcBorders>
                    <w:top w:val="nil"/>
                    <w:left w:val="nil"/>
                    <w:bottom w:val="nil"/>
                    <w:right w:val="nil"/>
                  </w:tcBorders>
                  <w:shd w:val="clear" w:color="auto" w:fill="auto"/>
                  <w:noWrap/>
                  <w:vAlign w:val="bottom"/>
                  <w:hideMark/>
                </w:tcPr>
                <w:p w14:paraId="53EE38F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298</w:t>
                  </w:r>
                </w:p>
              </w:tc>
              <w:tc>
                <w:tcPr>
                  <w:tcW w:w="1368" w:type="dxa"/>
                  <w:tcBorders>
                    <w:top w:val="nil"/>
                    <w:left w:val="nil"/>
                    <w:bottom w:val="nil"/>
                    <w:right w:val="nil"/>
                  </w:tcBorders>
                  <w:shd w:val="clear" w:color="auto" w:fill="auto"/>
                  <w:noWrap/>
                  <w:vAlign w:val="bottom"/>
                  <w:hideMark/>
                </w:tcPr>
                <w:p w14:paraId="750B4E7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351</w:t>
                  </w:r>
                </w:p>
              </w:tc>
              <w:tc>
                <w:tcPr>
                  <w:tcW w:w="1368" w:type="dxa"/>
                  <w:tcBorders>
                    <w:top w:val="nil"/>
                    <w:left w:val="nil"/>
                    <w:bottom w:val="nil"/>
                    <w:right w:val="nil"/>
                  </w:tcBorders>
                  <w:shd w:val="clear" w:color="auto" w:fill="auto"/>
                  <w:noWrap/>
                  <w:vAlign w:val="bottom"/>
                  <w:hideMark/>
                </w:tcPr>
                <w:p w14:paraId="4DCF028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480</w:t>
                  </w:r>
                </w:p>
              </w:tc>
              <w:tc>
                <w:tcPr>
                  <w:tcW w:w="1368" w:type="dxa"/>
                  <w:tcBorders>
                    <w:top w:val="nil"/>
                    <w:left w:val="nil"/>
                    <w:bottom w:val="nil"/>
                    <w:right w:val="nil"/>
                  </w:tcBorders>
                  <w:shd w:val="clear" w:color="auto" w:fill="auto"/>
                  <w:noWrap/>
                  <w:vAlign w:val="bottom"/>
                  <w:hideMark/>
                </w:tcPr>
                <w:p w14:paraId="19A1BFD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526</w:t>
                  </w:r>
                </w:p>
              </w:tc>
            </w:tr>
            <w:tr w:rsidR="00805C42" w:rsidRPr="00EA7C95" w14:paraId="779F377B" w14:textId="77777777" w:rsidTr="0024312A">
              <w:tc>
                <w:tcPr>
                  <w:tcW w:w="1843" w:type="dxa"/>
                  <w:tcBorders>
                    <w:top w:val="nil"/>
                    <w:left w:val="nil"/>
                    <w:bottom w:val="nil"/>
                    <w:right w:val="nil"/>
                  </w:tcBorders>
                  <w:shd w:val="clear" w:color="auto" w:fill="auto"/>
                  <w:noWrap/>
                  <w:vAlign w:val="bottom"/>
                  <w:hideMark/>
                </w:tcPr>
                <w:p w14:paraId="470416B1"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latest</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MSY</w:t>
                  </w:r>
                </w:p>
              </w:tc>
              <w:tc>
                <w:tcPr>
                  <w:tcW w:w="1096" w:type="dxa"/>
                  <w:tcBorders>
                    <w:top w:val="nil"/>
                    <w:left w:val="nil"/>
                    <w:bottom w:val="nil"/>
                    <w:right w:val="nil"/>
                  </w:tcBorders>
                  <w:shd w:val="clear" w:color="auto" w:fill="auto"/>
                  <w:noWrap/>
                  <w:vAlign w:val="bottom"/>
                  <w:hideMark/>
                </w:tcPr>
                <w:p w14:paraId="02E7623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633</w:t>
                  </w:r>
                </w:p>
              </w:tc>
              <w:tc>
                <w:tcPr>
                  <w:tcW w:w="1368" w:type="dxa"/>
                  <w:tcBorders>
                    <w:top w:val="nil"/>
                    <w:left w:val="nil"/>
                    <w:bottom w:val="nil"/>
                    <w:right w:val="nil"/>
                  </w:tcBorders>
                  <w:shd w:val="clear" w:color="auto" w:fill="auto"/>
                  <w:noWrap/>
                  <w:vAlign w:val="bottom"/>
                  <w:hideMark/>
                </w:tcPr>
                <w:p w14:paraId="01AE95C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624</w:t>
                  </w:r>
                </w:p>
              </w:tc>
              <w:tc>
                <w:tcPr>
                  <w:tcW w:w="1368" w:type="dxa"/>
                  <w:tcBorders>
                    <w:top w:val="nil"/>
                    <w:left w:val="nil"/>
                    <w:bottom w:val="nil"/>
                    <w:right w:val="nil"/>
                  </w:tcBorders>
                  <w:shd w:val="clear" w:color="auto" w:fill="auto"/>
                  <w:noWrap/>
                  <w:vAlign w:val="bottom"/>
                  <w:hideMark/>
                </w:tcPr>
                <w:p w14:paraId="21B4613D"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1.146</w:t>
                  </w:r>
                </w:p>
              </w:tc>
              <w:tc>
                <w:tcPr>
                  <w:tcW w:w="1368" w:type="dxa"/>
                  <w:tcBorders>
                    <w:top w:val="nil"/>
                    <w:left w:val="nil"/>
                    <w:bottom w:val="nil"/>
                    <w:right w:val="nil"/>
                  </w:tcBorders>
                  <w:shd w:val="clear" w:color="auto" w:fill="auto"/>
                  <w:noWrap/>
                  <w:vAlign w:val="bottom"/>
                  <w:hideMark/>
                </w:tcPr>
                <w:p w14:paraId="2003344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1.306</w:t>
                  </w:r>
                </w:p>
              </w:tc>
              <w:tc>
                <w:tcPr>
                  <w:tcW w:w="1368" w:type="dxa"/>
                  <w:tcBorders>
                    <w:top w:val="nil"/>
                    <w:left w:val="nil"/>
                    <w:bottom w:val="nil"/>
                    <w:right w:val="nil"/>
                  </w:tcBorders>
                  <w:shd w:val="clear" w:color="auto" w:fill="auto"/>
                  <w:noWrap/>
                  <w:vAlign w:val="bottom"/>
                  <w:hideMark/>
                </w:tcPr>
                <w:p w14:paraId="35F85E4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933</w:t>
                  </w:r>
                </w:p>
              </w:tc>
              <w:tc>
                <w:tcPr>
                  <w:tcW w:w="1368" w:type="dxa"/>
                  <w:tcBorders>
                    <w:top w:val="nil"/>
                    <w:left w:val="nil"/>
                    <w:bottom w:val="nil"/>
                    <w:right w:val="nil"/>
                  </w:tcBorders>
                  <w:shd w:val="clear" w:color="auto" w:fill="auto"/>
                  <w:noWrap/>
                  <w:vAlign w:val="bottom"/>
                  <w:hideMark/>
                </w:tcPr>
                <w:p w14:paraId="1446B520"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2.</w:t>
                  </w:r>
                  <w:r w:rsidRPr="00EA7C95">
                    <w:rPr>
                      <w:rFonts w:ascii="Times New Roman" w:eastAsia="Times New Roman" w:hAnsi="Times New Roman" w:cs="Times New Roman"/>
                      <w:color w:val="000000"/>
                      <w:lang w:val="en-AU" w:eastAsia="en-AU"/>
                    </w:rPr>
                    <w:t>187</w:t>
                  </w:r>
                </w:p>
              </w:tc>
            </w:tr>
            <w:tr w:rsidR="00805C42" w:rsidRPr="00EA7C95" w14:paraId="7FAB8A2E" w14:textId="77777777" w:rsidTr="0024312A">
              <w:tc>
                <w:tcPr>
                  <w:tcW w:w="1843" w:type="dxa"/>
                  <w:tcBorders>
                    <w:top w:val="nil"/>
                    <w:left w:val="nil"/>
                    <w:right w:val="nil"/>
                  </w:tcBorders>
                  <w:shd w:val="clear" w:color="auto" w:fill="auto"/>
                  <w:noWrap/>
                  <w:vAlign w:val="bottom"/>
                  <w:hideMark/>
                </w:tcPr>
                <w:p w14:paraId="322065FE"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vertAlign w:val="subscript"/>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recent</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F=0</w:t>
                  </w:r>
                </w:p>
              </w:tc>
              <w:tc>
                <w:tcPr>
                  <w:tcW w:w="1096" w:type="dxa"/>
                  <w:tcBorders>
                    <w:top w:val="nil"/>
                    <w:left w:val="nil"/>
                    <w:right w:val="nil"/>
                  </w:tcBorders>
                  <w:shd w:val="clear" w:color="auto" w:fill="auto"/>
                  <w:noWrap/>
                  <w:vAlign w:val="bottom"/>
                  <w:hideMark/>
                </w:tcPr>
                <w:p w14:paraId="1FF581F0"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353</w:t>
                  </w:r>
                </w:p>
              </w:tc>
              <w:tc>
                <w:tcPr>
                  <w:tcW w:w="1368" w:type="dxa"/>
                  <w:tcBorders>
                    <w:top w:val="nil"/>
                    <w:left w:val="nil"/>
                    <w:right w:val="nil"/>
                  </w:tcBorders>
                  <w:shd w:val="clear" w:color="auto" w:fill="auto"/>
                  <w:noWrap/>
                  <w:vAlign w:val="bottom"/>
                  <w:hideMark/>
                </w:tcPr>
                <w:p w14:paraId="2886A4A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358</w:t>
                  </w:r>
                </w:p>
              </w:tc>
              <w:tc>
                <w:tcPr>
                  <w:tcW w:w="1368" w:type="dxa"/>
                  <w:tcBorders>
                    <w:top w:val="nil"/>
                    <w:left w:val="nil"/>
                    <w:right w:val="nil"/>
                  </w:tcBorders>
                  <w:shd w:val="clear" w:color="auto" w:fill="auto"/>
                  <w:noWrap/>
                  <w:vAlign w:val="bottom"/>
                  <w:hideMark/>
                </w:tcPr>
                <w:p w14:paraId="5067C461"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251</w:t>
                  </w:r>
                </w:p>
              </w:tc>
              <w:tc>
                <w:tcPr>
                  <w:tcW w:w="1368" w:type="dxa"/>
                  <w:tcBorders>
                    <w:top w:val="nil"/>
                    <w:left w:val="nil"/>
                    <w:right w:val="nil"/>
                  </w:tcBorders>
                  <w:shd w:val="clear" w:color="auto" w:fill="auto"/>
                  <w:noWrap/>
                  <w:vAlign w:val="bottom"/>
                  <w:hideMark/>
                </w:tcPr>
                <w:p w14:paraId="37E5A70A"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295</w:t>
                  </w:r>
                </w:p>
              </w:tc>
              <w:tc>
                <w:tcPr>
                  <w:tcW w:w="1368" w:type="dxa"/>
                  <w:tcBorders>
                    <w:top w:val="nil"/>
                    <w:left w:val="nil"/>
                    <w:right w:val="nil"/>
                  </w:tcBorders>
                  <w:shd w:val="clear" w:color="auto" w:fill="auto"/>
                  <w:noWrap/>
                  <w:vAlign w:val="bottom"/>
                  <w:hideMark/>
                </w:tcPr>
                <w:p w14:paraId="0045F065"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412</w:t>
                  </w:r>
                </w:p>
              </w:tc>
              <w:tc>
                <w:tcPr>
                  <w:tcW w:w="1368" w:type="dxa"/>
                  <w:tcBorders>
                    <w:top w:val="nil"/>
                    <w:left w:val="nil"/>
                    <w:right w:val="nil"/>
                  </w:tcBorders>
                  <w:shd w:val="clear" w:color="auto" w:fill="auto"/>
                  <w:noWrap/>
                  <w:vAlign w:val="bottom"/>
                  <w:hideMark/>
                </w:tcPr>
                <w:p w14:paraId="16240A4B"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452</w:t>
                  </w:r>
                </w:p>
              </w:tc>
            </w:tr>
            <w:tr w:rsidR="00805C42" w:rsidRPr="00EA7C95" w14:paraId="47EEC6ED" w14:textId="77777777" w:rsidTr="0024312A">
              <w:tc>
                <w:tcPr>
                  <w:tcW w:w="1843" w:type="dxa"/>
                  <w:tcBorders>
                    <w:left w:val="nil"/>
                    <w:bottom w:val="single" w:sz="4" w:space="0" w:color="auto"/>
                    <w:right w:val="nil"/>
                  </w:tcBorders>
                  <w:shd w:val="clear" w:color="auto" w:fill="auto"/>
                  <w:noWrap/>
                  <w:vAlign w:val="bottom"/>
                  <w:hideMark/>
                </w:tcPr>
                <w:p w14:paraId="72E0F1FD" w14:textId="77777777" w:rsidR="00805C42" w:rsidRPr="00EA7C95" w:rsidRDefault="00805C42" w:rsidP="0024312A">
                  <w:pPr>
                    <w:widowControl w:val="0"/>
                    <w:adjustRightInd w:val="0"/>
                    <w:snapToGrid w:val="0"/>
                    <w:spacing w:after="0" w:line="240" w:lineRule="auto"/>
                    <w:rPr>
                      <w:rFonts w:ascii="Times New Roman" w:hAnsi="Times New Roman" w:cs="Times New Roman"/>
                      <w:i/>
                      <w:color w:val="000000"/>
                      <w:lang w:val="en-AU"/>
                    </w:rPr>
                  </w:pP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recent</w:t>
                  </w:r>
                  <w:r w:rsidRPr="00EA7C95">
                    <w:rPr>
                      <w:rFonts w:ascii="Times New Roman" w:hAnsi="Times New Roman" w:cs="Times New Roman"/>
                      <w:i/>
                      <w:color w:val="000000"/>
                      <w:lang w:val="en-AU"/>
                    </w:rPr>
                    <w:t>/SB</w:t>
                  </w:r>
                  <w:r w:rsidRPr="00EA7C95">
                    <w:rPr>
                      <w:rFonts w:ascii="Times New Roman" w:hAnsi="Times New Roman" w:cs="Times New Roman"/>
                      <w:i/>
                      <w:color w:val="000000"/>
                      <w:vertAlign w:val="subscript"/>
                      <w:lang w:val="en-AU"/>
                    </w:rPr>
                    <w:t>MSY</w:t>
                  </w:r>
                </w:p>
              </w:tc>
              <w:tc>
                <w:tcPr>
                  <w:tcW w:w="1096" w:type="dxa"/>
                  <w:tcBorders>
                    <w:left w:val="nil"/>
                    <w:bottom w:val="single" w:sz="4" w:space="0" w:color="auto"/>
                    <w:right w:val="nil"/>
                  </w:tcBorders>
                  <w:shd w:val="clear" w:color="auto" w:fill="auto"/>
                  <w:noWrap/>
                  <w:vAlign w:val="bottom"/>
                  <w:hideMark/>
                </w:tcPr>
                <w:p w14:paraId="3AB05CE3"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394</w:t>
                  </w:r>
                </w:p>
              </w:tc>
              <w:tc>
                <w:tcPr>
                  <w:tcW w:w="1368" w:type="dxa"/>
                  <w:tcBorders>
                    <w:left w:val="nil"/>
                    <w:bottom w:val="single" w:sz="4" w:space="0" w:color="auto"/>
                    <w:right w:val="nil"/>
                  </w:tcBorders>
                  <w:shd w:val="clear" w:color="auto" w:fill="auto"/>
                  <w:noWrap/>
                  <w:vAlign w:val="bottom"/>
                  <w:hideMark/>
                </w:tcPr>
                <w:p w14:paraId="1AE8528C"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377</w:t>
                  </w:r>
                </w:p>
              </w:tc>
              <w:tc>
                <w:tcPr>
                  <w:tcW w:w="1368" w:type="dxa"/>
                  <w:tcBorders>
                    <w:left w:val="nil"/>
                    <w:bottom w:val="single" w:sz="4" w:space="0" w:color="auto"/>
                    <w:right w:val="nil"/>
                  </w:tcBorders>
                  <w:shd w:val="clear" w:color="auto" w:fill="auto"/>
                  <w:noWrap/>
                  <w:vAlign w:val="bottom"/>
                  <w:hideMark/>
                </w:tcPr>
                <w:p w14:paraId="5DB395C8"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0.</w:t>
                  </w:r>
                  <w:r w:rsidRPr="00EA7C95">
                    <w:rPr>
                      <w:rFonts w:ascii="Times New Roman" w:eastAsia="Times New Roman" w:hAnsi="Times New Roman" w:cs="Times New Roman"/>
                      <w:color w:val="000000"/>
                      <w:lang w:val="en-AU" w:eastAsia="en-AU"/>
                    </w:rPr>
                    <w:t>963</w:t>
                  </w:r>
                </w:p>
              </w:tc>
              <w:tc>
                <w:tcPr>
                  <w:tcW w:w="1368" w:type="dxa"/>
                  <w:tcBorders>
                    <w:left w:val="nil"/>
                    <w:bottom w:val="single" w:sz="4" w:space="0" w:color="auto"/>
                    <w:right w:val="nil"/>
                  </w:tcBorders>
                  <w:shd w:val="clear" w:color="auto" w:fill="auto"/>
                  <w:noWrap/>
                  <w:vAlign w:val="bottom"/>
                  <w:hideMark/>
                </w:tcPr>
                <w:p w14:paraId="4D85FA17"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eastAsia="Times New Roman" w:hAnsi="Times New Roman" w:cs="Times New Roman"/>
                      <w:color w:val="000000"/>
                      <w:lang w:val="en-AU" w:eastAsia="en-AU"/>
                    </w:rPr>
                    <w:t>1.117</w:t>
                  </w:r>
                </w:p>
              </w:tc>
              <w:tc>
                <w:tcPr>
                  <w:tcW w:w="1368" w:type="dxa"/>
                  <w:tcBorders>
                    <w:left w:val="nil"/>
                    <w:bottom w:val="single" w:sz="4" w:space="0" w:color="auto"/>
                    <w:right w:val="nil"/>
                  </w:tcBorders>
                  <w:shd w:val="clear" w:color="auto" w:fill="auto"/>
                  <w:noWrap/>
                  <w:vAlign w:val="bottom"/>
                  <w:hideMark/>
                </w:tcPr>
                <w:p w14:paraId="27D8156E"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659</w:t>
                  </w:r>
                </w:p>
              </w:tc>
              <w:tc>
                <w:tcPr>
                  <w:tcW w:w="1368" w:type="dxa"/>
                  <w:tcBorders>
                    <w:left w:val="nil"/>
                    <w:bottom w:val="single" w:sz="4" w:space="0" w:color="auto"/>
                    <w:right w:val="nil"/>
                  </w:tcBorders>
                  <w:shd w:val="clear" w:color="auto" w:fill="auto"/>
                  <w:noWrap/>
                  <w:vAlign w:val="bottom"/>
                  <w:hideMark/>
                </w:tcPr>
                <w:p w14:paraId="27BAE4F8" w14:textId="77777777" w:rsidR="00805C42" w:rsidRPr="00EA7C95" w:rsidRDefault="00805C42" w:rsidP="0024312A">
                  <w:pPr>
                    <w:widowControl w:val="0"/>
                    <w:adjustRightInd w:val="0"/>
                    <w:snapToGrid w:val="0"/>
                    <w:spacing w:after="0" w:line="240" w:lineRule="auto"/>
                    <w:jc w:val="right"/>
                    <w:rPr>
                      <w:rFonts w:ascii="Times New Roman" w:hAnsi="Times New Roman" w:cs="Times New Roman"/>
                      <w:color w:val="000000"/>
                      <w:lang w:val="en-AU"/>
                    </w:rPr>
                  </w:pPr>
                  <w:r w:rsidRPr="00EA7C95">
                    <w:rPr>
                      <w:rFonts w:ascii="Times New Roman" w:hAnsi="Times New Roman" w:cs="Times New Roman"/>
                      <w:color w:val="000000"/>
                      <w:lang w:val="en-AU"/>
                    </w:rPr>
                    <w:t>1.</w:t>
                  </w:r>
                  <w:r w:rsidRPr="00EA7C95">
                    <w:rPr>
                      <w:rFonts w:ascii="Times New Roman" w:eastAsia="Times New Roman" w:hAnsi="Times New Roman" w:cs="Times New Roman"/>
                      <w:color w:val="000000"/>
                      <w:lang w:val="en-AU" w:eastAsia="en-AU"/>
                    </w:rPr>
                    <w:t>879</w:t>
                  </w:r>
                </w:p>
              </w:tc>
            </w:tr>
          </w:tbl>
          <w:p w14:paraId="180FAB24" w14:textId="66B238C1" w:rsidR="00805C42" w:rsidRPr="00EA7C95" w:rsidRDefault="00805C42" w:rsidP="0024312A">
            <w:pPr>
              <w:widowControl w:val="0"/>
              <w:adjustRightInd w:val="0"/>
              <w:snapToGrid w:val="0"/>
              <w:ind w:left="100" w:right="99"/>
              <w:jc w:val="both"/>
              <w:rPr>
                <w:rFonts w:ascii="Times New Roman" w:hAnsi="Times New Roman" w:cs="Times New Roman"/>
              </w:rPr>
            </w:pPr>
          </w:p>
        </w:tc>
      </w:tr>
    </w:tbl>
    <w:p w14:paraId="069B95C9" w14:textId="77777777" w:rsidR="008F5B6C" w:rsidRDefault="008F5B6C" w:rsidP="008F5B6C">
      <w:pPr>
        <w:pStyle w:val="ListParagraph"/>
        <w:adjustRightInd w:val="0"/>
        <w:snapToGrid w:val="0"/>
        <w:ind w:left="0" w:right="114"/>
      </w:pPr>
    </w:p>
    <w:p w14:paraId="7D5EEB32" w14:textId="047845A5" w:rsidR="00CD5D04" w:rsidRPr="00EA7C95" w:rsidRDefault="00CD5D04" w:rsidP="0024312A">
      <w:pPr>
        <w:pStyle w:val="ListParagraph"/>
        <w:numPr>
          <w:ilvl w:val="0"/>
          <w:numId w:val="13"/>
        </w:numPr>
        <w:adjustRightInd w:val="0"/>
        <w:snapToGrid w:val="0"/>
        <w:ind w:left="0" w:right="114" w:firstLine="0"/>
      </w:pPr>
      <w:r w:rsidRPr="00EA7C95">
        <w:t>SC14 noted that there has been a long-term decrease in spawning biomass from the 1950s to the present for bigeye tuna and that this is consistent with previous</w:t>
      </w:r>
      <w:r w:rsidRPr="00EA7C95">
        <w:rPr>
          <w:spacing w:val="-25"/>
        </w:rPr>
        <w:t xml:space="preserve"> </w:t>
      </w:r>
      <w:r w:rsidRPr="00EA7C95">
        <w:t>assessments.</w:t>
      </w:r>
    </w:p>
    <w:p w14:paraId="3D71C76A" w14:textId="77777777" w:rsidR="00CD5D04" w:rsidRPr="00EA7C95" w:rsidRDefault="00CD5D04" w:rsidP="0024312A">
      <w:pPr>
        <w:widowControl w:val="0"/>
        <w:tabs>
          <w:tab w:val="left" w:pos="820"/>
        </w:tabs>
        <w:adjustRightInd w:val="0"/>
        <w:snapToGrid w:val="0"/>
        <w:spacing w:after="0" w:line="240" w:lineRule="auto"/>
        <w:ind w:hanging="100"/>
        <w:jc w:val="both"/>
        <w:rPr>
          <w:rFonts w:ascii="Times New Roman" w:hAnsi="Times New Roman" w:cs="Times New Roman"/>
        </w:rPr>
      </w:pPr>
    </w:p>
    <w:p w14:paraId="50FBF6DD" w14:textId="77777777" w:rsidR="00CD5D04" w:rsidRPr="00EA7C95" w:rsidRDefault="00CD5D04" w:rsidP="0024312A">
      <w:pPr>
        <w:pStyle w:val="ListParagraph"/>
        <w:numPr>
          <w:ilvl w:val="0"/>
          <w:numId w:val="13"/>
        </w:numPr>
        <w:adjustRightInd w:val="0"/>
        <w:snapToGrid w:val="0"/>
        <w:ind w:left="0" w:right="114" w:firstLine="0"/>
        <w:rPr>
          <w:spacing w:val="-11"/>
        </w:rPr>
      </w:pPr>
      <w:r w:rsidRPr="00EA7C95">
        <w:t xml:space="preserve">SC14 also noted that the central tendency of relative recent (2012-2015) spawning biomass depletion </w:t>
      </w:r>
      <w:r w:rsidRPr="00EA7C95">
        <w:rPr>
          <w:position w:val="2"/>
        </w:rPr>
        <w:t>was median (SB</w:t>
      </w:r>
      <w:r w:rsidRPr="00EA7C95">
        <w:rPr>
          <w:vertAlign w:val="subscript"/>
        </w:rPr>
        <w:t>recent</w:t>
      </w:r>
      <w:r w:rsidRPr="00EA7C95">
        <w:rPr>
          <w:position w:val="2"/>
        </w:rPr>
        <w:t>/SB</w:t>
      </w:r>
      <w:r w:rsidRPr="00EA7C95">
        <w:rPr>
          <w:vertAlign w:val="subscript"/>
        </w:rPr>
        <w:t>F=0</w:t>
      </w:r>
      <w:r w:rsidRPr="00EA7C95">
        <w:rPr>
          <w:position w:val="2"/>
        </w:rPr>
        <w:t>) = 0.36 with a range of 0.30 to 0.41</w:t>
      </w:r>
      <w:r w:rsidRPr="00EA7C95">
        <w:rPr>
          <w:spacing w:val="-8"/>
        </w:rPr>
        <w:t xml:space="preserve"> </w:t>
      </w:r>
      <w:r w:rsidRPr="00EA7C95">
        <w:t>(80%</w:t>
      </w:r>
      <w:r w:rsidRPr="00EA7C95">
        <w:rPr>
          <w:spacing w:val="-13"/>
        </w:rPr>
        <w:t xml:space="preserve"> </w:t>
      </w:r>
      <w:r w:rsidRPr="00EA7C95">
        <w:t>probability</w:t>
      </w:r>
      <w:r w:rsidRPr="00EA7C95">
        <w:rPr>
          <w:spacing w:val="-11"/>
        </w:rPr>
        <w:t xml:space="preserve"> </w:t>
      </w:r>
      <w:r w:rsidRPr="00EA7C95">
        <w:t>interval).</w:t>
      </w:r>
    </w:p>
    <w:p w14:paraId="6D3A4F74" w14:textId="77777777" w:rsidR="00CD5D04" w:rsidRPr="00EA7C95" w:rsidRDefault="00CD5D04" w:rsidP="0024312A">
      <w:pPr>
        <w:pStyle w:val="BodyText"/>
        <w:adjustRightInd w:val="0"/>
        <w:snapToGrid w:val="0"/>
        <w:ind w:hanging="100"/>
        <w:jc w:val="both"/>
        <w:rPr>
          <w:b w:val="0"/>
        </w:rPr>
      </w:pPr>
    </w:p>
    <w:p w14:paraId="710706CE" w14:textId="77777777" w:rsidR="00CD5D04" w:rsidRPr="00EA7C95" w:rsidRDefault="00CD5D04" w:rsidP="00586C11">
      <w:pPr>
        <w:pStyle w:val="ListParagraph"/>
        <w:numPr>
          <w:ilvl w:val="0"/>
          <w:numId w:val="13"/>
        </w:numPr>
        <w:adjustRightInd w:val="0"/>
        <w:snapToGrid w:val="0"/>
        <w:ind w:left="0" w:right="114" w:firstLine="0"/>
      </w:pPr>
      <w:r w:rsidRPr="00EA7C95">
        <w:t>SC14</w:t>
      </w:r>
      <w:r w:rsidRPr="00EA7C95">
        <w:rPr>
          <w:spacing w:val="-4"/>
        </w:rPr>
        <w:t xml:space="preserve"> </w:t>
      </w:r>
      <w:r w:rsidRPr="00EA7C95">
        <w:t>further</w:t>
      </w:r>
      <w:r w:rsidRPr="00EA7C95">
        <w:rPr>
          <w:spacing w:val="-4"/>
        </w:rPr>
        <w:t xml:space="preserve"> </w:t>
      </w:r>
      <w:r w:rsidRPr="00EA7C95">
        <w:t>noted</w:t>
      </w:r>
      <w:r w:rsidRPr="00EA7C95">
        <w:rPr>
          <w:spacing w:val="-6"/>
        </w:rPr>
        <w:t xml:space="preserve"> </w:t>
      </w:r>
      <w:r w:rsidRPr="00EA7C95">
        <w:t>that</w:t>
      </w:r>
      <w:r w:rsidRPr="00EA7C95">
        <w:rPr>
          <w:spacing w:val="-3"/>
        </w:rPr>
        <w:t xml:space="preserve"> </w:t>
      </w:r>
      <w:r w:rsidRPr="00EA7C95">
        <w:t>there</w:t>
      </w:r>
      <w:r w:rsidRPr="00EA7C95">
        <w:rPr>
          <w:spacing w:val="-6"/>
        </w:rPr>
        <w:t xml:space="preserve"> </w:t>
      </w:r>
      <w:r w:rsidRPr="00EA7C95">
        <w:t>was</w:t>
      </w:r>
      <w:r w:rsidRPr="00EA7C95">
        <w:rPr>
          <w:spacing w:val="-3"/>
        </w:rPr>
        <w:t xml:space="preserve"> </w:t>
      </w:r>
      <w:r w:rsidRPr="00EA7C95">
        <w:t>0%</w:t>
      </w:r>
      <w:r w:rsidRPr="00EA7C95">
        <w:rPr>
          <w:spacing w:val="-5"/>
        </w:rPr>
        <w:t xml:space="preserve"> </w:t>
      </w:r>
      <w:r w:rsidRPr="00EA7C95">
        <w:t>probability</w:t>
      </w:r>
      <w:r w:rsidRPr="00EA7C95">
        <w:rPr>
          <w:spacing w:val="-6"/>
        </w:rPr>
        <w:t xml:space="preserve"> </w:t>
      </w:r>
      <w:r w:rsidRPr="00EA7C95">
        <w:t>(0</w:t>
      </w:r>
      <w:r w:rsidRPr="00EA7C95">
        <w:rPr>
          <w:spacing w:val="-6"/>
        </w:rPr>
        <w:t xml:space="preserve"> </w:t>
      </w:r>
      <w:r w:rsidRPr="00EA7C95">
        <w:t>out</w:t>
      </w:r>
      <w:r w:rsidRPr="00EA7C95">
        <w:rPr>
          <w:spacing w:val="-3"/>
        </w:rPr>
        <w:t xml:space="preserve"> </w:t>
      </w:r>
      <w:r w:rsidRPr="00EA7C95">
        <w:t>of</w:t>
      </w:r>
      <w:r w:rsidRPr="00EA7C95">
        <w:rPr>
          <w:spacing w:val="-3"/>
        </w:rPr>
        <w:t xml:space="preserve"> </w:t>
      </w:r>
      <w:r w:rsidRPr="00EA7C95">
        <w:t>36</w:t>
      </w:r>
      <w:r w:rsidRPr="00EA7C95">
        <w:rPr>
          <w:spacing w:val="-6"/>
        </w:rPr>
        <w:t xml:space="preserve"> </w:t>
      </w:r>
      <w:r w:rsidRPr="00EA7C95">
        <w:t xml:space="preserve">models) </w:t>
      </w:r>
      <w:r w:rsidRPr="00EA7C95">
        <w:rPr>
          <w:position w:val="2"/>
        </w:rPr>
        <w:t>that the recent spawning biomass had breached the adopted LRP.</w:t>
      </w:r>
      <w:r w:rsidRPr="00EA7C95">
        <w:t xml:space="preserve"> </w:t>
      </w:r>
    </w:p>
    <w:p w14:paraId="359CFBCE" w14:textId="77777777" w:rsidR="00CD5D04" w:rsidRPr="00EA7C95" w:rsidRDefault="00CD5D04" w:rsidP="00586C11">
      <w:pPr>
        <w:pStyle w:val="ListParagraph"/>
        <w:tabs>
          <w:tab w:val="left" w:pos="840"/>
        </w:tabs>
        <w:adjustRightInd w:val="0"/>
        <w:snapToGrid w:val="0"/>
        <w:ind w:left="0" w:right="117" w:hanging="100"/>
      </w:pPr>
    </w:p>
    <w:p w14:paraId="6274E81F" w14:textId="77777777" w:rsidR="00CD5D04" w:rsidRPr="00EA7C95" w:rsidRDefault="00CD5D04" w:rsidP="00586C11">
      <w:pPr>
        <w:pStyle w:val="ListParagraph"/>
        <w:numPr>
          <w:ilvl w:val="0"/>
          <w:numId w:val="13"/>
        </w:numPr>
        <w:adjustRightInd w:val="0"/>
        <w:snapToGrid w:val="0"/>
        <w:ind w:left="0" w:right="114" w:firstLine="0"/>
      </w:pPr>
      <w:r w:rsidRPr="00EA7C95">
        <w:t>SC14 noted that there has been a long-term increase in fishing mortality for both juvenile and adult bigeye tuna, consistent with previous</w:t>
      </w:r>
      <w:r w:rsidRPr="00EA7C95">
        <w:rPr>
          <w:spacing w:val="-11"/>
        </w:rPr>
        <w:t xml:space="preserve"> </w:t>
      </w:r>
      <w:r w:rsidRPr="00EA7C95">
        <w:t>assessments.</w:t>
      </w:r>
    </w:p>
    <w:p w14:paraId="39F9E8BF" w14:textId="77777777" w:rsidR="00CD5D04" w:rsidRPr="00EA7C95" w:rsidRDefault="00CD5D04" w:rsidP="00586C11">
      <w:pPr>
        <w:pStyle w:val="BodyText"/>
        <w:adjustRightInd w:val="0"/>
        <w:snapToGrid w:val="0"/>
        <w:jc w:val="both"/>
        <w:rPr>
          <w:b w:val="0"/>
        </w:rPr>
      </w:pPr>
    </w:p>
    <w:p w14:paraId="4362A80D" w14:textId="77777777" w:rsidR="00CD5D04" w:rsidRPr="00EA7C95" w:rsidRDefault="00CD5D04" w:rsidP="00586C11">
      <w:pPr>
        <w:pStyle w:val="ListParagraph"/>
        <w:numPr>
          <w:ilvl w:val="0"/>
          <w:numId w:val="13"/>
        </w:numPr>
        <w:adjustRightInd w:val="0"/>
        <w:snapToGrid w:val="0"/>
        <w:ind w:left="0" w:right="114" w:firstLine="0"/>
      </w:pPr>
      <w:r w:rsidRPr="00EA7C95">
        <w:t xml:space="preserve">SC14 also noted that the central tendency of relative recent fishing mortality </w:t>
      </w:r>
      <w:r w:rsidRPr="00EA7C95">
        <w:rPr>
          <w:position w:val="2"/>
        </w:rPr>
        <w:t>was</w:t>
      </w:r>
      <w:r w:rsidRPr="00EA7C95">
        <w:rPr>
          <w:spacing w:val="-8"/>
          <w:position w:val="2"/>
        </w:rPr>
        <w:t xml:space="preserve"> </w:t>
      </w:r>
      <w:r w:rsidRPr="00EA7C95">
        <w:rPr>
          <w:position w:val="2"/>
        </w:rPr>
        <w:t>median (F</w:t>
      </w:r>
      <w:r w:rsidRPr="00EA7C95">
        <w:t>recent</w:t>
      </w:r>
      <w:r w:rsidRPr="00EA7C95">
        <w:rPr>
          <w:position w:val="2"/>
        </w:rPr>
        <w:t>/F</w:t>
      </w:r>
      <w:r w:rsidRPr="00EA7C95">
        <w:t>MSY</w:t>
      </w:r>
      <w:r w:rsidRPr="00EA7C95">
        <w:rPr>
          <w:position w:val="2"/>
        </w:rPr>
        <w:t>)</w:t>
      </w:r>
      <w:r w:rsidRPr="00EA7C95">
        <w:rPr>
          <w:spacing w:val="-6"/>
          <w:position w:val="2"/>
        </w:rPr>
        <w:t xml:space="preserve"> </w:t>
      </w:r>
      <w:r w:rsidRPr="00EA7C95">
        <w:rPr>
          <w:position w:val="2"/>
        </w:rPr>
        <w:t>=</w:t>
      </w:r>
      <w:r w:rsidRPr="00EA7C95">
        <w:rPr>
          <w:spacing w:val="-9"/>
          <w:position w:val="2"/>
        </w:rPr>
        <w:t xml:space="preserve"> </w:t>
      </w:r>
      <w:r w:rsidRPr="00EA7C95">
        <w:rPr>
          <w:position w:val="2"/>
        </w:rPr>
        <w:t>0.77</w:t>
      </w:r>
      <w:r w:rsidRPr="00EA7C95">
        <w:rPr>
          <w:spacing w:val="-8"/>
          <w:position w:val="2"/>
        </w:rPr>
        <w:t xml:space="preserve"> </w:t>
      </w:r>
      <w:r w:rsidRPr="00EA7C95">
        <w:rPr>
          <w:position w:val="2"/>
        </w:rPr>
        <w:t>with</w:t>
      </w:r>
      <w:r w:rsidRPr="00EA7C95">
        <w:rPr>
          <w:spacing w:val="-6"/>
          <w:position w:val="2"/>
        </w:rPr>
        <w:t xml:space="preserve"> </w:t>
      </w:r>
      <w:r w:rsidRPr="00EA7C95">
        <w:rPr>
          <w:position w:val="2"/>
        </w:rPr>
        <w:t>an</w:t>
      </w:r>
      <w:r w:rsidRPr="00EA7C95">
        <w:rPr>
          <w:spacing w:val="-6"/>
          <w:position w:val="2"/>
        </w:rPr>
        <w:t xml:space="preserve"> </w:t>
      </w:r>
      <w:r w:rsidRPr="00EA7C95">
        <w:rPr>
          <w:position w:val="2"/>
        </w:rPr>
        <w:t>80%</w:t>
      </w:r>
      <w:r w:rsidRPr="00EA7C95">
        <w:rPr>
          <w:spacing w:val="-8"/>
          <w:position w:val="2"/>
        </w:rPr>
        <w:t xml:space="preserve"> </w:t>
      </w:r>
      <w:r w:rsidRPr="00EA7C95">
        <w:rPr>
          <w:position w:val="2"/>
        </w:rPr>
        <w:t xml:space="preserve">probability </w:t>
      </w:r>
      <w:r w:rsidRPr="00EA7C95">
        <w:t>interval of 0.67 to 0.93.</w:t>
      </w:r>
    </w:p>
    <w:p w14:paraId="3AD5CB32" w14:textId="77777777" w:rsidR="00CD5D04" w:rsidRPr="00EA7C95" w:rsidRDefault="00CD5D04" w:rsidP="00586C11">
      <w:pPr>
        <w:pStyle w:val="BodyText"/>
        <w:adjustRightInd w:val="0"/>
        <w:snapToGrid w:val="0"/>
        <w:jc w:val="both"/>
        <w:rPr>
          <w:b w:val="0"/>
        </w:rPr>
      </w:pPr>
    </w:p>
    <w:p w14:paraId="36E11A27" w14:textId="77777777" w:rsidR="00CD5D04" w:rsidRPr="00EA7C95" w:rsidRDefault="00CD5D04" w:rsidP="00586C11">
      <w:pPr>
        <w:pStyle w:val="ListParagraph"/>
        <w:numPr>
          <w:ilvl w:val="0"/>
          <w:numId w:val="13"/>
        </w:numPr>
        <w:adjustRightInd w:val="0"/>
        <w:snapToGrid w:val="0"/>
        <w:ind w:left="0" w:right="114" w:firstLine="0"/>
        <w:rPr>
          <w:position w:val="2"/>
        </w:rPr>
      </w:pPr>
      <w:r w:rsidRPr="00EA7C95">
        <w:t>SC14 further noted that there was a roughly 6% probability (2 out of 36 models</w:t>
      </w:r>
      <w:r w:rsidRPr="00EA7C95">
        <w:rPr>
          <w:position w:val="2"/>
        </w:rPr>
        <w:t>)</w:t>
      </w:r>
      <w:r w:rsidRPr="00EA7C95">
        <w:rPr>
          <w:spacing w:val="-4"/>
          <w:position w:val="2"/>
        </w:rPr>
        <w:t xml:space="preserve"> </w:t>
      </w:r>
      <w:r w:rsidRPr="00EA7C95">
        <w:rPr>
          <w:position w:val="2"/>
        </w:rPr>
        <w:t>that</w:t>
      </w:r>
      <w:r w:rsidRPr="00EA7C95">
        <w:rPr>
          <w:spacing w:val="-3"/>
          <w:position w:val="2"/>
        </w:rPr>
        <w:t xml:space="preserve"> </w:t>
      </w:r>
      <w:r w:rsidRPr="00EA7C95">
        <w:rPr>
          <w:position w:val="2"/>
        </w:rPr>
        <w:t>the</w:t>
      </w:r>
      <w:r w:rsidRPr="00EA7C95">
        <w:rPr>
          <w:spacing w:val="-3"/>
          <w:position w:val="2"/>
        </w:rPr>
        <w:t xml:space="preserve"> </w:t>
      </w:r>
      <w:r w:rsidRPr="00EA7C95">
        <w:rPr>
          <w:position w:val="2"/>
        </w:rPr>
        <w:t>recent</w:t>
      </w:r>
      <w:r w:rsidRPr="00EA7C95">
        <w:rPr>
          <w:spacing w:val="-5"/>
          <w:position w:val="2"/>
        </w:rPr>
        <w:t xml:space="preserve"> </w:t>
      </w:r>
      <w:r w:rsidRPr="00EA7C95">
        <w:rPr>
          <w:position w:val="2"/>
        </w:rPr>
        <w:t>fishing</w:t>
      </w:r>
      <w:r w:rsidRPr="00EA7C95">
        <w:rPr>
          <w:spacing w:val="-4"/>
          <w:position w:val="2"/>
        </w:rPr>
        <w:t xml:space="preserve"> </w:t>
      </w:r>
      <w:r w:rsidRPr="00EA7C95">
        <w:rPr>
          <w:position w:val="2"/>
        </w:rPr>
        <w:t>mortality</w:t>
      </w:r>
      <w:r w:rsidRPr="00EA7C95">
        <w:rPr>
          <w:spacing w:val="-6"/>
          <w:position w:val="2"/>
        </w:rPr>
        <w:t xml:space="preserve"> </w:t>
      </w:r>
      <w:r w:rsidRPr="00EA7C95">
        <w:rPr>
          <w:position w:val="2"/>
        </w:rPr>
        <w:t>was</w:t>
      </w:r>
      <w:r w:rsidRPr="00EA7C95">
        <w:rPr>
          <w:spacing w:val="-3"/>
          <w:position w:val="2"/>
        </w:rPr>
        <w:t xml:space="preserve"> </w:t>
      </w:r>
      <w:r w:rsidRPr="00EA7C95">
        <w:rPr>
          <w:position w:val="2"/>
        </w:rPr>
        <w:t>above</w:t>
      </w:r>
      <w:r w:rsidRPr="00EA7C95">
        <w:rPr>
          <w:spacing w:val="-3"/>
          <w:position w:val="2"/>
        </w:rPr>
        <w:t xml:space="preserve"> </w:t>
      </w:r>
      <w:r w:rsidRPr="00EA7C95">
        <w:rPr>
          <w:position w:val="2"/>
        </w:rPr>
        <w:t>F</w:t>
      </w:r>
      <w:r w:rsidRPr="00EA7C95">
        <w:t>MSY</w:t>
      </w:r>
      <w:r w:rsidRPr="00EA7C95">
        <w:rPr>
          <w:position w:val="2"/>
        </w:rPr>
        <w:t>.</w:t>
      </w:r>
    </w:p>
    <w:p w14:paraId="74B50D9A" w14:textId="77777777" w:rsidR="00CD5D04" w:rsidRPr="00EA7C95" w:rsidRDefault="00CD5D04" w:rsidP="00586C11">
      <w:pPr>
        <w:pStyle w:val="BodyText"/>
        <w:adjustRightInd w:val="0"/>
        <w:snapToGrid w:val="0"/>
        <w:ind w:right="116"/>
        <w:jc w:val="both"/>
        <w:rPr>
          <w:b w:val="0"/>
          <w:bCs w:val="0"/>
        </w:rPr>
      </w:pPr>
    </w:p>
    <w:p w14:paraId="60D7B911" w14:textId="77777777" w:rsidR="00CD5D04" w:rsidRPr="00EA7C95" w:rsidRDefault="00CD5D04" w:rsidP="00586C11">
      <w:pPr>
        <w:pStyle w:val="ListParagraph"/>
        <w:numPr>
          <w:ilvl w:val="0"/>
          <w:numId w:val="13"/>
        </w:numPr>
        <w:adjustRightInd w:val="0"/>
        <w:snapToGrid w:val="0"/>
        <w:ind w:left="0" w:right="114" w:firstLine="0"/>
      </w:pPr>
      <w:bookmarkStart w:id="4" w:name="Structural_uncertainty"/>
      <w:bookmarkStart w:id="5" w:name="bookmark0"/>
      <w:bookmarkEnd w:id="4"/>
      <w:bookmarkEnd w:id="5"/>
      <w:r w:rsidRPr="00EA7C95">
        <w:t>SC14</w:t>
      </w:r>
      <w:r w:rsidRPr="00EA7C95">
        <w:rPr>
          <w:spacing w:val="-12"/>
        </w:rPr>
        <w:t xml:space="preserve"> </w:t>
      </w:r>
      <w:r w:rsidRPr="00EA7C95">
        <w:t>also</w:t>
      </w:r>
      <w:r w:rsidRPr="00EA7C95">
        <w:rPr>
          <w:spacing w:val="-12"/>
        </w:rPr>
        <w:t xml:space="preserve"> </w:t>
      </w:r>
      <w:r w:rsidRPr="00EA7C95">
        <w:t>noted</w:t>
      </w:r>
      <w:r w:rsidRPr="00EA7C95">
        <w:rPr>
          <w:spacing w:val="-12"/>
        </w:rPr>
        <w:t xml:space="preserve"> </w:t>
      </w:r>
      <w:r w:rsidRPr="00EA7C95">
        <w:t>that,</w:t>
      </w:r>
      <w:r w:rsidRPr="00EA7C95">
        <w:rPr>
          <w:spacing w:val="-12"/>
        </w:rPr>
        <w:t xml:space="preserve"> </w:t>
      </w:r>
      <w:r w:rsidRPr="00EA7C95">
        <w:t>regardless</w:t>
      </w:r>
      <w:r w:rsidRPr="00EA7C95">
        <w:rPr>
          <w:spacing w:val="-11"/>
        </w:rPr>
        <w:t xml:space="preserve"> </w:t>
      </w:r>
      <w:r w:rsidRPr="00EA7C95">
        <w:t>of</w:t>
      </w:r>
      <w:r w:rsidRPr="00EA7C95">
        <w:rPr>
          <w:spacing w:val="-9"/>
        </w:rPr>
        <w:t xml:space="preserve"> </w:t>
      </w:r>
      <w:r w:rsidRPr="00EA7C95">
        <w:t>the</w:t>
      </w:r>
      <w:r w:rsidRPr="00EA7C95">
        <w:rPr>
          <w:spacing w:val="-11"/>
        </w:rPr>
        <w:t xml:space="preserve"> </w:t>
      </w:r>
      <w:r w:rsidRPr="00EA7C95">
        <w:t>choice</w:t>
      </w:r>
      <w:r w:rsidRPr="00EA7C95">
        <w:rPr>
          <w:spacing w:val="-11"/>
        </w:rPr>
        <w:t xml:space="preserve"> </w:t>
      </w:r>
      <w:r w:rsidRPr="00EA7C95">
        <w:t>of</w:t>
      </w:r>
      <w:r w:rsidRPr="00EA7C95">
        <w:rPr>
          <w:spacing w:val="-9"/>
        </w:rPr>
        <w:t xml:space="preserve"> </w:t>
      </w:r>
      <w:r w:rsidRPr="00EA7C95">
        <w:t>uncertainty</w:t>
      </w:r>
      <w:r w:rsidRPr="00EA7C95">
        <w:rPr>
          <w:spacing w:val="-12"/>
        </w:rPr>
        <w:t xml:space="preserve"> </w:t>
      </w:r>
      <w:r w:rsidRPr="00EA7C95">
        <w:t>grid,</w:t>
      </w:r>
      <w:r w:rsidRPr="00EA7C95">
        <w:rPr>
          <w:spacing w:val="-12"/>
        </w:rPr>
        <w:t xml:space="preserve"> </w:t>
      </w:r>
      <w:r w:rsidRPr="00EA7C95">
        <w:t>the</w:t>
      </w:r>
      <w:r w:rsidRPr="00EA7C95">
        <w:rPr>
          <w:spacing w:val="-11"/>
        </w:rPr>
        <w:t xml:space="preserve"> </w:t>
      </w:r>
      <w:r w:rsidRPr="00EA7C95">
        <w:t>assessment</w:t>
      </w:r>
      <w:r w:rsidRPr="00EA7C95">
        <w:rPr>
          <w:spacing w:val="-11"/>
        </w:rPr>
        <w:t xml:space="preserve"> </w:t>
      </w:r>
      <w:r w:rsidRPr="00EA7C95">
        <w:t>results</w:t>
      </w:r>
      <w:r w:rsidRPr="00EA7C95">
        <w:rPr>
          <w:spacing w:val="-11"/>
        </w:rPr>
        <w:t xml:space="preserve"> </w:t>
      </w:r>
      <w:r w:rsidRPr="00EA7C95">
        <w:t>show that</w:t>
      </w:r>
      <w:r w:rsidRPr="00EA7C95">
        <w:rPr>
          <w:spacing w:val="-3"/>
        </w:rPr>
        <w:t xml:space="preserve"> </w:t>
      </w:r>
      <w:r w:rsidRPr="00EA7C95">
        <w:t>the</w:t>
      </w:r>
      <w:r w:rsidRPr="00EA7C95">
        <w:rPr>
          <w:spacing w:val="-3"/>
        </w:rPr>
        <w:t xml:space="preserve"> </w:t>
      </w:r>
      <w:r w:rsidRPr="00EA7C95">
        <w:t>stock</w:t>
      </w:r>
      <w:r w:rsidRPr="00EA7C95">
        <w:rPr>
          <w:spacing w:val="-1"/>
        </w:rPr>
        <w:t xml:space="preserve"> </w:t>
      </w:r>
      <w:r w:rsidRPr="00EA7C95">
        <w:t>has</w:t>
      </w:r>
      <w:r w:rsidRPr="00EA7C95">
        <w:rPr>
          <w:spacing w:val="-1"/>
        </w:rPr>
        <w:t xml:space="preserve"> </w:t>
      </w:r>
      <w:r w:rsidRPr="00EA7C95">
        <w:t>been</w:t>
      </w:r>
      <w:r w:rsidRPr="00EA7C95">
        <w:rPr>
          <w:spacing w:val="-4"/>
        </w:rPr>
        <w:t xml:space="preserve"> </w:t>
      </w:r>
      <w:r w:rsidRPr="00EA7C95">
        <w:t>continuously</w:t>
      </w:r>
      <w:r w:rsidRPr="00EA7C95">
        <w:rPr>
          <w:spacing w:val="-3"/>
        </w:rPr>
        <w:t xml:space="preserve"> </w:t>
      </w:r>
      <w:r w:rsidRPr="00EA7C95">
        <w:t>declining</w:t>
      </w:r>
      <w:r w:rsidRPr="00EA7C95">
        <w:rPr>
          <w:spacing w:val="-6"/>
        </w:rPr>
        <w:t xml:space="preserve"> </w:t>
      </w:r>
      <w:r w:rsidRPr="00EA7C95">
        <w:t>for</w:t>
      </w:r>
      <w:r w:rsidRPr="00EA7C95">
        <w:rPr>
          <w:spacing w:val="-3"/>
        </w:rPr>
        <w:t xml:space="preserve"> </w:t>
      </w:r>
      <w:r w:rsidRPr="00EA7C95">
        <w:t>about</w:t>
      </w:r>
      <w:r w:rsidRPr="00EA7C95">
        <w:rPr>
          <w:spacing w:val="-1"/>
        </w:rPr>
        <w:t xml:space="preserve"> </w:t>
      </w:r>
      <w:r w:rsidRPr="00EA7C95">
        <w:t>60</w:t>
      </w:r>
      <w:r w:rsidRPr="00EA7C95">
        <w:rPr>
          <w:spacing w:val="-3"/>
        </w:rPr>
        <w:t xml:space="preserve"> </w:t>
      </w:r>
      <w:r w:rsidRPr="00EA7C95">
        <w:t>years</w:t>
      </w:r>
      <w:r w:rsidRPr="00EA7C95">
        <w:rPr>
          <w:spacing w:val="-3"/>
        </w:rPr>
        <w:t xml:space="preserve"> </w:t>
      </w:r>
      <w:r w:rsidRPr="00EA7C95">
        <w:t>since</w:t>
      </w:r>
      <w:r w:rsidRPr="00EA7C95">
        <w:rPr>
          <w:spacing w:val="-3"/>
        </w:rPr>
        <w:t xml:space="preserve"> </w:t>
      </w:r>
      <w:r w:rsidRPr="00EA7C95">
        <w:t>the</w:t>
      </w:r>
      <w:r w:rsidRPr="00EA7C95">
        <w:rPr>
          <w:spacing w:val="-3"/>
        </w:rPr>
        <w:t xml:space="preserve"> </w:t>
      </w:r>
      <w:r w:rsidRPr="00EA7C95">
        <w:t>late</w:t>
      </w:r>
      <w:r w:rsidRPr="00EA7C95">
        <w:rPr>
          <w:spacing w:val="-1"/>
        </w:rPr>
        <w:t xml:space="preserve"> </w:t>
      </w:r>
      <w:r w:rsidRPr="00EA7C95">
        <w:t>1950’s,</w:t>
      </w:r>
      <w:r w:rsidRPr="00EA7C95">
        <w:rPr>
          <w:spacing w:val="-4"/>
        </w:rPr>
        <w:t xml:space="preserve"> </w:t>
      </w:r>
      <w:r w:rsidRPr="00EA7C95">
        <w:t>except</w:t>
      </w:r>
      <w:r w:rsidRPr="00EA7C95">
        <w:rPr>
          <w:spacing w:val="-5"/>
        </w:rPr>
        <w:t xml:space="preserve"> </w:t>
      </w:r>
      <w:r w:rsidRPr="00EA7C95">
        <w:t>for</w:t>
      </w:r>
      <w:r w:rsidRPr="00EA7C95">
        <w:rPr>
          <w:spacing w:val="-3"/>
        </w:rPr>
        <w:t xml:space="preserve"> </w:t>
      </w:r>
      <w:r w:rsidRPr="00EA7C95">
        <w:t xml:space="preserve">the recent small increase. </w:t>
      </w:r>
    </w:p>
    <w:p w14:paraId="4EE39F36" w14:textId="77777777" w:rsidR="00CD5D04" w:rsidRPr="00EA7C95" w:rsidRDefault="00CD5D04" w:rsidP="00586C11">
      <w:pPr>
        <w:pStyle w:val="BodyText"/>
        <w:adjustRightInd w:val="0"/>
        <w:snapToGrid w:val="0"/>
        <w:ind w:hanging="100"/>
        <w:jc w:val="both"/>
        <w:rPr>
          <w:b w:val="0"/>
          <w:bCs w:val="0"/>
        </w:rPr>
      </w:pPr>
    </w:p>
    <w:p w14:paraId="0D5FB2E3" w14:textId="77777777" w:rsidR="00CD5D04" w:rsidRPr="00EA7C95" w:rsidRDefault="00CD5D04" w:rsidP="00586C11">
      <w:pPr>
        <w:pStyle w:val="ListParagraph"/>
        <w:numPr>
          <w:ilvl w:val="0"/>
          <w:numId w:val="13"/>
        </w:numPr>
        <w:adjustRightInd w:val="0"/>
        <w:snapToGrid w:val="0"/>
        <w:ind w:left="0" w:right="114" w:firstLine="0"/>
      </w:pPr>
      <w:r w:rsidRPr="00EA7C95">
        <w:t>SC14</w:t>
      </w:r>
      <w:r w:rsidRPr="00EA7C95">
        <w:rPr>
          <w:spacing w:val="-8"/>
        </w:rPr>
        <w:t xml:space="preserve"> </w:t>
      </w:r>
      <w:r w:rsidRPr="00EA7C95">
        <w:t>also</w:t>
      </w:r>
      <w:r w:rsidRPr="00EA7C95">
        <w:rPr>
          <w:spacing w:val="-8"/>
        </w:rPr>
        <w:t xml:space="preserve"> </w:t>
      </w:r>
      <w:r w:rsidRPr="00EA7C95">
        <w:t>noted</w:t>
      </w:r>
      <w:r w:rsidRPr="00EA7C95">
        <w:rPr>
          <w:spacing w:val="-8"/>
        </w:rPr>
        <w:t xml:space="preserve"> </w:t>
      </w:r>
      <w:r w:rsidRPr="00EA7C95">
        <w:t>the</w:t>
      </w:r>
      <w:r w:rsidRPr="00EA7C95">
        <w:rPr>
          <w:spacing w:val="-8"/>
        </w:rPr>
        <w:t xml:space="preserve"> </w:t>
      </w:r>
      <w:r w:rsidRPr="00EA7C95">
        <w:t>continued</w:t>
      </w:r>
      <w:r w:rsidRPr="00EA7C95">
        <w:rPr>
          <w:spacing w:val="-8"/>
        </w:rPr>
        <w:t xml:space="preserve"> relatively </w:t>
      </w:r>
      <w:r w:rsidRPr="00EA7C95">
        <w:t>higher</w:t>
      </w:r>
      <w:r w:rsidRPr="00EA7C95">
        <w:rPr>
          <w:spacing w:val="-10"/>
        </w:rPr>
        <w:t xml:space="preserve"> </w:t>
      </w:r>
      <w:r w:rsidRPr="00EA7C95">
        <w:t>levels</w:t>
      </w:r>
      <w:r w:rsidRPr="00EA7C95">
        <w:rPr>
          <w:spacing w:val="-8"/>
        </w:rPr>
        <w:t xml:space="preserve"> </w:t>
      </w:r>
      <w:r w:rsidRPr="00EA7C95">
        <w:t>of</w:t>
      </w:r>
      <w:r w:rsidRPr="00EA7C95">
        <w:rPr>
          <w:spacing w:val="-5"/>
        </w:rPr>
        <w:t xml:space="preserve"> </w:t>
      </w:r>
      <w:r w:rsidRPr="00EA7C95">
        <w:t>depletion</w:t>
      </w:r>
      <w:r w:rsidRPr="00EA7C95">
        <w:rPr>
          <w:spacing w:val="-11"/>
        </w:rPr>
        <w:t xml:space="preserve"> </w:t>
      </w:r>
      <w:r w:rsidRPr="00EA7C95">
        <w:t>in</w:t>
      </w:r>
      <w:r w:rsidRPr="00EA7C95">
        <w:rPr>
          <w:spacing w:val="-8"/>
        </w:rPr>
        <w:t xml:space="preserve"> </w:t>
      </w:r>
      <w:r w:rsidRPr="00EA7C95">
        <w:t>the</w:t>
      </w:r>
      <w:r w:rsidRPr="00EA7C95">
        <w:rPr>
          <w:spacing w:val="-8"/>
        </w:rPr>
        <w:t xml:space="preserve"> </w:t>
      </w:r>
      <w:r w:rsidRPr="00EA7C95">
        <w:t>equatorial</w:t>
      </w:r>
      <w:r w:rsidRPr="00EA7C95">
        <w:rPr>
          <w:spacing w:val="-7"/>
        </w:rPr>
        <w:t xml:space="preserve"> </w:t>
      </w:r>
      <w:r w:rsidRPr="00EA7C95">
        <w:t>and</w:t>
      </w:r>
      <w:r w:rsidRPr="00EA7C95">
        <w:rPr>
          <w:spacing w:val="-8"/>
        </w:rPr>
        <w:t xml:space="preserve"> </w:t>
      </w:r>
      <w:r w:rsidRPr="00EA7C95">
        <w:t>western</w:t>
      </w:r>
      <w:r w:rsidRPr="00EA7C95">
        <w:rPr>
          <w:spacing w:val="-11"/>
        </w:rPr>
        <w:t xml:space="preserve"> </w:t>
      </w:r>
      <w:r w:rsidRPr="00EA7C95">
        <w:t>Pacific (specifically</w:t>
      </w:r>
      <w:r w:rsidRPr="00EA7C95">
        <w:rPr>
          <w:spacing w:val="-2"/>
        </w:rPr>
        <w:t xml:space="preserve"> </w:t>
      </w:r>
      <w:r w:rsidRPr="00EA7C95">
        <w:t>Regions</w:t>
      </w:r>
      <w:r w:rsidRPr="00EA7C95">
        <w:rPr>
          <w:spacing w:val="-4"/>
        </w:rPr>
        <w:t xml:space="preserve"> </w:t>
      </w:r>
      <w:r w:rsidRPr="00EA7C95">
        <w:t>3,</w:t>
      </w:r>
      <w:r w:rsidRPr="00EA7C95">
        <w:rPr>
          <w:spacing w:val="-5"/>
        </w:rPr>
        <w:t xml:space="preserve"> </w:t>
      </w:r>
      <w:r w:rsidRPr="00EA7C95">
        <w:t>4,</w:t>
      </w:r>
      <w:r w:rsidRPr="00EA7C95">
        <w:rPr>
          <w:spacing w:val="-3"/>
        </w:rPr>
        <w:t xml:space="preserve"> </w:t>
      </w:r>
      <w:r w:rsidRPr="00EA7C95">
        <w:t>7</w:t>
      </w:r>
      <w:r w:rsidRPr="00EA7C95">
        <w:rPr>
          <w:spacing w:val="-2"/>
        </w:rPr>
        <w:t xml:space="preserve"> </w:t>
      </w:r>
      <w:r w:rsidRPr="00EA7C95">
        <w:t>and</w:t>
      </w:r>
      <w:r w:rsidRPr="00EA7C95">
        <w:rPr>
          <w:spacing w:val="-2"/>
        </w:rPr>
        <w:t xml:space="preserve"> </w:t>
      </w:r>
      <w:r w:rsidRPr="00EA7C95">
        <w:t>8)</w:t>
      </w:r>
      <w:r w:rsidRPr="00EA7C95">
        <w:rPr>
          <w:spacing w:val="-2"/>
        </w:rPr>
        <w:t xml:space="preserve"> </w:t>
      </w:r>
      <w:r w:rsidRPr="00EA7C95">
        <w:t>and</w:t>
      </w:r>
      <w:r w:rsidRPr="00EA7C95">
        <w:rPr>
          <w:spacing w:val="-2"/>
        </w:rPr>
        <w:t xml:space="preserve"> </w:t>
      </w:r>
      <w:r w:rsidRPr="00EA7C95">
        <w:t>the</w:t>
      </w:r>
      <w:r w:rsidRPr="00EA7C95">
        <w:rPr>
          <w:spacing w:val="-2"/>
        </w:rPr>
        <w:t xml:space="preserve"> </w:t>
      </w:r>
      <w:r w:rsidRPr="00EA7C95">
        <w:t>associated</w:t>
      </w:r>
      <w:r w:rsidRPr="00EA7C95">
        <w:rPr>
          <w:spacing w:val="-5"/>
        </w:rPr>
        <w:t xml:space="preserve"> </w:t>
      </w:r>
      <w:r w:rsidRPr="00EA7C95">
        <w:t>higher</w:t>
      </w:r>
      <w:r w:rsidRPr="00EA7C95">
        <w:rPr>
          <w:spacing w:val="-4"/>
        </w:rPr>
        <w:t xml:space="preserve"> </w:t>
      </w:r>
      <w:r w:rsidRPr="00EA7C95">
        <w:t>levels</w:t>
      </w:r>
      <w:r w:rsidRPr="00EA7C95">
        <w:rPr>
          <w:spacing w:val="-4"/>
        </w:rPr>
        <w:t xml:space="preserve"> </w:t>
      </w:r>
      <w:r w:rsidRPr="00EA7C95">
        <w:t>of</w:t>
      </w:r>
      <w:r w:rsidRPr="00EA7C95">
        <w:rPr>
          <w:spacing w:val="-1"/>
        </w:rPr>
        <w:t xml:space="preserve"> </w:t>
      </w:r>
      <w:r w:rsidRPr="00EA7C95">
        <w:t>impact, especially</w:t>
      </w:r>
      <w:r w:rsidRPr="00EA7C95">
        <w:rPr>
          <w:spacing w:val="-7"/>
        </w:rPr>
        <w:t xml:space="preserve"> </w:t>
      </w:r>
      <w:r w:rsidRPr="00EA7C95">
        <w:t>on</w:t>
      </w:r>
      <w:r w:rsidRPr="00EA7C95">
        <w:rPr>
          <w:spacing w:val="-5"/>
        </w:rPr>
        <w:t xml:space="preserve"> </w:t>
      </w:r>
      <w:r w:rsidRPr="00EA7C95">
        <w:t>juvenile</w:t>
      </w:r>
      <w:r w:rsidRPr="00EA7C95">
        <w:rPr>
          <w:spacing w:val="-4"/>
        </w:rPr>
        <w:t xml:space="preserve"> </w:t>
      </w:r>
      <w:r w:rsidRPr="00EA7C95">
        <w:t>bigeye</w:t>
      </w:r>
      <w:r w:rsidRPr="00EA7C95">
        <w:rPr>
          <w:spacing w:val="-4"/>
        </w:rPr>
        <w:t xml:space="preserve"> </w:t>
      </w:r>
      <w:r w:rsidRPr="00EA7C95">
        <w:t>tuna,</w:t>
      </w:r>
      <w:r w:rsidRPr="00EA7C95">
        <w:rPr>
          <w:spacing w:val="-7"/>
        </w:rPr>
        <w:t xml:space="preserve"> </w:t>
      </w:r>
      <w:r w:rsidRPr="00EA7C95">
        <w:t>in</w:t>
      </w:r>
      <w:r w:rsidRPr="00EA7C95">
        <w:rPr>
          <w:spacing w:val="-7"/>
        </w:rPr>
        <w:t xml:space="preserve"> </w:t>
      </w:r>
      <w:r w:rsidRPr="00EA7C95">
        <w:t>these</w:t>
      </w:r>
      <w:r w:rsidRPr="00EA7C95">
        <w:rPr>
          <w:spacing w:val="-4"/>
        </w:rPr>
        <w:t xml:space="preserve"> </w:t>
      </w:r>
      <w:r w:rsidRPr="00EA7C95">
        <w:t>regions</w:t>
      </w:r>
      <w:r w:rsidRPr="00EA7C95">
        <w:rPr>
          <w:spacing w:val="-4"/>
        </w:rPr>
        <w:t xml:space="preserve"> </w:t>
      </w:r>
      <w:r w:rsidRPr="00EA7C95">
        <w:t>due</w:t>
      </w:r>
      <w:r w:rsidRPr="00EA7C95">
        <w:rPr>
          <w:spacing w:val="-4"/>
        </w:rPr>
        <w:t xml:space="preserve"> </w:t>
      </w:r>
      <w:r w:rsidRPr="00EA7C95">
        <w:t>to</w:t>
      </w:r>
      <w:r w:rsidRPr="00EA7C95">
        <w:rPr>
          <w:spacing w:val="-7"/>
        </w:rPr>
        <w:t xml:space="preserve"> </w:t>
      </w:r>
      <w:r w:rsidRPr="00EA7C95">
        <w:t>the</w:t>
      </w:r>
      <w:r w:rsidRPr="00EA7C95">
        <w:rPr>
          <w:spacing w:val="-4"/>
        </w:rPr>
        <w:t xml:space="preserve"> </w:t>
      </w:r>
      <w:r w:rsidRPr="00EA7C95">
        <w:t>associated</w:t>
      </w:r>
      <w:r w:rsidRPr="00EA7C95">
        <w:rPr>
          <w:spacing w:val="-5"/>
        </w:rPr>
        <w:t xml:space="preserve"> </w:t>
      </w:r>
      <w:r w:rsidRPr="00EA7C95">
        <w:t>purse-seine</w:t>
      </w:r>
      <w:r w:rsidRPr="00EA7C95">
        <w:rPr>
          <w:spacing w:val="-7"/>
        </w:rPr>
        <w:t xml:space="preserve"> </w:t>
      </w:r>
      <w:r w:rsidRPr="00EA7C95">
        <w:t>fisheries</w:t>
      </w:r>
      <w:r w:rsidRPr="00EA7C95">
        <w:rPr>
          <w:spacing w:val="-6"/>
        </w:rPr>
        <w:t xml:space="preserve"> </w:t>
      </w:r>
      <w:r w:rsidRPr="00EA7C95">
        <w:t>and</w:t>
      </w:r>
      <w:r w:rsidRPr="00EA7C95">
        <w:rPr>
          <w:spacing w:val="-5"/>
        </w:rPr>
        <w:t xml:space="preserve"> </w:t>
      </w:r>
      <w:r w:rsidRPr="00EA7C95">
        <w:t>the ‘other’ fisheries within the western</w:t>
      </w:r>
      <w:r w:rsidR="00F27795" w:rsidRPr="00EA7C95">
        <w:t xml:space="preserve"> </w:t>
      </w:r>
      <w:r w:rsidRPr="00EA7C95">
        <w:t>Pacific (as shown in Figures 46 and 47 of</w:t>
      </w:r>
      <w:r w:rsidRPr="00EA7C95">
        <w:rPr>
          <w:spacing w:val="-20"/>
        </w:rPr>
        <w:t xml:space="preserve"> </w:t>
      </w:r>
      <w:r w:rsidRPr="00EA7C95">
        <w:t>SC13-SA-WP-03).</w:t>
      </w:r>
    </w:p>
    <w:p w14:paraId="2B5E60E5" w14:textId="77777777" w:rsidR="00CD5D04" w:rsidRPr="00EA7C95" w:rsidRDefault="00CD5D04" w:rsidP="00586C11">
      <w:pPr>
        <w:pStyle w:val="BodyText"/>
        <w:adjustRightInd w:val="0"/>
        <w:snapToGrid w:val="0"/>
        <w:jc w:val="both"/>
        <w:rPr>
          <w:b w:val="0"/>
        </w:rPr>
      </w:pPr>
    </w:p>
    <w:p w14:paraId="5EB7EE08" w14:textId="77777777" w:rsidR="00CD5D04" w:rsidRPr="00EA7C95" w:rsidRDefault="00CD5D04" w:rsidP="00586C11">
      <w:pPr>
        <w:pStyle w:val="ListParagraph"/>
        <w:numPr>
          <w:ilvl w:val="0"/>
          <w:numId w:val="13"/>
        </w:numPr>
        <w:adjustRightInd w:val="0"/>
        <w:snapToGrid w:val="0"/>
        <w:ind w:left="0" w:right="114" w:firstLine="0"/>
      </w:pPr>
      <w:r w:rsidRPr="00EA7C95">
        <w:lastRenderedPageBreak/>
        <w:t>Table BET-3 summarises the median values of SB/SB</w:t>
      </w:r>
      <w:r w:rsidRPr="00EA7C95">
        <w:rPr>
          <w:vertAlign w:val="subscript"/>
        </w:rPr>
        <w:t>F=0</w:t>
      </w:r>
      <w:r w:rsidRPr="00EA7C95">
        <w:t xml:space="preserve"> and F/F</w:t>
      </w:r>
      <w:r w:rsidRPr="00EA7C95">
        <w:rPr>
          <w:vertAlign w:val="subscript"/>
        </w:rPr>
        <w:t>MSY</w:t>
      </w:r>
      <w:r w:rsidRPr="00EA7C95">
        <w:t xml:space="preserve"> achieved in the long term,</w:t>
      </w:r>
      <w:r w:rsidR="00202FF3" w:rsidRPr="00EA7C95">
        <w:t xml:space="preserve"> </w:t>
      </w:r>
      <w:r w:rsidRPr="00EA7C95">
        <w:t>along with the potential risk of breaching the limit reference point (LRP) and exceeding F</w:t>
      </w:r>
      <w:r w:rsidRPr="00EA7C95">
        <w:rPr>
          <w:vertAlign w:val="subscript"/>
        </w:rPr>
        <w:t>MSY</w:t>
      </w:r>
      <w:r w:rsidRPr="00EA7C95">
        <w:t>,</w:t>
      </w:r>
      <w:r w:rsidR="00202FF3" w:rsidRPr="00EA7C95">
        <w:t xml:space="preserve"> </w:t>
      </w:r>
      <w:r w:rsidRPr="00EA7C95">
        <w:t>under each of the future fishing and recruitment combinations. Figure 1 presents the</w:t>
      </w:r>
      <w:r w:rsidR="00202FF3" w:rsidRPr="00EA7C95">
        <w:t xml:space="preserve"> </w:t>
      </w:r>
      <w:r w:rsidRPr="00EA7C95">
        <w:t>corresponding distributions of long term SB/SB</w:t>
      </w:r>
      <w:r w:rsidRPr="00EA7C95">
        <w:rPr>
          <w:vertAlign w:val="subscript"/>
        </w:rPr>
        <w:t>F=0</w:t>
      </w:r>
      <w:r w:rsidRPr="00EA7C95">
        <w:t xml:space="preserve"> and Figure 2 those for F/F</w:t>
      </w:r>
      <w:r w:rsidRPr="00EA7C95">
        <w:rPr>
          <w:vertAlign w:val="subscript"/>
        </w:rPr>
        <w:t>MSY</w:t>
      </w:r>
      <w:r w:rsidRPr="00EA7C95">
        <w:t>.</w:t>
      </w:r>
      <w:r w:rsidR="00202FF3" w:rsidRPr="00EA7C95">
        <w:t xml:space="preserve"> </w:t>
      </w:r>
      <w:r w:rsidRPr="00EA7C95">
        <w:t>Potential outcomes under the 2013-15 average and CMM scenario conditions were</w:t>
      </w:r>
    </w:p>
    <w:p w14:paraId="513395A0" w14:textId="77777777" w:rsidR="00CD5D04" w:rsidRPr="00EA7C95" w:rsidRDefault="00CD5D04" w:rsidP="00586C11">
      <w:pPr>
        <w:autoSpaceDE w:val="0"/>
        <w:autoSpaceDN w:val="0"/>
        <w:adjustRightInd w:val="0"/>
        <w:snapToGrid w:val="0"/>
        <w:spacing w:after="0" w:line="240" w:lineRule="auto"/>
        <w:jc w:val="both"/>
        <w:rPr>
          <w:rFonts w:ascii="Times New Roman" w:hAnsi="Times New Roman" w:cs="Times New Roman"/>
        </w:rPr>
      </w:pPr>
      <w:r w:rsidRPr="00EA7C95">
        <w:rPr>
          <w:rFonts w:ascii="Times New Roman" w:hAnsi="Times New Roman" w:cs="Times New Roman"/>
        </w:rPr>
        <w:t xml:space="preserve">strongly influenced by the assumed future recruitment levels. </w:t>
      </w:r>
    </w:p>
    <w:p w14:paraId="43000A78" w14:textId="77777777" w:rsidR="00CD5D04" w:rsidRPr="00EA7C95" w:rsidRDefault="00CD5D04" w:rsidP="00586C11">
      <w:pPr>
        <w:autoSpaceDE w:val="0"/>
        <w:autoSpaceDN w:val="0"/>
        <w:adjustRightInd w:val="0"/>
        <w:snapToGrid w:val="0"/>
        <w:spacing w:after="0" w:line="240" w:lineRule="auto"/>
        <w:jc w:val="both"/>
        <w:rPr>
          <w:rFonts w:ascii="Times New Roman" w:hAnsi="Times New Roman" w:cs="Times New Roman"/>
        </w:rPr>
      </w:pPr>
    </w:p>
    <w:p w14:paraId="739E7448" w14:textId="77777777" w:rsidR="00CD5D04" w:rsidRPr="00EA7C95" w:rsidRDefault="00CD5D04" w:rsidP="00586C11">
      <w:pPr>
        <w:pStyle w:val="ListParagraph"/>
        <w:numPr>
          <w:ilvl w:val="0"/>
          <w:numId w:val="13"/>
        </w:numPr>
        <w:adjustRightInd w:val="0"/>
        <w:snapToGrid w:val="0"/>
        <w:ind w:left="0" w:right="114" w:firstLine="0"/>
      </w:pPr>
      <w:r w:rsidRPr="00EA7C95">
        <w:t>Under the assumption that recent positive recruitments will continue into the future, spawning</w:t>
      </w:r>
      <w:r w:rsidR="00202FF3" w:rsidRPr="00EA7C95">
        <w:t xml:space="preserve"> </w:t>
      </w:r>
      <w:r w:rsidRPr="00EA7C95">
        <w:t>biomass relative to unfished levels is predicted to increase from recent levels under all</w:t>
      </w:r>
      <w:r w:rsidR="00202FF3" w:rsidRPr="00EA7C95">
        <w:t xml:space="preserve"> </w:t>
      </w:r>
      <w:r w:rsidRPr="00EA7C95">
        <w:t>examined future scenarios by 0-18% (SB</w:t>
      </w:r>
      <w:r w:rsidRPr="00EA7C95">
        <w:rPr>
          <w:vertAlign w:val="subscript"/>
        </w:rPr>
        <w:t>2045</w:t>
      </w:r>
      <w:r w:rsidRPr="00EA7C95">
        <w:t>/SB</w:t>
      </w:r>
      <w:r w:rsidRPr="00EA7C95">
        <w:rPr>
          <w:vertAlign w:val="subscript"/>
        </w:rPr>
        <w:t>F=0</w:t>
      </w:r>
      <w:r w:rsidRPr="00EA7C95">
        <w:t xml:space="preserve"> ranges from 0.36 to 0.42; Table BET-3, Figure</w:t>
      </w:r>
      <w:r w:rsidR="00202FF3" w:rsidRPr="00EA7C95">
        <w:t xml:space="preserve"> </w:t>
      </w:r>
      <w:r w:rsidRPr="00EA7C95">
        <w:t>BET-6). While future uncertainty in stock status increases due to stochastic future recruitment levels,</w:t>
      </w:r>
      <w:r w:rsidR="00202FF3" w:rsidRPr="00EA7C95">
        <w:t xml:space="preserve"> </w:t>
      </w:r>
      <w:r w:rsidRPr="00EA7C95">
        <w:t>the risk of future spawning biomass falling below the LRP falls to between 0 and 5%, due to</w:t>
      </w:r>
      <w:r w:rsidR="00202FF3" w:rsidRPr="00EA7C95">
        <w:t xml:space="preserve"> </w:t>
      </w:r>
      <w:r w:rsidRPr="00EA7C95">
        <w:t>the improved overall stock size. Fishing mortality falls slightly under both the status quo and</w:t>
      </w:r>
      <w:r w:rsidR="00202FF3" w:rsidRPr="00EA7C95">
        <w:t xml:space="preserve"> </w:t>
      </w:r>
      <w:r w:rsidRPr="00EA7C95">
        <w:t>optimistic scenarios, assuming recent recruitment. However, fishing mortality increases under</w:t>
      </w:r>
      <w:r w:rsidR="00202FF3" w:rsidRPr="00EA7C95">
        <w:t xml:space="preserve"> </w:t>
      </w:r>
      <w:r w:rsidRPr="00EA7C95">
        <w:t>the pessimistic scenario, but remains below F</w:t>
      </w:r>
      <w:r w:rsidRPr="00EA7C95">
        <w:rPr>
          <w:vertAlign w:val="subscript"/>
        </w:rPr>
        <w:t>MSY</w:t>
      </w:r>
      <w:r w:rsidRPr="00EA7C95">
        <w:t xml:space="preserve"> (30% risk of F &gt; F</w:t>
      </w:r>
      <w:r w:rsidRPr="00EA7C95">
        <w:rPr>
          <w:vertAlign w:val="subscript"/>
        </w:rPr>
        <w:t>MSY</w:t>
      </w:r>
      <w:r w:rsidRPr="00EA7C95">
        <w:t xml:space="preserve"> Table BET-3, Figure BET-7). </w:t>
      </w:r>
    </w:p>
    <w:p w14:paraId="20DFF46E" w14:textId="77777777" w:rsidR="00CD5D04" w:rsidRPr="00EA7C95" w:rsidRDefault="00CD5D04" w:rsidP="00586C11">
      <w:pPr>
        <w:autoSpaceDE w:val="0"/>
        <w:autoSpaceDN w:val="0"/>
        <w:adjustRightInd w:val="0"/>
        <w:snapToGrid w:val="0"/>
        <w:spacing w:after="0" w:line="240" w:lineRule="auto"/>
        <w:jc w:val="both"/>
        <w:rPr>
          <w:rFonts w:ascii="Times New Roman" w:hAnsi="Times New Roman" w:cs="Times New Roman"/>
        </w:rPr>
      </w:pPr>
    </w:p>
    <w:p w14:paraId="4AB0E69E" w14:textId="77777777" w:rsidR="00CD5D04" w:rsidRPr="00EA7C95" w:rsidRDefault="00CD5D04" w:rsidP="00586C11">
      <w:pPr>
        <w:pStyle w:val="ListParagraph"/>
        <w:numPr>
          <w:ilvl w:val="0"/>
          <w:numId w:val="13"/>
        </w:numPr>
        <w:adjustRightInd w:val="0"/>
        <w:snapToGrid w:val="0"/>
        <w:ind w:left="0" w:right="114" w:firstLine="0"/>
      </w:pPr>
      <w:r w:rsidRPr="00EA7C95">
        <w:t>Under the assumption that less positive long-term recruitments are experienced in the future,</w:t>
      </w:r>
      <w:r w:rsidR="00202FF3" w:rsidRPr="00EA7C95">
        <w:t xml:space="preserve"> </w:t>
      </w:r>
      <w:r w:rsidRPr="00EA7C95">
        <w:t>spawning biomass relative to unfished levels will decline under all scenarios (SB</w:t>
      </w:r>
      <w:r w:rsidRPr="00EA7C95">
        <w:rPr>
          <w:vertAlign w:val="subscript"/>
        </w:rPr>
        <w:t>2045</w:t>
      </w:r>
      <w:r w:rsidRPr="00EA7C95">
        <w:t>/SB</w:t>
      </w:r>
      <w:r w:rsidRPr="00EA7C95">
        <w:rPr>
          <w:vertAlign w:val="subscript"/>
        </w:rPr>
        <w:t>F=0</w:t>
      </w:r>
      <w:r w:rsidR="00202FF3" w:rsidRPr="00EA7C95">
        <w:t xml:space="preserve"> </w:t>
      </w:r>
      <w:r w:rsidRPr="00EA7C95">
        <w:t>ranges from 0.25 to 0.30). The risk of spawning biomass falling below the LRP increases to</w:t>
      </w:r>
      <w:r w:rsidR="00202FF3" w:rsidRPr="00EA7C95">
        <w:t xml:space="preserve"> </w:t>
      </w:r>
      <w:r w:rsidRPr="00EA7C95">
        <w:t>between 17 and 32% (Table BET-3). In all fishing scenarios, fishing mortality increases relative to</w:t>
      </w:r>
      <w:r w:rsidR="00202FF3" w:rsidRPr="00EA7C95">
        <w:t xml:space="preserve"> </w:t>
      </w:r>
      <w:r w:rsidRPr="00EA7C95">
        <w:t>recent levels (by 109-138%) and is well above F</w:t>
      </w:r>
      <w:r w:rsidRPr="00EA7C95">
        <w:rPr>
          <w:vertAlign w:val="subscript"/>
        </w:rPr>
        <w:t>MSY</w:t>
      </w:r>
      <w:r w:rsidRPr="00EA7C95">
        <w:t>. Risk of fishing mortality exceeding F</w:t>
      </w:r>
      <w:r w:rsidRPr="00EA7C95">
        <w:rPr>
          <w:vertAlign w:val="subscript"/>
        </w:rPr>
        <w:t>MSY</w:t>
      </w:r>
      <w:r w:rsidR="00202FF3" w:rsidRPr="00EA7C95">
        <w:rPr>
          <w:vertAlign w:val="subscript"/>
        </w:rPr>
        <w:t xml:space="preserve"> </w:t>
      </w:r>
      <w:r w:rsidRPr="00EA7C95">
        <w:t xml:space="preserve">ranges from 93 to 98%. </w:t>
      </w:r>
    </w:p>
    <w:p w14:paraId="7F8C2040" w14:textId="77777777" w:rsidR="00934BC8" w:rsidRPr="00EA7C95" w:rsidRDefault="00934BC8" w:rsidP="00586C11">
      <w:pPr>
        <w:autoSpaceDE w:val="0"/>
        <w:autoSpaceDN w:val="0"/>
        <w:adjustRightInd w:val="0"/>
        <w:snapToGrid w:val="0"/>
        <w:spacing w:after="0" w:line="240" w:lineRule="auto"/>
        <w:jc w:val="both"/>
        <w:rPr>
          <w:rFonts w:ascii="Times New Roman" w:hAnsi="Times New Roman" w:cs="Times New Roman"/>
        </w:rPr>
      </w:pPr>
    </w:p>
    <w:p w14:paraId="3DBE23D2" w14:textId="77777777" w:rsidR="00CD5D04" w:rsidRPr="00EA7C95" w:rsidRDefault="00CD5D04" w:rsidP="00586C11">
      <w:pPr>
        <w:pStyle w:val="ListParagraph"/>
        <w:numPr>
          <w:ilvl w:val="0"/>
          <w:numId w:val="13"/>
        </w:numPr>
        <w:adjustRightInd w:val="0"/>
        <w:snapToGrid w:val="0"/>
        <w:ind w:left="0" w:right="114" w:firstLine="0"/>
      </w:pPr>
      <w:r w:rsidRPr="00EA7C95">
        <w:t xml:space="preserve">It should be noted that even under assumption of long term recruitment levels, the risk of exceeding the LRP in the </w:t>
      </w:r>
      <w:r w:rsidR="00184236" w:rsidRPr="00EA7C95">
        <w:t>short-term</w:t>
      </w:r>
      <w:r w:rsidRPr="00EA7C95">
        <w:t xml:space="preserve"> ranges between 2% and 7% (2020) and 12</w:t>
      </w:r>
      <w:r w:rsidR="00202FF3" w:rsidRPr="00EA7C95">
        <w:t>%</w:t>
      </w:r>
      <w:r w:rsidRPr="00EA7C95">
        <w:t xml:space="preserve"> and 26% (2025), with only the pessimistic scenario exceeding the 20% level of risk in 2025. (Table BET-4)</w:t>
      </w:r>
    </w:p>
    <w:p w14:paraId="5F1B787F" w14:textId="77777777" w:rsidR="00805C42" w:rsidRDefault="00805C42" w:rsidP="007F6AFE">
      <w:pPr>
        <w:pStyle w:val="Caption"/>
        <w:keepNext/>
        <w:adjustRightInd w:val="0"/>
        <w:snapToGrid w:val="0"/>
        <w:spacing w:after="0"/>
        <w:rPr>
          <w:rFonts w:ascii="Times New Roman" w:hAnsi="Times New Roman" w:cs="Times New Roman"/>
          <w:b/>
          <w:bCs/>
          <w:i w:val="0"/>
          <w:iCs w:val="0"/>
          <w:sz w:val="22"/>
          <w:szCs w:val="22"/>
        </w:rPr>
      </w:pPr>
    </w:p>
    <w:p w14:paraId="0EE8EAF5" w14:textId="77777777" w:rsidR="008F5B6C" w:rsidRDefault="008F5B6C">
      <w:pPr>
        <w:rPr>
          <w:rFonts w:ascii="Times New Roman" w:hAnsi="Times New Roman" w:cs="Times New Roman"/>
          <w:b/>
          <w:bCs/>
          <w:color w:val="44546A" w:themeColor="text2"/>
          <w:spacing w:val="-4"/>
        </w:rPr>
      </w:pPr>
      <w:r>
        <w:rPr>
          <w:rFonts w:ascii="Times New Roman" w:hAnsi="Times New Roman" w:cs="Times New Roman"/>
          <w:b/>
          <w:bCs/>
          <w:i/>
          <w:iCs/>
          <w:spacing w:val="-4"/>
        </w:rPr>
        <w:br w:type="page"/>
      </w:r>
    </w:p>
    <w:p w14:paraId="107C275A" w14:textId="77777777" w:rsidR="008F5B6C" w:rsidRDefault="008F5B6C" w:rsidP="007F6AFE">
      <w:pPr>
        <w:pStyle w:val="Caption"/>
        <w:keepNext/>
        <w:adjustRightInd w:val="0"/>
        <w:snapToGrid w:val="0"/>
        <w:spacing w:after="0"/>
        <w:rPr>
          <w:rFonts w:ascii="Times New Roman" w:hAnsi="Times New Roman" w:cs="Times New Roman"/>
          <w:b/>
          <w:bCs/>
          <w:i w:val="0"/>
          <w:iCs w:val="0"/>
          <w:spacing w:val="-4"/>
          <w:sz w:val="22"/>
          <w:szCs w:val="22"/>
        </w:rPr>
      </w:pPr>
    </w:p>
    <w:p w14:paraId="0AABD0C5" w14:textId="77777777" w:rsidR="008F5B6C" w:rsidRDefault="008F5B6C" w:rsidP="007F6AFE">
      <w:pPr>
        <w:pStyle w:val="Caption"/>
        <w:keepNext/>
        <w:adjustRightInd w:val="0"/>
        <w:snapToGrid w:val="0"/>
        <w:spacing w:after="0"/>
        <w:rPr>
          <w:rFonts w:ascii="Times New Roman" w:hAnsi="Times New Roman" w:cs="Times New Roman"/>
          <w:b/>
          <w:bCs/>
          <w:i w:val="0"/>
          <w:iCs w:val="0"/>
          <w:spacing w:val="-4"/>
          <w:sz w:val="22"/>
          <w:szCs w:val="22"/>
        </w:rPr>
      </w:pPr>
    </w:p>
    <w:p w14:paraId="58FF45A1" w14:textId="05FE5FBF" w:rsidR="00CD5D04" w:rsidRPr="00805C42" w:rsidRDefault="00CD5D04" w:rsidP="007F6AFE">
      <w:pPr>
        <w:pStyle w:val="Caption"/>
        <w:keepNext/>
        <w:adjustRightInd w:val="0"/>
        <w:snapToGrid w:val="0"/>
        <w:spacing w:after="0"/>
        <w:rPr>
          <w:rFonts w:ascii="Times New Roman" w:hAnsi="Times New Roman" w:cs="Times New Roman"/>
          <w:i w:val="0"/>
          <w:iCs w:val="0"/>
          <w:spacing w:val="-4"/>
          <w:sz w:val="22"/>
          <w:szCs w:val="22"/>
        </w:rPr>
      </w:pPr>
      <w:r w:rsidRPr="00805C42">
        <w:rPr>
          <w:rFonts w:ascii="Times New Roman" w:hAnsi="Times New Roman" w:cs="Times New Roman"/>
          <w:b/>
          <w:bCs/>
          <w:i w:val="0"/>
          <w:iCs w:val="0"/>
          <w:spacing w:val="-4"/>
          <w:sz w:val="22"/>
          <w:szCs w:val="22"/>
        </w:rPr>
        <w:t>Table BET-3</w:t>
      </w:r>
      <w:r w:rsidR="007F6AFE" w:rsidRPr="00805C42">
        <w:rPr>
          <w:rFonts w:ascii="Times New Roman" w:hAnsi="Times New Roman" w:cs="Times New Roman"/>
          <w:b/>
          <w:bCs/>
          <w:i w:val="0"/>
          <w:iCs w:val="0"/>
          <w:spacing w:val="-4"/>
          <w:sz w:val="22"/>
          <w:szCs w:val="22"/>
        </w:rPr>
        <w:t>.</w:t>
      </w:r>
      <w:r w:rsidRPr="00805C42">
        <w:rPr>
          <w:rFonts w:ascii="Times New Roman" w:hAnsi="Times New Roman" w:cs="Times New Roman"/>
          <w:i w:val="0"/>
          <w:iCs w:val="0"/>
          <w:spacing w:val="-4"/>
          <w:sz w:val="22"/>
          <w:szCs w:val="22"/>
        </w:rPr>
        <w:t xml:space="preserve"> Including ‘2013-15 average levels’</w:t>
      </w:r>
    </w:p>
    <w:p w14:paraId="49FED947" w14:textId="77777777" w:rsidR="00CD5D04" w:rsidRPr="00805C42" w:rsidRDefault="00CD5D04" w:rsidP="007F6AFE">
      <w:pPr>
        <w:pStyle w:val="ListParagraph"/>
        <w:adjustRightInd w:val="0"/>
        <w:snapToGrid w:val="0"/>
        <w:ind w:left="0" w:right="114"/>
        <w:rPr>
          <w:spacing w:val="-4"/>
        </w:rPr>
      </w:pPr>
      <w:r w:rsidRPr="00805C42">
        <w:rPr>
          <w:spacing w:val="-4"/>
        </w:rPr>
        <w:t>Median values of reference point levels (adopted limit reference point (LRP) of 20% SBF=0; FMSY) and risk1 of breaching reference points from the 2017 bigeye stock assessment incorporating updated growth information, and in 2045 under the three future harvest scenarios (2013-15 average fishing levels, optimistic and pessimistic) and alternative recruitment hypotheses. ‘Updated new growth’ runs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27"/>
        <w:gridCol w:w="656"/>
        <w:gridCol w:w="897"/>
        <w:gridCol w:w="1168"/>
        <w:gridCol w:w="1220"/>
        <w:gridCol w:w="953"/>
        <w:gridCol w:w="843"/>
        <w:gridCol w:w="647"/>
        <w:gridCol w:w="843"/>
      </w:tblGrid>
      <w:tr w:rsidR="00E465D9" w:rsidRPr="00EA7C95" w14:paraId="31EEFF52" w14:textId="77777777" w:rsidTr="007F6AFE">
        <w:trPr>
          <w:jc w:val="center"/>
        </w:trPr>
        <w:tc>
          <w:tcPr>
            <w:tcW w:w="0" w:type="auto"/>
            <w:gridSpan w:val="2"/>
            <w:vAlign w:val="center"/>
          </w:tcPr>
          <w:p w14:paraId="14B14C3A"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Scenario</w:t>
            </w:r>
          </w:p>
        </w:tc>
        <w:tc>
          <w:tcPr>
            <w:tcW w:w="0" w:type="auto"/>
            <w:gridSpan w:val="2"/>
            <w:shd w:val="clear" w:color="auto" w:fill="auto"/>
            <w:vAlign w:val="center"/>
          </w:tcPr>
          <w:p w14:paraId="70C60244"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Scalars relative to 2013-2015</w:t>
            </w:r>
          </w:p>
        </w:tc>
        <w:tc>
          <w:tcPr>
            <w:tcW w:w="1331" w:type="dxa"/>
            <w:vMerge w:val="restart"/>
            <w:shd w:val="clear" w:color="auto" w:fill="auto"/>
            <w:vAlign w:val="center"/>
          </w:tcPr>
          <w:p w14:paraId="7751E98E"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Median SB</w:t>
            </w:r>
            <w:r w:rsidRPr="00EA7C95">
              <w:rPr>
                <w:rFonts w:ascii="Times New Roman" w:hAnsi="Times New Roman" w:cs="Times New Roman"/>
                <w:b/>
                <w:sz w:val="18"/>
                <w:szCs w:val="18"/>
                <w:vertAlign w:val="subscript"/>
              </w:rPr>
              <w:t>2045</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tc>
        <w:tc>
          <w:tcPr>
            <w:tcW w:w="1842" w:type="dxa"/>
            <w:vMerge w:val="restart"/>
            <w:shd w:val="clear" w:color="auto" w:fill="auto"/>
            <w:vAlign w:val="center"/>
          </w:tcPr>
          <w:p w14:paraId="1C79DA5C" w14:textId="4AA862A0" w:rsidR="00CD5D04" w:rsidRPr="00EA7C95" w:rsidRDefault="00CD5D04" w:rsidP="007F6AFE">
            <w:pPr>
              <w:adjustRightInd w:val="0"/>
              <w:snapToGrid w:val="0"/>
              <w:spacing w:after="0" w:line="240" w:lineRule="auto"/>
              <w:jc w:val="center"/>
              <w:rPr>
                <w:rFonts w:ascii="Times New Roman" w:hAnsi="Times New Roman" w:cs="Times New Roman"/>
                <w:b/>
                <w:sz w:val="18"/>
                <w:szCs w:val="18"/>
                <w:vertAlign w:val="subscript"/>
              </w:rPr>
            </w:pPr>
            <w:r w:rsidRPr="00EA7C95">
              <w:rPr>
                <w:rFonts w:ascii="Times New Roman" w:hAnsi="Times New Roman" w:cs="Times New Roman"/>
                <w:b/>
                <w:sz w:val="18"/>
                <w:szCs w:val="18"/>
              </w:rPr>
              <w:t>Median SB</w:t>
            </w:r>
            <w:r w:rsidRPr="00EA7C95">
              <w:rPr>
                <w:rFonts w:ascii="Times New Roman" w:hAnsi="Times New Roman" w:cs="Times New Roman"/>
                <w:b/>
                <w:sz w:val="18"/>
                <w:szCs w:val="18"/>
                <w:vertAlign w:val="subscript"/>
              </w:rPr>
              <w:t>2045</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p w14:paraId="09BAB2F3" w14:textId="38DC6DE4"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v</w:t>
            </w:r>
          </w:p>
          <w:p w14:paraId="5A6FB83E" w14:textId="77777777" w:rsidR="00CD5D04" w:rsidRPr="00EA7C95" w:rsidRDefault="00CD5D04" w:rsidP="007F6AFE">
            <w:pPr>
              <w:adjustRightInd w:val="0"/>
              <w:snapToGrid w:val="0"/>
              <w:spacing w:after="0" w:line="240" w:lineRule="auto"/>
              <w:ind w:left="-114" w:right="-110"/>
              <w:jc w:val="center"/>
              <w:rPr>
                <w:rFonts w:ascii="Times New Roman" w:hAnsi="Times New Roman" w:cs="Times New Roman"/>
                <w:b/>
                <w:sz w:val="18"/>
                <w:szCs w:val="18"/>
              </w:rPr>
            </w:pP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2012-15</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tc>
        <w:tc>
          <w:tcPr>
            <w:tcW w:w="1560" w:type="dxa"/>
            <w:vMerge w:val="restart"/>
            <w:shd w:val="clear" w:color="auto" w:fill="auto"/>
            <w:vAlign w:val="center"/>
          </w:tcPr>
          <w:p w14:paraId="0AFC038F" w14:textId="7B708E8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Median</w:t>
            </w:r>
          </w:p>
          <w:p w14:paraId="0121410C"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p>
          <w:p w14:paraId="73C91065"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vertAlign w:val="superscript"/>
              </w:rPr>
            </w:pPr>
            <w:r w:rsidRPr="00EA7C95">
              <w:rPr>
                <w:rFonts w:ascii="Times New Roman" w:hAnsi="Times New Roman" w:cs="Times New Roman"/>
                <w:b/>
                <w:sz w:val="18"/>
                <w:szCs w:val="18"/>
              </w:rPr>
              <w:t>F</w:t>
            </w:r>
            <w:r w:rsidRPr="00EA7C95">
              <w:rPr>
                <w:rFonts w:ascii="Times New Roman" w:hAnsi="Times New Roman" w:cs="Times New Roman"/>
                <w:b/>
                <w:sz w:val="18"/>
                <w:szCs w:val="18"/>
                <w:vertAlign w:val="subscript"/>
              </w:rPr>
              <w:t>2041-2044</w:t>
            </w:r>
            <w:r w:rsidRPr="00EA7C95">
              <w:rPr>
                <w:rFonts w:ascii="Times New Roman" w:hAnsi="Times New Roman" w:cs="Times New Roman"/>
                <w:b/>
                <w:sz w:val="18"/>
                <w:szCs w:val="18"/>
              </w:rPr>
              <w:t>/F</w:t>
            </w:r>
            <w:r w:rsidRPr="00EA7C95">
              <w:rPr>
                <w:rFonts w:ascii="Times New Roman" w:hAnsi="Times New Roman" w:cs="Times New Roman"/>
                <w:b/>
                <w:sz w:val="18"/>
                <w:szCs w:val="18"/>
                <w:vertAlign w:val="subscript"/>
              </w:rPr>
              <w:t>MSY</w:t>
            </w:r>
          </w:p>
        </w:tc>
        <w:tc>
          <w:tcPr>
            <w:tcW w:w="2126" w:type="dxa"/>
            <w:vMerge w:val="restart"/>
            <w:shd w:val="clear" w:color="auto" w:fill="auto"/>
            <w:vAlign w:val="center"/>
          </w:tcPr>
          <w:p w14:paraId="0386E4E3" w14:textId="2818D4EB" w:rsidR="00CD5D04" w:rsidRPr="00EA7C95" w:rsidRDefault="00CD5D04" w:rsidP="007F6AFE">
            <w:pPr>
              <w:adjustRightInd w:val="0"/>
              <w:snapToGrid w:val="0"/>
              <w:spacing w:after="0" w:line="240" w:lineRule="auto"/>
              <w:ind w:left="-110" w:right="-110"/>
              <w:jc w:val="center"/>
              <w:rPr>
                <w:rFonts w:ascii="Times New Roman" w:hAnsi="Times New Roman" w:cs="Times New Roman"/>
                <w:b/>
                <w:sz w:val="18"/>
                <w:szCs w:val="18"/>
                <w:vertAlign w:val="subscript"/>
              </w:rPr>
            </w:pPr>
            <w:r w:rsidRPr="00EA7C95">
              <w:rPr>
                <w:rFonts w:ascii="Times New Roman" w:hAnsi="Times New Roman" w:cs="Times New Roman"/>
                <w:b/>
                <w:sz w:val="18"/>
                <w:szCs w:val="18"/>
              </w:rPr>
              <w:t>Median F</w:t>
            </w:r>
            <w:r w:rsidRPr="00EA7C95">
              <w:rPr>
                <w:rFonts w:ascii="Times New Roman" w:hAnsi="Times New Roman" w:cs="Times New Roman"/>
                <w:b/>
                <w:sz w:val="18"/>
                <w:szCs w:val="18"/>
                <w:vertAlign w:val="subscript"/>
              </w:rPr>
              <w:t>2041-2044</w:t>
            </w:r>
            <w:r w:rsidRPr="00EA7C95">
              <w:rPr>
                <w:rFonts w:ascii="Times New Roman" w:hAnsi="Times New Roman" w:cs="Times New Roman"/>
                <w:b/>
                <w:sz w:val="18"/>
                <w:szCs w:val="18"/>
              </w:rPr>
              <w:t>/</w:t>
            </w:r>
            <w:r w:rsidR="007F6AFE" w:rsidRPr="00EA7C95">
              <w:rPr>
                <w:rFonts w:ascii="Times New Roman" w:hAnsi="Times New Roman" w:cs="Times New Roman"/>
                <w:b/>
                <w:sz w:val="18"/>
                <w:szCs w:val="18"/>
              </w:rPr>
              <w:t xml:space="preserve"> </w:t>
            </w:r>
            <w:r w:rsidRPr="00EA7C95">
              <w:rPr>
                <w:rFonts w:ascii="Times New Roman" w:hAnsi="Times New Roman" w:cs="Times New Roman"/>
                <w:b/>
                <w:sz w:val="18"/>
                <w:szCs w:val="18"/>
              </w:rPr>
              <w:t>F</w:t>
            </w:r>
            <w:r w:rsidRPr="00EA7C95">
              <w:rPr>
                <w:rFonts w:ascii="Times New Roman" w:hAnsi="Times New Roman" w:cs="Times New Roman"/>
                <w:b/>
                <w:sz w:val="18"/>
                <w:szCs w:val="18"/>
                <w:vertAlign w:val="subscript"/>
              </w:rPr>
              <w:t xml:space="preserve">MSY </w:t>
            </w:r>
            <w:r w:rsidRPr="00EA7C95">
              <w:rPr>
                <w:rFonts w:ascii="Times New Roman" w:hAnsi="Times New Roman" w:cs="Times New Roman"/>
                <w:b/>
                <w:sz w:val="18"/>
                <w:szCs w:val="18"/>
              </w:rPr>
              <w:t>v</w:t>
            </w:r>
            <w:r w:rsidR="007F6AFE" w:rsidRPr="00EA7C95">
              <w:rPr>
                <w:rFonts w:ascii="Times New Roman" w:hAnsi="Times New Roman" w:cs="Times New Roman"/>
                <w:b/>
                <w:sz w:val="18"/>
                <w:szCs w:val="18"/>
              </w:rPr>
              <w:t>s</w:t>
            </w:r>
          </w:p>
          <w:p w14:paraId="69079095" w14:textId="397D1A32" w:rsidR="00CD5D04" w:rsidRPr="00EA7C95" w:rsidRDefault="00CD5D04" w:rsidP="007F6AFE">
            <w:pPr>
              <w:adjustRightInd w:val="0"/>
              <w:snapToGrid w:val="0"/>
              <w:spacing w:after="0" w:line="240" w:lineRule="auto"/>
              <w:ind w:left="-186" w:right="-115"/>
              <w:jc w:val="center"/>
              <w:rPr>
                <w:rFonts w:ascii="Times New Roman" w:hAnsi="Times New Roman" w:cs="Times New Roman"/>
                <w:b/>
                <w:sz w:val="18"/>
                <w:szCs w:val="18"/>
                <w:vertAlign w:val="subscript"/>
              </w:rPr>
            </w:pPr>
            <w:r w:rsidRPr="00EA7C95">
              <w:rPr>
                <w:rFonts w:ascii="Times New Roman" w:hAnsi="Times New Roman" w:cs="Times New Roman"/>
                <w:b/>
                <w:sz w:val="18"/>
                <w:szCs w:val="18"/>
              </w:rPr>
              <w:t>F</w:t>
            </w:r>
            <w:r w:rsidRPr="00EA7C95">
              <w:rPr>
                <w:rFonts w:ascii="Times New Roman" w:hAnsi="Times New Roman" w:cs="Times New Roman"/>
                <w:b/>
                <w:sz w:val="18"/>
                <w:szCs w:val="18"/>
                <w:vertAlign w:val="subscript"/>
              </w:rPr>
              <w:t>2011-14</w:t>
            </w:r>
            <w:r w:rsidRPr="00EA7C95">
              <w:rPr>
                <w:rFonts w:ascii="Times New Roman" w:hAnsi="Times New Roman" w:cs="Times New Roman"/>
                <w:b/>
                <w:sz w:val="18"/>
                <w:szCs w:val="18"/>
              </w:rPr>
              <w:t>/</w:t>
            </w:r>
            <w:r w:rsidR="007F6AFE" w:rsidRPr="00EA7C95">
              <w:rPr>
                <w:rFonts w:ascii="Times New Roman" w:hAnsi="Times New Roman" w:cs="Times New Roman"/>
                <w:b/>
                <w:sz w:val="18"/>
                <w:szCs w:val="18"/>
              </w:rPr>
              <w:t xml:space="preserve"> </w:t>
            </w:r>
            <w:r w:rsidRPr="00EA7C95">
              <w:rPr>
                <w:rFonts w:ascii="Times New Roman" w:hAnsi="Times New Roman" w:cs="Times New Roman"/>
                <w:b/>
                <w:sz w:val="18"/>
                <w:szCs w:val="18"/>
              </w:rPr>
              <w:t>F</w:t>
            </w:r>
            <w:r w:rsidRPr="00EA7C95">
              <w:rPr>
                <w:rFonts w:ascii="Times New Roman" w:hAnsi="Times New Roman" w:cs="Times New Roman"/>
                <w:b/>
                <w:sz w:val="18"/>
                <w:szCs w:val="18"/>
                <w:vertAlign w:val="subscript"/>
              </w:rPr>
              <w:t>MSY</w:t>
            </w:r>
          </w:p>
        </w:tc>
        <w:tc>
          <w:tcPr>
            <w:tcW w:w="2442" w:type="dxa"/>
            <w:gridSpan w:val="2"/>
            <w:shd w:val="clear" w:color="auto" w:fill="auto"/>
            <w:vAlign w:val="center"/>
          </w:tcPr>
          <w:p w14:paraId="6242A634" w14:textId="5BAD0938"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Risk</w:t>
            </w:r>
          </w:p>
        </w:tc>
      </w:tr>
      <w:tr w:rsidR="007F6AFE" w:rsidRPr="00EA7C95" w14:paraId="386116B4" w14:textId="77777777" w:rsidTr="007F6AFE">
        <w:trPr>
          <w:jc w:val="center"/>
        </w:trPr>
        <w:tc>
          <w:tcPr>
            <w:tcW w:w="0" w:type="auto"/>
            <w:vAlign w:val="center"/>
          </w:tcPr>
          <w:p w14:paraId="38C5ABE1" w14:textId="77777777" w:rsidR="00CD5D04" w:rsidRPr="00EA7C95" w:rsidRDefault="00CD5D04" w:rsidP="007F6AFE">
            <w:pPr>
              <w:adjustRightInd w:val="0"/>
              <w:snapToGrid w:val="0"/>
              <w:spacing w:after="0" w:line="240" w:lineRule="auto"/>
              <w:ind w:left="-90" w:right="-24"/>
              <w:jc w:val="center"/>
              <w:rPr>
                <w:rFonts w:ascii="Times New Roman" w:hAnsi="Times New Roman" w:cs="Times New Roman"/>
                <w:b/>
                <w:sz w:val="18"/>
                <w:szCs w:val="18"/>
              </w:rPr>
            </w:pPr>
            <w:r w:rsidRPr="00EA7C95">
              <w:rPr>
                <w:rFonts w:ascii="Times New Roman" w:hAnsi="Times New Roman" w:cs="Times New Roman"/>
                <w:b/>
                <w:sz w:val="18"/>
                <w:szCs w:val="18"/>
              </w:rPr>
              <w:t>Recruitment</w:t>
            </w:r>
          </w:p>
        </w:tc>
        <w:tc>
          <w:tcPr>
            <w:tcW w:w="0" w:type="auto"/>
            <w:vAlign w:val="center"/>
          </w:tcPr>
          <w:p w14:paraId="125FAE55" w14:textId="77777777" w:rsidR="00CD5D04" w:rsidRPr="00EA7C95" w:rsidRDefault="00CD5D04" w:rsidP="007F6AFE">
            <w:pPr>
              <w:adjustRightInd w:val="0"/>
              <w:snapToGrid w:val="0"/>
              <w:spacing w:after="0" w:line="240" w:lineRule="auto"/>
              <w:ind w:left="-76" w:right="-106"/>
              <w:jc w:val="center"/>
              <w:rPr>
                <w:rFonts w:ascii="Times New Roman" w:hAnsi="Times New Roman" w:cs="Times New Roman"/>
                <w:b/>
                <w:sz w:val="18"/>
                <w:szCs w:val="18"/>
              </w:rPr>
            </w:pPr>
            <w:r w:rsidRPr="00EA7C95">
              <w:rPr>
                <w:rFonts w:ascii="Times New Roman" w:hAnsi="Times New Roman" w:cs="Times New Roman"/>
                <w:b/>
                <w:sz w:val="18"/>
                <w:szCs w:val="18"/>
              </w:rPr>
              <w:t>Fishing level</w:t>
            </w:r>
          </w:p>
        </w:tc>
        <w:tc>
          <w:tcPr>
            <w:tcW w:w="0" w:type="auto"/>
            <w:shd w:val="clear" w:color="auto" w:fill="auto"/>
            <w:vAlign w:val="center"/>
          </w:tcPr>
          <w:p w14:paraId="7BAFB350"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Purse seine</w:t>
            </w:r>
          </w:p>
        </w:tc>
        <w:tc>
          <w:tcPr>
            <w:tcW w:w="0" w:type="auto"/>
            <w:shd w:val="clear" w:color="auto" w:fill="auto"/>
            <w:vAlign w:val="center"/>
          </w:tcPr>
          <w:p w14:paraId="1E7F0C5C"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Longline</w:t>
            </w:r>
          </w:p>
        </w:tc>
        <w:tc>
          <w:tcPr>
            <w:tcW w:w="1331" w:type="dxa"/>
            <w:vMerge/>
            <w:shd w:val="clear" w:color="auto" w:fill="auto"/>
            <w:vAlign w:val="center"/>
          </w:tcPr>
          <w:p w14:paraId="0B09E87C"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p>
        </w:tc>
        <w:tc>
          <w:tcPr>
            <w:tcW w:w="1842" w:type="dxa"/>
            <w:vMerge/>
            <w:shd w:val="clear" w:color="auto" w:fill="auto"/>
            <w:vAlign w:val="center"/>
          </w:tcPr>
          <w:p w14:paraId="1628A654"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p>
        </w:tc>
        <w:tc>
          <w:tcPr>
            <w:tcW w:w="1560" w:type="dxa"/>
            <w:vMerge/>
            <w:shd w:val="clear" w:color="auto" w:fill="auto"/>
            <w:vAlign w:val="center"/>
          </w:tcPr>
          <w:p w14:paraId="3081B0B8"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p>
        </w:tc>
        <w:tc>
          <w:tcPr>
            <w:tcW w:w="2126" w:type="dxa"/>
            <w:vMerge/>
            <w:shd w:val="clear" w:color="auto" w:fill="auto"/>
            <w:vAlign w:val="center"/>
          </w:tcPr>
          <w:p w14:paraId="7A655244"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p>
        </w:tc>
        <w:tc>
          <w:tcPr>
            <w:tcW w:w="1276" w:type="dxa"/>
            <w:shd w:val="clear" w:color="auto" w:fill="auto"/>
            <w:vAlign w:val="center"/>
          </w:tcPr>
          <w:p w14:paraId="1C11E93A" w14:textId="77777777" w:rsidR="00CD5D04" w:rsidRPr="00EA7C95" w:rsidRDefault="00CD5D04" w:rsidP="007F6AFE">
            <w:pPr>
              <w:adjustRightInd w:val="0"/>
              <w:snapToGrid w:val="0"/>
              <w:spacing w:after="0" w:line="240" w:lineRule="auto"/>
              <w:ind w:left="-102" w:right="-74"/>
              <w:jc w:val="center"/>
              <w:rPr>
                <w:rFonts w:ascii="Times New Roman" w:hAnsi="Times New Roman" w:cs="Times New Roman"/>
                <w:b/>
                <w:sz w:val="18"/>
                <w:szCs w:val="18"/>
              </w:rPr>
            </w:pP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2045</w:t>
            </w:r>
            <w:r w:rsidRPr="00EA7C95">
              <w:rPr>
                <w:rFonts w:ascii="Times New Roman" w:hAnsi="Times New Roman" w:cs="Times New Roman"/>
                <w:b/>
                <w:sz w:val="18"/>
                <w:szCs w:val="18"/>
              </w:rPr>
              <w:t xml:space="preserve"> &lt; LRP</w:t>
            </w:r>
          </w:p>
        </w:tc>
        <w:tc>
          <w:tcPr>
            <w:tcW w:w="1166" w:type="dxa"/>
            <w:vAlign w:val="center"/>
          </w:tcPr>
          <w:p w14:paraId="762D068C"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F&gt;F</w:t>
            </w:r>
            <w:r w:rsidRPr="00EA7C95">
              <w:rPr>
                <w:rFonts w:ascii="Times New Roman" w:hAnsi="Times New Roman" w:cs="Times New Roman"/>
                <w:b/>
                <w:sz w:val="18"/>
                <w:szCs w:val="18"/>
                <w:vertAlign w:val="subscript"/>
              </w:rPr>
              <w:t>MSY</w:t>
            </w:r>
          </w:p>
        </w:tc>
      </w:tr>
      <w:tr w:rsidR="00E465D9" w:rsidRPr="00EA7C95" w14:paraId="6A5F21AC" w14:textId="77777777" w:rsidTr="007F6AFE">
        <w:trPr>
          <w:jc w:val="center"/>
        </w:trPr>
        <w:tc>
          <w:tcPr>
            <w:tcW w:w="0" w:type="auto"/>
            <w:gridSpan w:val="4"/>
          </w:tcPr>
          <w:p w14:paraId="7FB0DC5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i/>
                <w:sz w:val="18"/>
                <w:szCs w:val="18"/>
              </w:rPr>
              <w:t>Bigeye assessment (‘recent’ levels)</w:t>
            </w:r>
          </w:p>
        </w:tc>
        <w:tc>
          <w:tcPr>
            <w:tcW w:w="1331" w:type="dxa"/>
            <w:shd w:val="clear" w:color="auto" w:fill="auto"/>
          </w:tcPr>
          <w:p w14:paraId="3F0102F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0.36</w:t>
            </w:r>
          </w:p>
        </w:tc>
        <w:tc>
          <w:tcPr>
            <w:tcW w:w="1842" w:type="dxa"/>
            <w:shd w:val="clear" w:color="auto" w:fill="auto"/>
          </w:tcPr>
          <w:p w14:paraId="24DB9B2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w:t>
            </w:r>
          </w:p>
        </w:tc>
        <w:tc>
          <w:tcPr>
            <w:tcW w:w="1560" w:type="dxa"/>
            <w:shd w:val="clear" w:color="auto" w:fill="auto"/>
          </w:tcPr>
          <w:p w14:paraId="17DC878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0.77</w:t>
            </w:r>
          </w:p>
        </w:tc>
        <w:tc>
          <w:tcPr>
            <w:tcW w:w="2126" w:type="dxa"/>
            <w:shd w:val="clear" w:color="auto" w:fill="auto"/>
          </w:tcPr>
          <w:p w14:paraId="0247334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w:t>
            </w:r>
          </w:p>
        </w:tc>
        <w:tc>
          <w:tcPr>
            <w:tcW w:w="1276" w:type="dxa"/>
            <w:shd w:val="clear" w:color="auto" w:fill="auto"/>
          </w:tcPr>
          <w:p w14:paraId="00864B3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1166" w:type="dxa"/>
          </w:tcPr>
          <w:p w14:paraId="3AFF2C9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6%</w:t>
            </w:r>
          </w:p>
        </w:tc>
      </w:tr>
      <w:tr w:rsidR="00CD5D04" w:rsidRPr="00EA7C95" w14:paraId="177E5652" w14:textId="77777777" w:rsidTr="00F27795">
        <w:trPr>
          <w:jc w:val="center"/>
        </w:trPr>
        <w:tc>
          <w:tcPr>
            <w:tcW w:w="14174" w:type="dxa"/>
            <w:gridSpan w:val="10"/>
          </w:tcPr>
          <w:p w14:paraId="5E9BBBBE" w14:textId="77777777" w:rsidR="00CD5D04" w:rsidRPr="00EA7C95" w:rsidRDefault="00CD5D04" w:rsidP="00586C11">
            <w:pPr>
              <w:adjustRightInd w:val="0"/>
              <w:snapToGrid w:val="0"/>
              <w:spacing w:after="0" w:line="240" w:lineRule="auto"/>
              <w:jc w:val="center"/>
              <w:rPr>
                <w:rFonts w:ascii="Times New Roman" w:hAnsi="Times New Roman" w:cs="Times New Roman"/>
                <w:i/>
                <w:sz w:val="18"/>
                <w:szCs w:val="18"/>
              </w:rPr>
            </w:pPr>
          </w:p>
        </w:tc>
      </w:tr>
      <w:tr w:rsidR="007F6AFE" w:rsidRPr="00EA7C95" w14:paraId="4EB395A5" w14:textId="77777777" w:rsidTr="007F6AFE">
        <w:trPr>
          <w:jc w:val="center"/>
        </w:trPr>
        <w:tc>
          <w:tcPr>
            <w:tcW w:w="0" w:type="auto"/>
            <w:vMerge w:val="restart"/>
          </w:tcPr>
          <w:p w14:paraId="64C249A6"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Recent</w:t>
            </w:r>
          </w:p>
        </w:tc>
        <w:tc>
          <w:tcPr>
            <w:tcW w:w="0" w:type="auto"/>
          </w:tcPr>
          <w:p w14:paraId="0C90588C" w14:textId="77777777" w:rsidR="00CD5D04" w:rsidRPr="00EA7C95" w:rsidRDefault="00CD5D04" w:rsidP="007F6AFE">
            <w:pPr>
              <w:adjustRightInd w:val="0"/>
              <w:snapToGrid w:val="0"/>
              <w:spacing w:after="0" w:line="240" w:lineRule="auto"/>
              <w:ind w:left="-76" w:right="-106"/>
              <w:rPr>
                <w:rFonts w:ascii="Times New Roman" w:hAnsi="Times New Roman" w:cs="Times New Roman"/>
                <w:sz w:val="18"/>
                <w:szCs w:val="18"/>
              </w:rPr>
            </w:pPr>
            <w:r w:rsidRPr="00EA7C95">
              <w:rPr>
                <w:rFonts w:ascii="Times New Roman" w:hAnsi="Times New Roman" w:cs="Times New Roman"/>
                <w:sz w:val="18"/>
                <w:szCs w:val="18"/>
              </w:rPr>
              <w:t xml:space="preserve">2013-15 avg </w:t>
            </w:r>
          </w:p>
        </w:tc>
        <w:tc>
          <w:tcPr>
            <w:tcW w:w="0" w:type="auto"/>
            <w:shd w:val="clear" w:color="auto" w:fill="auto"/>
          </w:tcPr>
          <w:p w14:paraId="18A1B44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0" w:type="auto"/>
            <w:shd w:val="clear" w:color="auto" w:fill="auto"/>
          </w:tcPr>
          <w:p w14:paraId="0E8DAAD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1331" w:type="dxa"/>
            <w:shd w:val="clear" w:color="auto" w:fill="auto"/>
          </w:tcPr>
          <w:p w14:paraId="6BE0940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0.42</w:t>
            </w:r>
          </w:p>
        </w:tc>
        <w:tc>
          <w:tcPr>
            <w:tcW w:w="1842" w:type="dxa"/>
            <w:shd w:val="clear" w:color="auto" w:fill="auto"/>
          </w:tcPr>
          <w:p w14:paraId="219CF0F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1.18</w:t>
            </w:r>
          </w:p>
        </w:tc>
        <w:tc>
          <w:tcPr>
            <w:tcW w:w="1560" w:type="dxa"/>
            <w:shd w:val="clear" w:color="auto" w:fill="auto"/>
          </w:tcPr>
          <w:p w14:paraId="1CD62FB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0.73</w:t>
            </w:r>
          </w:p>
        </w:tc>
        <w:tc>
          <w:tcPr>
            <w:tcW w:w="2126" w:type="dxa"/>
            <w:shd w:val="clear" w:color="auto" w:fill="auto"/>
          </w:tcPr>
          <w:p w14:paraId="5FF076F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0.95</w:t>
            </w:r>
          </w:p>
        </w:tc>
        <w:tc>
          <w:tcPr>
            <w:tcW w:w="1276" w:type="dxa"/>
            <w:shd w:val="clear" w:color="auto" w:fill="auto"/>
          </w:tcPr>
          <w:p w14:paraId="27109728"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1166" w:type="dxa"/>
          </w:tcPr>
          <w:p w14:paraId="4283A09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w:t>
            </w:r>
          </w:p>
        </w:tc>
      </w:tr>
      <w:tr w:rsidR="007F6AFE" w:rsidRPr="00EA7C95" w14:paraId="1CD857DF" w14:textId="77777777" w:rsidTr="007F6AFE">
        <w:trPr>
          <w:jc w:val="center"/>
        </w:trPr>
        <w:tc>
          <w:tcPr>
            <w:tcW w:w="0" w:type="auto"/>
            <w:vMerge/>
          </w:tcPr>
          <w:p w14:paraId="5A80B2E8"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Pr>
          <w:p w14:paraId="165C5190"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Optimistic</w:t>
            </w:r>
          </w:p>
        </w:tc>
        <w:tc>
          <w:tcPr>
            <w:tcW w:w="0" w:type="auto"/>
            <w:shd w:val="clear" w:color="auto" w:fill="auto"/>
          </w:tcPr>
          <w:p w14:paraId="6EB1CEA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1.11</w:t>
            </w:r>
          </w:p>
        </w:tc>
        <w:tc>
          <w:tcPr>
            <w:tcW w:w="0" w:type="auto"/>
            <w:shd w:val="clear" w:color="auto" w:fill="auto"/>
          </w:tcPr>
          <w:p w14:paraId="36512E7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0.98</w:t>
            </w:r>
          </w:p>
        </w:tc>
        <w:tc>
          <w:tcPr>
            <w:tcW w:w="1331" w:type="dxa"/>
            <w:shd w:val="clear" w:color="auto" w:fill="auto"/>
          </w:tcPr>
          <w:p w14:paraId="636F55D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0.41</w:t>
            </w:r>
          </w:p>
        </w:tc>
        <w:tc>
          <w:tcPr>
            <w:tcW w:w="1842" w:type="dxa"/>
            <w:shd w:val="clear" w:color="auto" w:fill="auto"/>
          </w:tcPr>
          <w:p w14:paraId="413C895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1.15</w:t>
            </w:r>
          </w:p>
        </w:tc>
        <w:tc>
          <w:tcPr>
            <w:tcW w:w="1560" w:type="dxa"/>
            <w:shd w:val="clear" w:color="auto" w:fill="auto"/>
          </w:tcPr>
          <w:p w14:paraId="4A6ED5C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0.75</w:t>
            </w:r>
          </w:p>
        </w:tc>
        <w:tc>
          <w:tcPr>
            <w:tcW w:w="2126" w:type="dxa"/>
            <w:shd w:val="clear" w:color="auto" w:fill="auto"/>
          </w:tcPr>
          <w:p w14:paraId="190D26F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0.98</w:t>
            </w:r>
          </w:p>
        </w:tc>
        <w:tc>
          <w:tcPr>
            <w:tcW w:w="1276" w:type="dxa"/>
            <w:shd w:val="clear" w:color="auto" w:fill="auto"/>
          </w:tcPr>
          <w:p w14:paraId="289B9CA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1166" w:type="dxa"/>
          </w:tcPr>
          <w:p w14:paraId="74D4A55A"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w:t>
            </w:r>
          </w:p>
        </w:tc>
      </w:tr>
      <w:tr w:rsidR="007F6AFE" w:rsidRPr="00EA7C95" w14:paraId="22AEE04D" w14:textId="77777777" w:rsidTr="007F6AFE">
        <w:trPr>
          <w:jc w:val="center"/>
        </w:trPr>
        <w:tc>
          <w:tcPr>
            <w:tcW w:w="0" w:type="auto"/>
            <w:vMerge/>
          </w:tcPr>
          <w:p w14:paraId="32AFC853"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Pr>
          <w:p w14:paraId="1CA4E87A"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Pessimistic</w:t>
            </w:r>
          </w:p>
        </w:tc>
        <w:tc>
          <w:tcPr>
            <w:tcW w:w="0" w:type="auto"/>
            <w:shd w:val="clear" w:color="auto" w:fill="auto"/>
          </w:tcPr>
          <w:p w14:paraId="7D775F5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1.12</w:t>
            </w:r>
          </w:p>
        </w:tc>
        <w:tc>
          <w:tcPr>
            <w:tcW w:w="0" w:type="auto"/>
            <w:shd w:val="clear" w:color="auto" w:fill="auto"/>
          </w:tcPr>
          <w:p w14:paraId="67928B3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1.35</w:t>
            </w:r>
          </w:p>
        </w:tc>
        <w:tc>
          <w:tcPr>
            <w:tcW w:w="1331" w:type="dxa"/>
            <w:shd w:val="clear" w:color="auto" w:fill="auto"/>
          </w:tcPr>
          <w:p w14:paraId="7BF29BF5"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0.36</w:t>
            </w:r>
          </w:p>
        </w:tc>
        <w:tc>
          <w:tcPr>
            <w:tcW w:w="1842" w:type="dxa"/>
            <w:shd w:val="clear" w:color="auto" w:fill="auto"/>
          </w:tcPr>
          <w:p w14:paraId="2555F8F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1.00</w:t>
            </w:r>
          </w:p>
        </w:tc>
        <w:tc>
          <w:tcPr>
            <w:tcW w:w="1560" w:type="dxa"/>
            <w:shd w:val="clear" w:color="auto" w:fill="auto"/>
          </w:tcPr>
          <w:p w14:paraId="6E3C27F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0.89</w:t>
            </w:r>
          </w:p>
        </w:tc>
        <w:tc>
          <w:tcPr>
            <w:tcW w:w="2126" w:type="dxa"/>
            <w:shd w:val="clear" w:color="auto" w:fill="auto"/>
          </w:tcPr>
          <w:p w14:paraId="14D6169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1.15</w:t>
            </w:r>
          </w:p>
        </w:tc>
        <w:tc>
          <w:tcPr>
            <w:tcW w:w="1276" w:type="dxa"/>
            <w:shd w:val="clear" w:color="auto" w:fill="auto"/>
          </w:tcPr>
          <w:p w14:paraId="742D22A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5%</w:t>
            </w:r>
          </w:p>
        </w:tc>
        <w:tc>
          <w:tcPr>
            <w:tcW w:w="1166" w:type="dxa"/>
          </w:tcPr>
          <w:p w14:paraId="02982AC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30%</w:t>
            </w:r>
          </w:p>
        </w:tc>
      </w:tr>
      <w:tr w:rsidR="007F6AFE" w:rsidRPr="00EA7C95" w14:paraId="19ED7BA1" w14:textId="77777777" w:rsidTr="007F6AFE">
        <w:trPr>
          <w:jc w:val="center"/>
        </w:trPr>
        <w:tc>
          <w:tcPr>
            <w:tcW w:w="0" w:type="auto"/>
            <w:tcBorders>
              <w:right w:val="nil"/>
            </w:tcBorders>
          </w:tcPr>
          <w:p w14:paraId="29DFBE0C"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Borders>
              <w:left w:val="nil"/>
              <w:right w:val="nil"/>
            </w:tcBorders>
          </w:tcPr>
          <w:p w14:paraId="078A9533"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Borders>
              <w:left w:val="nil"/>
              <w:right w:val="nil"/>
            </w:tcBorders>
            <w:shd w:val="clear" w:color="auto" w:fill="auto"/>
          </w:tcPr>
          <w:p w14:paraId="6A8A79E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0" w:type="auto"/>
            <w:tcBorders>
              <w:left w:val="nil"/>
              <w:right w:val="nil"/>
            </w:tcBorders>
            <w:shd w:val="clear" w:color="auto" w:fill="auto"/>
          </w:tcPr>
          <w:p w14:paraId="5D736B7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331" w:type="dxa"/>
            <w:tcBorders>
              <w:left w:val="nil"/>
              <w:right w:val="nil"/>
            </w:tcBorders>
            <w:shd w:val="clear" w:color="auto" w:fill="auto"/>
          </w:tcPr>
          <w:p w14:paraId="2FEF425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842" w:type="dxa"/>
            <w:tcBorders>
              <w:left w:val="nil"/>
              <w:right w:val="nil"/>
            </w:tcBorders>
            <w:shd w:val="clear" w:color="auto" w:fill="auto"/>
          </w:tcPr>
          <w:p w14:paraId="08D1230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560" w:type="dxa"/>
            <w:tcBorders>
              <w:left w:val="nil"/>
              <w:right w:val="nil"/>
            </w:tcBorders>
            <w:shd w:val="clear" w:color="auto" w:fill="auto"/>
          </w:tcPr>
          <w:p w14:paraId="5A3A97F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2126" w:type="dxa"/>
            <w:tcBorders>
              <w:left w:val="nil"/>
              <w:right w:val="nil"/>
            </w:tcBorders>
            <w:shd w:val="clear" w:color="auto" w:fill="auto"/>
          </w:tcPr>
          <w:p w14:paraId="14E3D9D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276" w:type="dxa"/>
            <w:tcBorders>
              <w:left w:val="nil"/>
            </w:tcBorders>
            <w:shd w:val="clear" w:color="auto" w:fill="auto"/>
          </w:tcPr>
          <w:p w14:paraId="0427AB3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166" w:type="dxa"/>
            <w:tcBorders>
              <w:left w:val="nil"/>
            </w:tcBorders>
          </w:tcPr>
          <w:p w14:paraId="00DF849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r>
      <w:tr w:rsidR="007F6AFE" w:rsidRPr="00EA7C95" w14:paraId="72CD05CE" w14:textId="77777777" w:rsidTr="007F6AFE">
        <w:trPr>
          <w:jc w:val="center"/>
        </w:trPr>
        <w:tc>
          <w:tcPr>
            <w:tcW w:w="0" w:type="auto"/>
            <w:vMerge w:val="restart"/>
          </w:tcPr>
          <w:p w14:paraId="46AC97DF"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Long-term</w:t>
            </w:r>
          </w:p>
        </w:tc>
        <w:tc>
          <w:tcPr>
            <w:tcW w:w="0" w:type="auto"/>
          </w:tcPr>
          <w:p w14:paraId="664B16D2" w14:textId="77777777" w:rsidR="00CD5D04" w:rsidRPr="00EA7C95" w:rsidRDefault="00CD5D04" w:rsidP="007F6AFE">
            <w:pPr>
              <w:adjustRightInd w:val="0"/>
              <w:snapToGrid w:val="0"/>
              <w:spacing w:after="0" w:line="240" w:lineRule="auto"/>
              <w:ind w:left="-76" w:right="-106"/>
              <w:rPr>
                <w:rFonts w:ascii="Times New Roman" w:hAnsi="Times New Roman" w:cs="Times New Roman"/>
                <w:sz w:val="18"/>
                <w:szCs w:val="18"/>
              </w:rPr>
            </w:pPr>
            <w:r w:rsidRPr="00EA7C95">
              <w:rPr>
                <w:rFonts w:ascii="Times New Roman" w:hAnsi="Times New Roman" w:cs="Times New Roman"/>
                <w:sz w:val="18"/>
                <w:szCs w:val="18"/>
              </w:rPr>
              <w:t>2013-15 avg</w:t>
            </w:r>
          </w:p>
        </w:tc>
        <w:tc>
          <w:tcPr>
            <w:tcW w:w="0" w:type="auto"/>
            <w:shd w:val="clear" w:color="auto" w:fill="auto"/>
          </w:tcPr>
          <w:p w14:paraId="69B75F7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0" w:type="auto"/>
            <w:shd w:val="clear" w:color="auto" w:fill="auto"/>
          </w:tcPr>
          <w:p w14:paraId="3AD7192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1331" w:type="dxa"/>
            <w:shd w:val="clear" w:color="auto" w:fill="auto"/>
          </w:tcPr>
          <w:p w14:paraId="68EC9F5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0.30</w:t>
            </w:r>
          </w:p>
        </w:tc>
        <w:tc>
          <w:tcPr>
            <w:tcW w:w="1842" w:type="dxa"/>
            <w:shd w:val="clear" w:color="auto" w:fill="auto"/>
          </w:tcPr>
          <w:p w14:paraId="58AACDD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0.84</w:t>
            </w:r>
          </w:p>
        </w:tc>
        <w:tc>
          <w:tcPr>
            <w:tcW w:w="1560" w:type="dxa"/>
            <w:shd w:val="clear" w:color="auto" w:fill="auto"/>
          </w:tcPr>
          <w:p w14:paraId="2BA6774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1.60</w:t>
            </w:r>
          </w:p>
        </w:tc>
        <w:tc>
          <w:tcPr>
            <w:tcW w:w="2126" w:type="dxa"/>
            <w:shd w:val="clear" w:color="auto" w:fill="auto"/>
          </w:tcPr>
          <w:p w14:paraId="2C3AF36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2.09</w:t>
            </w:r>
          </w:p>
        </w:tc>
        <w:tc>
          <w:tcPr>
            <w:tcW w:w="1276" w:type="dxa"/>
            <w:shd w:val="clear" w:color="auto" w:fill="auto"/>
          </w:tcPr>
          <w:p w14:paraId="6C978B2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17%</w:t>
            </w:r>
          </w:p>
        </w:tc>
        <w:tc>
          <w:tcPr>
            <w:tcW w:w="1166" w:type="dxa"/>
          </w:tcPr>
          <w:p w14:paraId="0CC1685A"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93%</w:t>
            </w:r>
          </w:p>
        </w:tc>
      </w:tr>
      <w:tr w:rsidR="007F6AFE" w:rsidRPr="00EA7C95" w14:paraId="24136CD8" w14:textId="77777777" w:rsidTr="007F6AFE">
        <w:trPr>
          <w:jc w:val="center"/>
        </w:trPr>
        <w:tc>
          <w:tcPr>
            <w:tcW w:w="0" w:type="auto"/>
            <w:vMerge/>
          </w:tcPr>
          <w:p w14:paraId="3E64AA1F"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Pr>
          <w:p w14:paraId="36DF2B86"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Optimistic</w:t>
            </w:r>
          </w:p>
        </w:tc>
        <w:tc>
          <w:tcPr>
            <w:tcW w:w="0" w:type="auto"/>
            <w:shd w:val="clear" w:color="auto" w:fill="auto"/>
          </w:tcPr>
          <w:p w14:paraId="2A95795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1.11</w:t>
            </w:r>
          </w:p>
        </w:tc>
        <w:tc>
          <w:tcPr>
            <w:tcW w:w="0" w:type="auto"/>
            <w:shd w:val="clear" w:color="auto" w:fill="auto"/>
          </w:tcPr>
          <w:p w14:paraId="435DBBC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0.98</w:t>
            </w:r>
          </w:p>
        </w:tc>
        <w:tc>
          <w:tcPr>
            <w:tcW w:w="1331" w:type="dxa"/>
            <w:shd w:val="clear" w:color="auto" w:fill="auto"/>
          </w:tcPr>
          <w:p w14:paraId="7DF996B5"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0.29</w:t>
            </w:r>
          </w:p>
        </w:tc>
        <w:tc>
          <w:tcPr>
            <w:tcW w:w="1842" w:type="dxa"/>
            <w:shd w:val="clear" w:color="auto" w:fill="auto"/>
          </w:tcPr>
          <w:p w14:paraId="6B17A0A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0.82</w:t>
            </w:r>
          </w:p>
        </w:tc>
        <w:tc>
          <w:tcPr>
            <w:tcW w:w="1560" w:type="dxa"/>
            <w:shd w:val="clear" w:color="auto" w:fill="auto"/>
          </w:tcPr>
          <w:p w14:paraId="047B0D1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1.64</w:t>
            </w:r>
          </w:p>
        </w:tc>
        <w:tc>
          <w:tcPr>
            <w:tcW w:w="2126" w:type="dxa"/>
            <w:shd w:val="clear" w:color="auto" w:fill="auto"/>
          </w:tcPr>
          <w:p w14:paraId="7FB2373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2.13</w:t>
            </w:r>
          </w:p>
        </w:tc>
        <w:tc>
          <w:tcPr>
            <w:tcW w:w="1276" w:type="dxa"/>
            <w:shd w:val="clear" w:color="auto" w:fill="auto"/>
          </w:tcPr>
          <w:p w14:paraId="72FE4A7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18%</w:t>
            </w:r>
          </w:p>
        </w:tc>
        <w:tc>
          <w:tcPr>
            <w:tcW w:w="1166" w:type="dxa"/>
          </w:tcPr>
          <w:p w14:paraId="207ADA3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94%</w:t>
            </w:r>
          </w:p>
        </w:tc>
      </w:tr>
      <w:tr w:rsidR="007F6AFE" w:rsidRPr="00EA7C95" w14:paraId="5E99B10C" w14:textId="77777777" w:rsidTr="007F6AFE">
        <w:trPr>
          <w:jc w:val="center"/>
        </w:trPr>
        <w:tc>
          <w:tcPr>
            <w:tcW w:w="0" w:type="auto"/>
            <w:vMerge/>
          </w:tcPr>
          <w:p w14:paraId="184358A9"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0" w:type="auto"/>
          </w:tcPr>
          <w:p w14:paraId="6AAD1C17"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Pessimistic</w:t>
            </w:r>
          </w:p>
        </w:tc>
        <w:tc>
          <w:tcPr>
            <w:tcW w:w="0" w:type="auto"/>
            <w:shd w:val="clear" w:color="auto" w:fill="auto"/>
          </w:tcPr>
          <w:p w14:paraId="0E1B904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1.12</w:t>
            </w:r>
          </w:p>
        </w:tc>
        <w:tc>
          <w:tcPr>
            <w:tcW w:w="0" w:type="auto"/>
            <w:shd w:val="clear" w:color="auto" w:fill="auto"/>
          </w:tcPr>
          <w:p w14:paraId="52799E5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1.35</w:t>
            </w:r>
          </w:p>
        </w:tc>
        <w:tc>
          <w:tcPr>
            <w:tcW w:w="1331" w:type="dxa"/>
            <w:shd w:val="clear" w:color="auto" w:fill="auto"/>
          </w:tcPr>
          <w:p w14:paraId="1EBB9D0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0.25</w:t>
            </w:r>
          </w:p>
        </w:tc>
        <w:tc>
          <w:tcPr>
            <w:tcW w:w="1842" w:type="dxa"/>
            <w:shd w:val="clear" w:color="auto" w:fill="auto"/>
          </w:tcPr>
          <w:p w14:paraId="1E8435A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0.70</w:t>
            </w:r>
          </w:p>
        </w:tc>
        <w:tc>
          <w:tcPr>
            <w:tcW w:w="1560" w:type="dxa"/>
            <w:shd w:val="clear" w:color="auto" w:fill="auto"/>
          </w:tcPr>
          <w:p w14:paraId="510B9AF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1.84</w:t>
            </w:r>
          </w:p>
        </w:tc>
        <w:tc>
          <w:tcPr>
            <w:tcW w:w="2126" w:type="dxa"/>
            <w:shd w:val="clear" w:color="auto" w:fill="auto"/>
          </w:tcPr>
          <w:p w14:paraId="4544D84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2.38</w:t>
            </w:r>
          </w:p>
        </w:tc>
        <w:tc>
          <w:tcPr>
            <w:tcW w:w="1276" w:type="dxa"/>
            <w:shd w:val="clear" w:color="auto" w:fill="auto"/>
          </w:tcPr>
          <w:p w14:paraId="7D2956B5"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32%</w:t>
            </w:r>
          </w:p>
        </w:tc>
        <w:tc>
          <w:tcPr>
            <w:tcW w:w="1166" w:type="dxa"/>
          </w:tcPr>
          <w:p w14:paraId="35F04BD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98%</w:t>
            </w:r>
          </w:p>
        </w:tc>
      </w:tr>
    </w:tbl>
    <w:p w14:paraId="4929F991" w14:textId="18479EFC"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vertAlign w:val="superscript"/>
        </w:rPr>
        <w:t>1</w:t>
      </w:r>
      <w:r w:rsidRPr="00EA7C95">
        <w:rPr>
          <w:rFonts w:ascii="Times New Roman" w:hAnsi="Times New Roman" w:cs="Times New Roman"/>
        </w:rPr>
        <w:t xml:space="preserve"> note risk within the stock assessment is calculated as the (weighted) number of models falling below the LRP (X / 36 models). Risk under a projection scenario is the number of projections across the grid that fall below the LRP (X / 3600 (36 models x 100 projections).</w:t>
      </w:r>
    </w:p>
    <w:p w14:paraId="0EAAE3C5" w14:textId="4CF0B536" w:rsidR="007F6AFE" w:rsidRPr="00EA7C95" w:rsidRDefault="007F6AFE" w:rsidP="00586C11">
      <w:pPr>
        <w:adjustRightInd w:val="0"/>
        <w:snapToGrid w:val="0"/>
        <w:spacing w:after="0" w:line="240" w:lineRule="auto"/>
        <w:rPr>
          <w:rFonts w:ascii="Times New Roman" w:hAnsi="Times New Roman" w:cs="Times New Roman"/>
        </w:rPr>
      </w:pPr>
    </w:p>
    <w:p w14:paraId="415CEB99" w14:textId="77777777" w:rsidR="00805C42" w:rsidRDefault="00805C42" w:rsidP="00586C11">
      <w:pPr>
        <w:pStyle w:val="Caption"/>
        <w:keepNext/>
        <w:adjustRightInd w:val="0"/>
        <w:snapToGrid w:val="0"/>
        <w:spacing w:after="0"/>
        <w:rPr>
          <w:rFonts w:ascii="Times New Roman" w:hAnsi="Times New Roman" w:cs="Times New Roman"/>
          <w:b/>
          <w:bCs/>
          <w:i w:val="0"/>
          <w:iCs w:val="0"/>
          <w:color w:val="auto"/>
          <w:sz w:val="22"/>
          <w:szCs w:val="22"/>
        </w:rPr>
      </w:pPr>
    </w:p>
    <w:p w14:paraId="4FBF4F9F" w14:textId="1CD20D82" w:rsidR="00CD5D04" w:rsidRPr="00EA7C95" w:rsidRDefault="00CD5D04" w:rsidP="00586C11">
      <w:pPr>
        <w:pStyle w:val="Caption"/>
        <w:keepNext/>
        <w:adjustRightInd w:val="0"/>
        <w:snapToGrid w:val="0"/>
        <w:spacing w:after="0"/>
        <w:rPr>
          <w:rFonts w:ascii="Times New Roman" w:hAnsi="Times New Roman" w:cs="Times New Roman"/>
          <w:sz w:val="22"/>
          <w:szCs w:val="22"/>
          <w:u w:val="single"/>
        </w:rPr>
      </w:pPr>
      <w:r w:rsidRPr="00EA7C95">
        <w:rPr>
          <w:rFonts w:ascii="Times New Roman" w:hAnsi="Times New Roman" w:cs="Times New Roman"/>
          <w:b/>
          <w:bCs/>
          <w:i w:val="0"/>
          <w:iCs w:val="0"/>
          <w:color w:val="auto"/>
          <w:sz w:val="22"/>
          <w:szCs w:val="22"/>
        </w:rPr>
        <w:t xml:space="preserve">Table BET-4. </w:t>
      </w:r>
      <w:r w:rsidRPr="00EA7C95">
        <w:rPr>
          <w:rFonts w:ascii="Times New Roman" w:hAnsi="Times New Roman" w:cs="Times New Roman"/>
          <w:i w:val="0"/>
          <w:iCs w:val="0"/>
          <w:color w:val="auto"/>
          <w:sz w:val="22"/>
          <w:szCs w:val="22"/>
        </w:rPr>
        <w:t>Median values of SB/SBF=0 and associated risk of breaching the adopted limit reference point (LRP) of 20% SBF=0 in 2020, 2025 and 2045 under the three future harvest scenarios (2013-15 average fishing levels, optimistic and pessimistic) and alternative recruitment hypotheses. ‘Updated new growth’ runs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42"/>
        <w:gridCol w:w="657"/>
        <w:gridCol w:w="898"/>
        <w:gridCol w:w="1165"/>
        <w:gridCol w:w="1167"/>
        <w:gridCol w:w="1160"/>
        <w:gridCol w:w="715"/>
        <w:gridCol w:w="709"/>
        <w:gridCol w:w="722"/>
      </w:tblGrid>
      <w:tr w:rsidR="00CD5D04" w:rsidRPr="00EA7C95" w14:paraId="308457F9" w14:textId="77777777" w:rsidTr="00E465D9">
        <w:trPr>
          <w:jc w:val="center"/>
        </w:trPr>
        <w:tc>
          <w:tcPr>
            <w:tcW w:w="2049" w:type="dxa"/>
            <w:gridSpan w:val="2"/>
            <w:vAlign w:val="center"/>
          </w:tcPr>
          <w:p w14:paraId="37B4E2B3"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Scenario</w:t>
            </w:r>
          </w:p>
        </w:tc>
        <w:tc>
          <w:tcPr>
            <w:tcW w:w="1555" w:type="dxa"/>
            <w:gridSpan w:val="2"/>
            <w:shd w:val="clear" w:color="auto" w:fill="auto"/>
            <w:vAlign w:val="center"/>
          </w:tcPr>
          <w:p w14:paraId="3169C645"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Scalars relative to 2013-2015</w:t>
            </w:r>
          </w:p>
        </w:tc>
        <w:tc>
          <w:tcPr>
            <w:tcW w:w="1165" w:type="dxa"/>
            <w:vMerge w:val="restart"/>
            <w:shd w:val="clear" w:color="auto" w:fill="auto"/>
            <w:vAlign w:val="center"/>
          </w:tcPr>
          <w:p w14:paraId="41E8055B"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Median SB</w:t>
            </w:r>
            <w:r w:rsidRPr="00EA7C95">
              <w:rPr>
                <w:rFonts w:ascii="Times New Roman" w:hAnsi="Times New Roman" w:cs="Times New Roman"/>
                <w:b/>
                <w:sz w:val="18"/>
                <w:szCs w:val="18"/>
                <w:vertAlign w:val="subscript"/>
              </w:rPr>
              <w:t>2020</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tc>
        <w:tc>
          <w:tcPr>
            <w:tcW w:w="1167" w:type="dxa"/>
            <w:vMerge w:val="restart"/>
            <w:shd w:val="clear" w:color="auto" w:fill="auto"/>
            <w:vAlign w:val="center"/>
          </w:tcPr>
          <w:p w14:paraId="7D22480D"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Median SB</w:t>
            </w:r>
            <w:r w:rsidRPr="00EA7C95">
              <w:rPr>
                <w:rFonts w:ascii="Times New Roman" w:hAnsi="Times New Roman" w:cs="Times New Roman"/>
                <w:b/>
                <w:sz w:val="18"/>
                <w:szCs w:val="18"/>
                <w:vertAlign w:val="subscript"/>
              </w:rPr>
              <w:t>2025</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tc>
        <w:tc>
          <w:tcPr>
            <w:tcW w:w="1160" w:type="dxa"/>
            <w:vMerge w:val="restart"/>
            <w:shd w:val="clear" w:color="auto" w:fill="auto"/>
            <w:vAlign w:val="center"/>
          </w:tcPr>
          <w:p w14:paraId="27330C51"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vertAlign w:val="superscript"/>
              </w:rPr>
            </w:pPr>
            <w:r w:rsidRPr="00EA7C95">
              <w:rPr>
                <w:rFonts w:ascii="Times New Roman" w:hAnsi="Times New Roman" w:cs="Times New Roman"/>
                <w:b/>
                <w:sz w:val="18"/>
                <w:szCs w:val="18"/>
              </w:rPr>
              <w:t>Median SB</w:t>
            </w:r>
            <w:r w:rsidRPr="00EA7C95">
              <w:rPr>
                <w:rFonts w:ascii="Times New Roman" w:hAnsi="Times New Roman" w:cs="Times New Roman"/>
                <w:b/>
                <w:sz w:val="18"/>
                <w:szCs w:val="18"/>
                <w:vertAlign w:val="subscript"/>
              </w:rPr>
              <w:t>2045</w:t>
            </w:r>
            <w:r w:rsidRPr="00EA7C95">
              <w:rPr>
                <w:rFonts w:ascii="Times New Roman" w:hAnsi="Times New Roman" w:cs="Times New Roman"/>
                <w:b/>
                <w:sz w:val="18"/>
                <w:szCs w:val="18"/>
              </w:rPr>
              <w:t>/SB</w:t>
            </w:r>
            <w:r w:rsidRPr="00EA7C95">
              <w:rPr>
                <w:rFonts w:ascii="Times New Roman" w:hAnsi="Times New Roman" w:cs="Times New Roman"/>
                <w:b/>
                <w:sz w:val="18"/>
                <w:szCs w:val="18"/>
                <w:vertAlign w:val="subscript"/>
              </w:rPr>
              <w:t>F=0</w:t>
            </w:r>
          </w:p>
        </w:tc>
        <w:tc>
          <w:tcPr>
            <w:tcW w:w="715" w:type="dxa"/>
            <w:vMerge w:val="restart"/>
            <w:shd w:val="clear" w:color="auto" w:fill="auto"/>
            <w:vAlign w:val="center"/>
          </w:tcPr>
          <w:p w14:paraId="6C6C40FC"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vertAlign w:val="subscript"/>
              </w:rPr>
            </w:pPr>
            <w:r w:rsidRPr="00EA7C95">
              <w:rPr>
                <w:rFonts w:ascii="Times New Roman" w:hAnsi="Times New Roman" w:cs="Times New Roman"/>
                <w:b/>
                <w:sz w:val="18"/>
                <w:szCs w:val="18"/>
              </w:rPr>
              <w:t>Risk SB</w:t>
            </w:r>
            <w:r w:rsidRPr="00EA7C95">
              <w:rPr>
                <w:rFonts w:ascii="Times New Roman" w:hAnsi="Times New Roman" w:cs="Times New Roman"/>
                <w:b/>
                <w:sz w:val="18"/>
                <w:szCs w:val="18"/>
                <w:vertAlign w:val="subscript"/>
              </w:rPr>
              <w:t>2020</w:t>
            </w:r>
            <w:r w:rsidRPr="00EA7C95">
              <w:rPr>
                <w:rFonts w:ascii="Times New Roman" w:hAnsi="Times New Roman" w:cs="Times New Roman"/>
                <w:b/>
                <w:sz w:val="18"/>
                <w:szCs w:val="18"/>
              </w:rPr>
              <w:t xml:space="preserve"> &lt; LRP</w:t>
            </w:r>
          </w:p>
        </w:tc>
        <w:tc>
          <w:tcPr>
            <w:tcW w:w="709" w:type="dxa"/>
            <w:vMerge w:val="restart"/>
            <w:vAlign w:val="center"/>
          </w:tcPr>
          <w:p w14:paraId="10060148"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Risk SB</w:t>
            </w:r>
            <w:r w:rsidRPr="00EA7C95">
              <w:rPr>
                <w:rFonts w:ascii="Times New Roman" w:hAnsi="Times New Roman" w:cs="Times New Roman"/>
                <w:b/>
                <w:sz w:val="18"/>
                <w:szCs w:val="18"/>
                <w:vertAlign w:val="subscript"/>
              </w:rPr>
              <w:t>2025</w:t>
            </w:r>
            <w:r w:rsidRPr="00EA7C95">
              <w:rPr>
                <w:rFonts w:ascii="Times New Roman" w:hAnsi="Times New Roman" w:cs="Times New Roman"/>
                <w:b/>
                <w:sz w:val="18"/>
                <w:szCs w:val="18"/>
              </w:rPr>
              <w:t xml:space="preserve"> &lt; LRP</w:t>
            </w:r>
          </w:p>
        </w:tc>
        <w:tc>
          <w:tcPr>
            <w:tcW w:w="722" w:type="dxa"/>
            <w:vMerge w:val="restart"/>
            <w:vAlign w:val="center"/>
          </w:tcPr>
          <w:p w14:paraId="516BD2D7"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Risk SB</w:t>
            </w:r>
            <w:r w:rsidRPr="00EA7C95">
              <w:rPr>
                <w:rFonts w:ascii="Times New Roman" w:hAnsi="Times New Roman" w:cs="Times New Roman"/>
                <w:b/>
                <w:sz w:val="18"/>
                <w:szCs w:val="18"/>
                <w:vertAlign w:val="subscript"/>
              </w:rPr>
              <w:t>2045</w:t>
            </w:r>
            <w:r w:rsidRPr="00EA7C95">
              <w:rPr>
                <w:rFonts w:ascii="Times New Roman" w:hAnsi="Times New Roman" w:cs="Times New Roman"/>
                <w:b/>
                <w:sz w:val="18"/>
                <w:szCs w:val="18"/>
              </w:rPr>
              <w:t xml:space="preserve"> &lt; LRP</w:t>
            </w:r>
          </w:p>
        </w:tc>
      </w:tr>
      <w:tr w:rsidR="00805C42" w:rsidRPr="00EA7C95" w14:paraId="3014DD83" w14:textId="77777777" w:rsidTr="00E465D9">
        <w:trPr>
          <w:jc w:val="center"/>
        </w:trPr>
        <w:tc>
          <w:tcPr>
            <w:tcW w:w="1007" w:type="dxa"/>
            <w:vAlign w:val="center"/>
          </w:tcPr>
          <w:p w14:paraId="602FCB70" w14:textId="77777777" w:rsidR="00CD5D04" w:rsidRPr="00EA7C95" w:rsidRDefault="00CD5D04" w:rsidP="007F6AFE">
            <w:pPr>
              <w:adjustRightInd w:val="0"/>
              <w:snapToGrid w:val="0"/>
              <w:spacing w:after="0" w:line="240" w:lineRule="auto"/>
              <w:ind w:left="-90" w:right="-103"/>
              <w:jc w:val="center"/>
              <w:rPr>
                <w:rFonts w:ascii="Times New Roman" w:hAnsi="Times New Roman" w:cs="Times New Roman"/>
                <w:b/>
                <w:sz w:val="18"/>
                <w:szCs w:val="18"/>
              </w:rPr>
            </w:pPr>
            <w:r w:rsidRPr="00EA7C95">
              <w:rPr>
                <w:rFonts w:ascii="Times New Roman" w:hAnsi="Times New Roman" w:cs="Times New Roman"/>
                <w:b/>
                <w:sz w:val="18"/>
                <w:szCs w:val="18"/>
              </w:rPr>
              <w:t>Recruitment</w:t>
            </w:r>
          </w:p>
        </w:tc>
        <w:tc>
          <w:tcPr>
            <w:tcW w:w="1042" w:type="dxa"/>
            <w:vAlign w:val="center"/>
          </w:tcPr>
          <w:p w14:paraId="249C7BAE"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Fishing level</w:t>
            </w:r>
          </w:p>
        </w:tc>
        <w:tc>
          <w:tcPr>
            <w:tcW w:w="657" w:type="dxa"/>
            <w:shd w:val="clear" w:color="auto" w:fill="auto"/>
            <w:vAlign w:val="center"/>
          </w:tcPr>
          <w:p w14:paraId="22417C95"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Purse seine</w:t>
            </w:r>
          </w:p>
        </w:tc>
        <w:tc>
          <w:tcPr>
            <w:tcW w:w="898" w:type="dxa"/>
            <w:shd w:val="clear" w:color="auto" w:fill="auto"/>
            <w:vAlign w:val="center"/>
          </w:tcPr>
          <w:p w14:paraId="455526B6" w14:textId="77777777" w:rsidR="00CD5D04" w:rsidRPr="00EA7C95" w:rsidRDefault="00CD5D04" w:rsidP="007F6AFE">
            <w:pPr>
              <w:adjustRightInd w:val="0"/>
              <w:snapToGrid w:val="0"/>
              <w:spacing w:after="0" w:line="240" w:lineRule="auto"/>
              <w:jc w:val="center"/>
              <w:rPr>
                <w:rFonts w:ascii="Times New Roman" w:hAnsi="Times New Roman" w:cs="Times New Roman"/>
                <w:b/>
                <w:sz w:val="18"/>
                <w:szCs w:val="18"/>
              </w:rPr>
            </w:pPr>
            <w:r w:rsidRPr="00EA7C95">
              <w:rPr>
                <w:rFonts w:ascii="Times New Roman" w:hAnsi="Times New Roman" w:cs="Times New Roman"/>
                <w:b/>
                <w:sz w:val="18"/>
                <w:szCs w:val="18"/>
              </w:rPr>
              <w:t>Longline</w:t>
            </w:r>
          </w:p>
        </w:tc>
        <w:tc>
          <w:tcPr>
            <w:tcW w:w="1165" w:type="dxa"/>
            <w:vMerge/>
            <w:shd w:val="clear" w:color="auto" w:fill="auto"/>
          </w:tcPr>
          <w:p w14:paraId="6EBAF200"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c>
          <w:tcPr>
            <w:tcW w:w="1167" w:type="dxa"/>
            <w:vMerge/>
            <w:shd w:val="clear" w:color="auto" w:fill="auto"/>
          </w:tcPr>
          <w:p w14:paraId="14E2DAB2"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c>
          <w:tcPr>
            <w:tcW w:w="1160" w:type="dxa"/>
            <w:vMerge/>
            <w:shd w:val="clear" w:color="auto" w:fill="auto"/>
          </w:tcPr>
          <w:p w14:paraId="5DEC9955"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c>
          <w:tcPr>
            <w:tcW w:w="715" w:type="dxa"/>
            <w:vMerge/>
            <w:shd w:val="clear" w:color="auto" w:fill="auto"/>
          </w:tcPr>
          <w:p w14:paraId="58C33455"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c>
          <w:tcPr>
            <w:tcW w:w="709" w:type="dxa"/>
            <w:vMerge/>
          </w:tcPr>
          <w:p w14:paraId="53BB94A4"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c>
          <w:tcPr>
            <w:tcW w:w="722" w:type="dxa"/>
            <w:vMerge/>
          </w:tcPr>
          <w:p w14:paraId="5E4249C4" w14:textId="77777777" w:rsidR="00CD5D04" w:rsidRPr="00EA7C95" w:rsidRDefault="00CD5D04" w:rsidP="00586C11">
            <w:pPr>
              <w:adjustRightInd w:val="0"/>
              <w:snapToGrid w:val="0"/>
              <w:spacing w:after="0" w:line="240" w:lineRule="auto"/>
              <w:jc w:val="center"/>
              <w:rPr>
                <w:rFonts w:ascii="Times New Roman" w:hAnsi="Times New Roman" w:cs="Times New Roman"/>
                <w:b/>
                <w:sz w:val="18"/>
                <w:szCs w:val="18"/>
              </w:rPr>
            </w:pPr>
          </w:p>
        </w:tc>
      </w:tr>
      <w:tr w:rsidR="00805C42" w:rsidRPr="00EA7C95" w14:paraId="11DCD545" w14:textId="77777777" w:rsidTr="00E465D9">
        <w:trPr>
          <w:jc w:val="center"/>
        </w:trPr>
        <w:tc>
          <w:tcPr>
            <w:tcW w:w="1007" w:type="dxa"/>
            <w:vMerge w:val="restart"/>
          </w:tcPr>
          <w:p w14:paraId="2B82C75A"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Recent</w:t>
            </w:r>
          </w:p>
        </w:tc>
        <w:tc>
          <w:tcPr>
            <w:tcW w:w="1042" w:type="dxa"/>
          </w:tcPr>
          <w:p w14:paraId="53269C97" w14:textId="77777777" w:rsidR="00CD5D04" w:rsidRPr="00EA7C95" w:rsidRDefault="00CD5D04" w:rsidP="007F6AFE">
            <w:pPr>
              <w:adjustRightInd w:val="0"/>
              <w:snapToGrid w:val="0"/>
              <w:spacing w:after="0" w:line="240" w:lineRule="auto"/>
              <w:ind w:left="-103" w:right="-64"/>
              <w:rPr>
                <w:rFonts w:ascii="Times New Roman" w:hAnsi="Times New Roman" w:cs="Times New Roman"/>
                <w:sz w:val="18"/>
                <w:szCs w:val="18"/>
              </w:rPr>
            </w:pPr>
            <w:r w:rsidRPr="00EA7C95">
              <w:rPr>
                <w:rFonts w:ascii="Times New Roman" w:hAnsi="Times New Roman" w:cs="Times New Roman"/>
                <w:sz w:val="18"/>
                <w:szCs w:val="18"/>
              </w:rPr>
              <w:t xml:space="preserve">2013-15 avg </w:t>
            </w:r>
          </w:p>
        </w:tc>
        <w:tc>
          <w:tcPr>
            <w:tcW w:w="657" w:type="dxa"/>
            <w:shd w:val="clear" w:color="auto" w:fill="auto"/>
          </w:tcPr>
          <w:p w14:paraId="0B521EF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898" w:type="dxa"/>
            <w:shd w:val="clear" w:color="auto" w:fill="auto"/>
          </w:tcPr>
          <w:p w14:paraId="687B39A8"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1165" w:type="dxa"/>
            <w:shd w:val="clear" w:color="auto" w:fill="auto"/>
          </w:tcPr>
          <w:p w14:paraId="5A5FBDE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0.42</w:t>
            </w:r>
          </w:p>
        </w:tc>
        <w:tc>
          <w:tcPr>
            <w:tcW w:w="1167" w:type="dxa"/>
            <w:shd w:val="clear" w:color="auto" w:fill="auto"/>
          </w:tcPr>
          <w:p w14:paraId="2604C83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0.41</w:t>
            </w:r>
          </w:p>
        </w:tc>
        <w:tc>
          <w:tcPr>
            <w:tcW w:w="1160" w:type="dxa"/>
            <w:shd w:val="clear" w:color="auto" w:fill="auto"/>
          </w:tcPr>
          <w:p w14:paraId="2080DD0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0.42</w:t>
            </w:r>
          </w:p>
        </w:tc>
        <w:tc>
          <w:tcPr>
            <w:tcW w:w="715" w:type="dxa"/>
            <w:shd w:val="clear" w:color="auto" w:fill="auto"/>
          </w:tcPr>
          <w:p w14:paraId="0AAB946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709" w:type="dxa"/>
          </w:tcPr>
          <w:p w14:paraId="736A1FB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722" w:type="dxa"/>
          </w:tcPr>
          <w:p w14:paraId="494FB4E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r>
      <w:tr w:rsidR="00805C42" w:rsidRPr="00EA7C95" w14:paraId="291E68A8" w14:textId="77777777" w:rsidTr="00E465D9">
        <w:trPr>
          <w:jc w:val="center"/>
        </w:trPr>
        <w:tc>
          <w:tcPr>
            <w:tcW w:w="1007" w:type="dxa"/>
            <w:vMerge/>
          </w:tcPr>
          <w:p w14:paraId="5FEE847E"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1042" w:type="dxa"/>
          </w:tcPr>
          <w:p w14:paraId="5C5DBA1A"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Optimistic</w:t>
            </w:r>
          </w:p>
        </w:tc>
        <w:tc>
          <w:tcPr>
            <w:tcW w:w="657" w:type="dxa"/>
            <w:shd w:val="clear" w:color="auto" w:fill="auto"/>
          </w:tcPr>
          <w:p w14:paraId="12B9599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1.11</w:t>
            </w:r>
          </w:p>
        </w:tc>
        <w:tc>
          <w:tcPr>
            <w:tcW w:w="898" w:type="dxa"/>
            <w:shd w:val="clear" w:color="auto" w:fill="auto"/>
          </w:tcPr>
          <w:p w14:paraId="6BAF40D5"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0.98</w:t>
            </w:r>
          </w:p>
        </w:tc>
        <w:tc>
          <w:tcPr>
            <w:tcW w:w="1165" w:type="dxa"/>
            <w:shd w:val="clear" w:color="auto" w:fill="auto"/>
          </w:tcPr>
          <w:p w14:paraId="3D572E0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0.41</w:t>
            </w:r>
          </w:p>
        </w:tc>
        <w:tc>
          <w:tcPr>
            <w:tcW w:w="1167" w:type="dxa"/>
            <w:shd w:val="clear" w:color="auto" w:fill="auto"/>
          </w:tcPr>
          <w:p w14:paraId="548EA088"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0.40</w:t>
            </w:r>
          </w:p>
        </w:tc>
        <w:tc>
          <w:tcPr>
            <w:tcW w:w="1160" w:type="dxa"/>
            <w:shd w:val="clear" w:color="auto" w:fill="auto"/>
          </w:tcPr>
          <w:p w14:paraId="7EB16C4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0.41</w:t>
            </w:r>
          </w:p>
        </w:tc>
        <w:tc>
          <w:tcPr>
            <w:tcW w:w="715" w:type="dxa"/>
            <w:shd w:val="clear" w:color="auto" w:fill="auto"/>
          </w:tcPr>
          <w:p w14:paraId="7792D433"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709" w:type="dxa"/>
          </w:tcPr>
          <w:p w14:paraId="56E39998"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722" w:type="dxa"/>
          </w:tcPr>
          <w:p w14:paraId="748839C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r>
      <w:tr w:rsidR="00805C42" w:rsidRPr="00EA7C95" w14:paraId="001EF96E" w14:textId="77777777" w:rsidTr="00E465D9">
        <w:trPr>
          <w:jc w:val="center"/>
        </w:trPr>
        <w:tc>
          <w:tcPr>
            <w:tcW w:w="1007" w:type="dxa"/>
            <w:vMerge/>
          </w:tcPr>
          <w:p w14:paraId="0EA1C030"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1042" w:type="dxa"/>
          </w:tcPr>
          <w:p w14:paraId="6E56AC07"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Pessimistic</w:t>
            </w:r>
          </w:p>
        </w:tc>
        <w:tc>
          <w:tcPr>
            <w:tcW w:w="657" w:type="dxa"/>
            <w:shd w:val="clear" w:color="auto" w:fill="auto"/>
          </w:tcPr>
          <w:p w14:paraId="0E128A66"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1.12</w:t>
            </w:r>
          </w:p>
        </w:tc>
        <w:tc>
          <w:tcPr>
            <w:tcW w:w="898" w:type="dxa"/>
            <w:shd w:val="clear" w:color="auto" w:fill="auto"/>
          </w:tcPr>
          <w:p w14:paraId="7854164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1.35</w:t>
            </w:r>
          </w:p>
        </w:tc>
        <w:tc>
          <w:tcPr>
            <w:tcW w:w="1165" w:type="dxa"/>
            <w:shd w:val="clear" w:color="auto" w:fill="auto"/>
          </w:tcPr>
          <w:p w14:paraId="4CE7E74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0.38</w:t>
            </w:r>
          </w:p>
        </w:tc>
        <w:tc>
          <w:tcPr>
            <w:tcW w:w="1167" w:type="dxa"/>
            <w:shd w:val="clear" w:color="auto" w:fill="auto"/>
          </w:tcPr>
          <w:p w14:paraId="77A16DA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0.35</w:t>
            </w:r>
          </w:p>
        </w:tc>
        <w:tc>
          <w:tcPr>
            <w:tcW w:w="1160" w:type="dxa"/>
            <w:shd w:val="clear" w:color="auto" w:fill="auto"/>
          </w:tcPr>
          <w:p w14:paraId="06F99DF5"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highlight w:val="yellow"/>
              </w:rPr>
            </w:pPr>
            <w:r w:rsidRPr="00EA7C95">
              <w:rPr>
                <w:rFonts w:ascii="Times New Roman" w:hAnsi="Times New Roman" w:cs="Times New Roman"/>
                <w:sz w:val="18"/>
                <w:szCs w:val="18"/>
              </w:rPr>
              <w:t>0.36</w:t>
            </w:r>
          </w:p>
        </w:tc>
        <w:tc>
          <w:tcPr>
            <w:tcW w:w="715" w:type="dxa"/>
            <w:shd w:val="clear" w:color="auto" w:fill="auto"/>
          </w:tcPr>
          <w:p w14:paraId="312D694A"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w:t>
            </w:r>
          </w:p>
        </w:tc>
        <w:tc>
          <w:tcPr>
            <w:tcW w:w="709" w:type="dxa"/>
          </w:tcPr>
          <w:p w14:paraId="362D18F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4%</w:t>
            </w:r>
          </w:p>
        </w:tc>
        <w:tc>
          <w:tcPr>
            <w:tcW w:w="722" w:type="dxa"/>
          </w:tcPr>
          <w:p w14:paraId="7B22C651"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5%</w:t>
            </w:r>
          </w:p>
        </w:tc>
      </w:tr>
      <w:tr w:rsidR="00805C42" w:rsidRPr="00EA7C95" w14:paraId="2027B37C" w14:textId="77777777" w:rsidTr="00E465D9">
        <w:trPr>
          <w:jc w:val="center"/>
        </w:trPr>
        <w:tc>
          <w:tcPr>
            <w:tcW w:w="1007" w:type="dxa"/>
            <w:tcBorders>
              <w:right w:val="nil"/>
            </w:tcBorders>
          </w:tcPr>
          <w:p w14:paraId="3F53A8EF"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1042" w:type="dxa"/>
            <w:tcBorders>
              <w:left w:val="nil"/>
              <w:right w:val="nil"/>
            </w:tcBorders>
          </w:tcPr>
          <w:p w14:paraId="0784A69B"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657" w:type="dxa"/>
            <w:tcBorders>
              <w:left w:val="nil"/>
              <w:right w:val="nil"/>
            </w:tcBorders>
            <w:shd w:val="clear" w:color="auto" w:fill="auto"/>
          </w:tcPr>
          <w:p w14:paraId="06F838A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898" w:type="dxa"/>
            <w:tcBorders>
              <w:left w:val="nil"/>
              <w:right w:val="nil"/>
            </w:tcBorders>
            <w:shd w:val="clear" w:color="auto" w:fill="auto"/>
          </w:tcPr>
          <w:p w14:paraId="7BA1A51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165" w:type="dxa"/>
            <w:tcBorders>
              <w:left w:val="nil"/>
              <w:right w:val="nil"/>
            </w:tcBorders>
            <w:shd w:val="clear" w:color="auto" w:fill="auto"/>
          </w:tcPr>
          <w:p w14:paraId="0348834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167" w:type="dxa"/>
            <w:tcBorders>
              <w:left w:val="nil"/>
              <w:right w:val="nil"/>
            </w:tcBorders>
            <w:shd w:val="clear" w:color="auto" w:fill="auto"/>
          </w:tcPr>
          <w:p w14:paraId="0FE1461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1160" w:type="dxa"/>
            <w:tcBorders>
              <w:left w:val="nil"/>
              <w:right w:val="nil"/>
            </w:tcBorders>
            <w:shd w:val="clear" w:color="auto" w:fill="auto"/>
          </w:tcPr>
          <w:p w14:paraId="504A872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715" w:type="dxa"/>
            <w:tcBorders>
              <w:left w:val="nil"/>
              <w:right w:val="nil"/>
            </w:tcBorders>
            <w:shd w:val="clear" w:color="auto" w:fill="auto"/>
          </w:tcPr>
          <w:p w14:paraId="563070E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709" w:type="dxa"/>
            <w:tcBorders>
              <w:left w:val="nil"/>
              <w:right w:val="nil"/>
            </w:tcBorders>
          </w:tcPr>
          <w:p w14:paraId="1B6870E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c>
          <w:tcPr>
            <w:tcW w:w="722" w:type="dxa"/>
            <w:tcBorders>
              <w:left w:val="nil"/>
              <w:right w:val="single" w:sz="4" w:space="0" w:color="auto"/>
            </w:tcBorders>
          </w:tcPr>
          <w:p w14:paraId="10BF90EE"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p>
        </w:tc>
      </w:tr>
      <w:tr w:rsidR="00805C42" w:rsidRPr="00EA7C95" w14:paraId="052CC885" w14:textId="77777777" w:rsidTr="00E465D9">
        <w:trPr>
          <w:jc w:val="center"/>
        </w:trPr>
        <w:tc>
          <w:tcPr>
            <w:tcW w:w="1007" w:type="dxa"/>
            <w:vMerge w:val="restart"/>
          </w:tcPr>
          <w:p w14:paraId="2E1D584A"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Long-term</w:t>
            </w:r>
          </w:p>
        </w:tc>
        <w:tc>
          <w:tcPr>
            <w:tcW w:w="1042" w:type="dxa"/>
          </w:tcPr>
          <w:p w14:paraId="36D0EA39" w14:textId="77777777" w:rsidR="00CD5D04" w:rsidRPr="00EA7C95" w:rsidRDefault="00CD5D04" w:rsidP="007F6AFE">
            <w:pPr>
              <w:adjustRightInd w:val="0"/>
              <w:snapToGrid w:val="0"/>
              <w:spacing w:after="0" w:line="240" w:lineRule="auto"/>
              <w:ind w:left="-103" w:right="-64"/>
              <w:rPr>
                <w:rFonts w:ascii="Times New Roman" w:hAnsi="Times New Roman" w:cs="Times New Roman"/>
                <w:sz w:val="18"/>
                <w:szCs w:val="18"/>
              </w:rPr>
            </w:pPr>
            <w:r w:rsidRPr="00EA7C95">
              <w:rPr>
                <w:rFonts w:ascii="Times New Roman" w:hAnsi="Times New Roman" w:cs="Times New Roman"/>
                <w:sz w:val="18"/>
                <w:szCs w:val="18"/>
              </w:rPr>
              <w:t>2013-15 avg</w:t>
            </w:r>
          </w:p>
        </w:tc>
        <w:tc>
          <w:tcPr>
            <w:tcW w:w="657" w:type="dxa"/>
            <w:shd w:val="clear" w:color="auto" w:fill="auto"/>
          </w:tcPr>
          <w:p w14:paraId="07B6504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898" w:type="dxa"/>
            <w:shd w:val="clear" w:color="auto" w:fill="auto"/>
          </w:tcPr>
          <w:p w14:paraId="783320F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w:t>
            </w:r>
          </w:p>
        </w:tc>
        <w:tc>
          <w:tcPr>
            <w:tcW w:w="1165" w:type="dxa"/>
            <w:shd w:val="clear" w:color="auto" w:fill="auto"/>
          </w:tcPr>
          <w:p w14:paraId="5C83934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0.35</w:t>
            </w:r>
          </w:p>
        </w:tc>
        <w:tc>
          <w:tcPr>
            <w:tcW w:w="1167" w:type="dxa"/>
            <w:shd w:val="clear" w:color="auto" w:fill="auto"/>
          </w:tcPr>
          <w:p w14:paraId="3EB5901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0.30</w:t>
            </w:r>
          </w:p>
        </w:tc>
        <w:tc>
          <w:tcPr>
            <w:tcW w:w="1160" w:type="dxa"/>
            <w:shd w:val="clear" w:color="auto" w:fill="auto"/>
          </w:tcPr>
          <w:p w14:paraId="56667E6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0.30</w:t>
            </w:r>
          </w:p>
        </w:tc>
        <w:tc>
          <w:tcPr>
            <w:tcW w:w="715" w:type="dxa"/>
            <w:shd w:val="clear" w:color="auto" w:fill="auto"/>
          </w:tcPr>
          <w:p w14:paraId="350C156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w:t>
            </w:r>
          </w:p>
        </w:tc>
        <w:tc>
          <w:tcPr>
            <w:tcW w:w="709" w:type="dxa"/>
          </w:tcPr>
          <w:p w14:paraId="2B9DDE0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12%</w:t>
            </w:r>
          </w:p>
        </w:tc>
        <w:tc>
          <w:tcPr>
            <w:tcW w:w="722" w:type="dxa"/>
          </w:tcPr>
          <w:p w14:paraId="625C2CBA"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17%</w:t>
            </w:r>
          </w:p>
        </w:tc>
      </w:tr>
      <w:tr w:rsidR="00805C42" w:rsidRPr="00EA7C95" w14:paraId="3EC9E64D" w14:textId="77777777" w:rsidTr="00E465D9">
        <w:trPr>
          <w:jc w:val="center"/>
        </w:trPr>
        <w:tc>
          <w:tcPr>
            <w:tcW w:w="1007" w:type="dxa"/>
            <w:vMerge/>
          </w:tcPr>
          <w:p w14:paraId="22154DD7"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1042" w:type="dxa"/>
          </w:tcPr>
          <w:p w14:paraId="2657FB70"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Optimistic</w:t>
            </w:r>
          </w:p>
        </w:tc>
        <w:tc>
          <w:tcPr>
            <w:tcW w:w="657" w:type="dxa"/>
            <w:shd w:val="clear" w:color="auto" w:fill="auto"/>
          </w:tcPr>
          <w:p w14:paraId="1855B25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1.11</w:t>
            </w:r>
          </w:p>
        </w:tc>
        <w:tc>
          <w:tcPr>
            <w:tcW w:w="898" w:type="dxa"/>
            <w:shd w:val="clear" w:color="auto" w:fill="auto"/>
          </w:tcPr>
          <w:p w14:paraId="2AA82F8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0.98</w:t>
            </w:r>
          </w:p>
        </w:tc>
        <w:tc>
          <w:tcPr>
            <w:tcW w:w="1165" w:type="dxa"/>
            <w:shd w:val="clear" w:color="auto" w:fill="auto"/>
          </w:tcPr>
          <w:p w14:paraId="1133A85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0.35</w:t>
            </w:r>
          </w:p>
        </w:tc>
        <w:tc>
          <w:tcPr>
            <w:tcW w:w="1167" w:type="dxa"/>
            <w:shd w:val="clear" w:color="auto" w:fill="auto"/>
          </w:tcPr>
          <w:p w14:paraId="05CE76E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0.30</w:t>
            </w:r>
          </w:p>
        </w:tc>
        <w:tc>
          <w:tcPr>
            <w:tcW w:w="1160" w:type="dxa"/>
            <w:shd w:val="clear" w:color="auto" w:fill="auto"/>
          </w:tcPr>
          <w:p w14:paraId="5CB3B569"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0.29</w:t>
            </w:r>
          </w:p>
        </w:tc>
        <w:tc>
          <w:tcPr>
            <w:tcW w:w="715" w:type="dxa"/>
            <w:shd w:val="clear" w:color="auto" w:fill="auto"/>
          </w:tcPr>
          <w:p w14:paraId="754359E7"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w:t>
            </w:r>
          </w:p>
        </w:tc>
        <w:tc>
          <w:tcPr>
            <w:tcW w:w="709" w:type="dxa"/>
          </w:tcPr>
          <w:p w14:paraId="33DCEE2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w:t>
            </w:r>
          </w:p>
        </w:tc>
        <w:tc>
          <w:tcPr>
            <w:tcW w:w="722" w:type="dxa"/>
          </w:tcPr>
          <w:p w14:paraId="3DAA068B"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18%</w:t>
            </w:r>
          </w:p>
        </w:tc>
      </w:tr>
      <w:tr w:rsidR="00805C42" w:rsidRPr="00EA7C95" w14:paraId="3466DBB7" w14:textId="77777777" w:rsidTr="00E465D9">
        <w:trPr>
          <w:jc w:val="center"/>
        </w:trPr>
        <w:tc>
          <w:tcPr>
            <w:tcW w:w="1007" w:type="dxa"/>
            <w:vMerge/>
          </w:tcPr>
          <w:p w14:paraId="6294EFB6"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p>
        </w:tc>
        <w:tc>
          <w:tcPr>
            <w:tcW w:w="1042" w:type="dxa"/>
          </w:tcPr>
          <w:p w14:paraId="06BD0DDC" w14:textId="77777777" w:rsidR="00CD5D04" w:rsidRPr="00EA7C95" w:rsidRDefault="00CD5D04" w:rsidP="00586C11">
            <w:pPr>
              <w:adjustRightInd w:val="0"/>
              <w:snapToGrid w:val="0"/>
              <w:spacing w:after="0" w:line="240" w:lineRule="auto"/>
              <w:rPr>
                <w:rFonts w:ascii="Times New Roman" w:hAnsi="Times New Roman" w:cs="Times New Roman"/>
                <w:sz w:val="18"/>
                <w:szCs w:val="18"/>
              </w:rPr>
            </w:pPr>
            <w:r w:rsidRPr="00EA7C95">
              <w:rPr>
                <w:rFonts w:ascii="Times New Roman" w:hAnsi="Times New Roman" w:cs="Times New Roman"/>
                <w:sz w:val="18"/>
                <w:szCs w:val="18"/>
              </w:rPr>
              <w:t>Pessimistic</w:t>
            </w:r>
          </w:p>
        </w:tc>
        <w:tc>
          <w:tcPr>
            <w:tcW w:w="657" w:type="dxa"/>
            <w:shd w:val="clear" w:color="auto" w:fill="auto"/>
          </w:tcPr>
          <w:p w14:paraId="1DC9644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1.12</w:t>
            </w:r>
          </w:p>
        </w:tc>
        <w:tc>
          <w:tcPr>
            <w:tcW w:w="898" w:type="dxa"/>
            <w:shd w:val="clear" w:color="auto" w:fill="auto"/>
          </w:tcPr>
          <w:p w14:paraId="5217AEF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1.35</w:t>
            </w:r>
          </w:p>
        </w:tc>
        <w:tc>
          <w:tcPr>
            <w:tcW w:w="1165" w:type="dxa"/>
            <w:shd w:val="clear" w:color="auto" w:fill="auto"/>
          </w:tcPr>
          <w:p w14:paraId="71A0DB2D"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0.32</w:t>
            </w:r>
          </w:p>
        </w:tc>
        <w:tc>
          <w:tcPr>
            <w:tcW w:w="1167" w:type="dxa"/>
            <w:shd w:val="clear" w:color="auto" w:fill="auto"/>
          </w:tcPr>
          <w:p w14:paraId="43054130"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0.26</w:t>
            </w:r>
          </w:p>
        </w:tc>
        <w:tc>
          <w:tcPr>
            <w:tcW w:w="1160" w:type="dxa"/>
            <w:shd w:val="clear" w:color="auto" w:fill="auto"/>
          </w:tcPr>
          <w:p w14:paraId="3BA2A162"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0.25</w:t>
            </w:r>
          </w:p>
        </w:tc>
        <w:tc>
          <w:tcPr>
            <w:tcW w:w="715" w:type="dxa"/>
            <w:shd w:val="clear" w:color="auto" w:fill="auto"/>
          </w:tcPr>
          <w:p w14:paraId="6916095C"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7%</w:t>
            </w:r>
          </w:p>
        </w:tc>
        <w:tc>
          <w:tcPr>
            <w:tcW w:w="709" w:type="dxa"/>
          </w:tcPr>
          <w:p w14:paraId="0D7209AF"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26%</w:t>
            </w:r>
          </w:p>
        </w:tc>
        <w:tc>
          <w:tcPr>
            <w:tcW w:w="722" w:type="dxa"/>
          </w:tcPr>
          <w:p w14:paraId="6AEA2A54" w14:textId="77777777" w:rsidR="00CD5D04" w:rsidRPr="00EA7C95" w:rsidRDefault="00CD5D04" w:rsidP="00586C11">
            <w:pPr>
              <w:adjustRightInd w:val="0"/>
              <w:snapToGrid w:val="0"/>
              <w:spacing w:after="0" w:line="240" w:lineRule="auto"/>
              <w:jc w:val="center"/>
              <w:rPr>
                <w:rFonts w:ascii="Times New Roman" w:hAnsi="Times New Roman" w:cs="Times New Roman"/>
                <w:sz w:val="18"/>
                <w:szCs w:val="18"/>
              </w:rPr>
            </w:pPr>
            <w:r w:rsidRPr="00EA7C95">
              <w:rPr>
                <w:rFonts w:ascii="Times New Roman" w:hAnsi="Times New Roman" w:cs="Times New Roman"/>
                <w:sz w:val="18"/>
                <w:szCs w:val="18"/>
              </w:rPr>
              <w:t>32%</w:t>
            </w:r>
          </w:p>
        </w:tc>
      </w:tr>
    </w:tbl>
    <w:p w14:paraId="6907D76A" w14:textId="77777777" w:rsidR="00CD5D04" w:rsidRPr="00EA7C95" w:rsidRDefault="00CD5D04" w:rsidP="00586C11">
      <w:pPr>
        <w:adjustRightInd w:val="0"/>
        <w:snapToGrid w:val="0"/>
        <w:spacing w:after="0" w:line="240" w:lineRule="auto"/>
        <w:rPr>
          <w:rFonts w:ascii="Times New Roman" w:hAnsi="Times New Roman" w:cs="Times New Roman"/>
        </w:rPr>
        <w:sectPr w:rsidR="00CD5D04" w:rsidRPr="00EA7C95" w:rsidSect="0024312A">
          <w:footerReference w:type="default" r:id="rId32"/>
          <w:pgSz w:w="12240" w:h="15840" w:code="1"/>
          <w:pgMar w:top="1440" w:right="1440" w:bottom="1440" w:left="1440" w:header="706" w:footer="706" w:gutter="0"/>
          <w:cols w:space="708"/>
          <w:docGrid w:linePitch="360"/>
        </w:sectPr>
      </w:pPr>
    </w:p>
    <w:tbl>
      <w:tblPr>
        <w:tblW w:w="0" w:type="auto"/>
        <w:tblLook w:val="04A0" w:firstRow="1" w:lastRow="0" w:firstColumn="1" w:lastColumn="0" w:noHBand="0" w:noVBand="1"/>
      </w:tblPr>
      <w:tblGrid>
        <w:gridCol w:w="4680"/>
        <w:gridCol w:w="4680"/>
      </w:tblGrid>
      <w:tr w:rsidR="00CD5D04" w:rsidRPr="00EA7C95" w14:paraId="08EB3BF5" w14:textId="77777777" w:rsidTr="00F27795">
        <w:tc>
          <w:tcPr>
            <w:tcW w:w="4621" w:type="dxa"/>
            <w:shd w:val="clear" w:color="auto" w:fill="auto"/>
          </w:tcPr>
          <w:p w14:paraId="6CDFF8D6"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lastRenderedPageBreak/>
              <w:t>Recent recruitments</w:t>
            </w:r>
          </w:p>
        </w:tc>
        <w:tc>
          <w:tcPr>
            <w:tcW w:w="4621" w:type="dxa"/>
            <w:shd w:val="clear" w:color="auto" w:fill="auto"/>
          </w:tcPr>
          <w:p w14:paraId="675A2931"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Long-term recruitment</w:t>
            </w:r>
          </w:p>
        </w:tc>
      </w:tr>
      <w:tr w:rsidR="00CD5D04" w:rsidRPr="00EA7C95" w14:paraId="7014D1C7" w14:textId="77777777" w:rsidTr="00F27795">
        <w:tc>
          <w:tcPr>
            <w:tcW w:w="4621" w:type="dxa"/>
            <w:shd w:val="clear" w:color="auto" w:fill="auto"/>
          </w:tcPr>
          <w:p w14:paraId="4367E2D9"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3B81B22E" wp14:editId="799D50B8">
                  <wp:extent cx="2874009" cy="2869688"/>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_SBF0_2045_shortterm"/>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c>
          <w:tcPr>
            <w:tcW w:w="4621" w:type="dxa"/>
            <w:shd w:val="clear" w:color="auto" w:fill="auto"/>
          </w:tcPr>
          <w:p w14:paraId="03766532"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232EA406" wp14:editId="4F573359">
                  <wp:extent cx="2874009" cy="2869688"/>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_SBF0_2045_longterm_final"/>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r>
    </w:tbl>
    <w:p w14:paraId="69C0BC59" w14:textId="77777777" w:rsidR="00CD5D04" w:rsidRPr="00EA7C95" w:rsidRDefault="00CD5D04" w:rsidP="00586C11">
      <w:pPr>
        <w:adjustRightInd w:val="0"/>
        <w:snapToGrid w:val="0"/>
        <w:spacing w:after="0" w:line="240" w:lineRule="auto"/>
        <w:jc w:val="both"/>
        <w:rPr>
          <w:rFonts w:ascii="Times New Roman" w:hAnsi="Times New Roman" w:cs="Times New Roman"/>
        </w:rPr>
      </w:pPr>
      <w:bookmarkStart w:id="6" w:name="_Ref518310485"/>
      <w:r w:rsidRPr="00EA7C95">
        <w:rPr>
          <w:rFonts w:ascii="Times New Roman" w:hAnsi="Times New Roman" w:cs="Times New Roman"/>
          <w:b/>
          <w:bCs/>
        </w:rPr>
        <w:t xml:space="preserve">Figure </w:t>
      </w:r>
      <w:bookmarkEnd w:id="6"/>
      <w:r w:rsidRPr="00EA7C95">
        <w:rPr>
          <w:rFonts w:ascii="Times New Roman" w:hAnsi="Times New Roman" w:cs="Times New Roman"/>
          <w:b/>
          <w:bCs/>
        </w:rPr>
        <w:t xml:space="preserve">BET-6. </w:t>
      </w:r>
      <w:r w:rsidRPr="00EA7C95">
        <w:rPr>
          <w:rFonts w:ascii="Times New Roman" w:hAnsi="Times New Roman" w:cs="Times New Roman"/>
        </w:rPr>
        <w:t>Distribution of SB2045/SBF=0 assuming recent and long term recruitment conditions (left and right columns, respectively), under the three future fishing scenarios: 2013-15 avg (2013-15 average conditions, top row); optimistic conditions (middle row); and pessimistic conditions (bottom row). Projection results from ‘updated new growth’ models (3,600 projections) only where the red line indicates the LRP.</w:t>
      </w:r>
    </w:p>
    <w:p w14:paraId="22068251" w14:textId="77777777" w:rsidR="00CD5D04" w:rsidRPr="00EA7C95" w:rsidRDefault="00CD5D04" w:rsidP="00586C11">
      <w:pPr>
        <w:adjustRightInd w:val="0"/>
        <w:snapToGrid w:val="0"/>
        <w:spacing w:after="0" w:line="240" w:lineRule="auto"/>
        <w:rPr>
          <w:rFonts w:ascii="Times New Roman" w:hAnsi="Times New Roman" w:cs="Times New Roman"/>
        </w:rPr>
      </w:pPr>
    </w:p>
    <w:p w14:paraId="6EC22B0D" w14:textId="77777777" w:rsidR="00934BC8" w:rsidRPr="00EA7C95" w:rsidRDefault="00934BC8" w:rsidP="00586C11">
      <w:pPr>
        <w:adjustRightInd w:val="0"/>
        <w:snapToGrid w:val="0"/>
        <w:spacing w:after="0" w:line="240" w:lineRule="auto"/>
        <w:rPr>
          <w:rFonts w:ascii="Times New Roman" w:hAnsi="Times New Roman" w:cs="Times New Roman"/>
        </w:rPr>
      </w:pPr>
    </w:p>
    <w:tbl>
      <w:tblPr>
        <w:tblW w:w="0" w:type="auto"/>
        <w:tblLook w:val="04A0" w:firstRow="1" w:lastRow="0" w:firstColumn="1" w:lastColumn="0" w:noHBand="0" w:noVBand="1"/>
      </w:tblPr>
      <w:tblGrid>
        <w:gridCol w:w="4680"/>
        <w:gridCol w:w="4680"/>
      </w:tblGrid>
      <w:tr w:rsidR="00CD5D04" w:rsidRPr="00EA7C95" w14:paraId="5E9D3EBF" w14:textId="77777777" w:rsidTr="00F27795">
        <w:tc>
          <w:tcPr>
            <w:tcW w:w="4621" w:type="dxa"/>
            <w:shd w:val="clear" w:color="auto" w:fill="auto"/>
          </w:tcPr>
          <w:p w14:paraId="29FA7275"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Recent recruitments</w:t>
            </w:r>
          </w:p>
        </w:tc>
        <w:tc>
          <w:tcPr>
            <w:tcW w:w="4621" w:type="dxa"/>
            <w:shd w:val="clear" w:color="auto" w:fill="auto"/>
          </w:tcPr>
          <w:p w14:paraId="0805B92A"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Long-term recruitment</w:t>
            </w:r>
          </w:p>
        </w:tc>
      </w:tr>
      <w:tr w:rsidR="00CD5D04" w:rsidRPr="00EA7C95" w14:paraId="58702C14" w14:textId="77777777" w:rsidTr="00F27795">
        <w:tc>
          <w:tcPr>
            <w:tcW w:w="4621" w:type="dxa"/>
            <w:shd w:val="clear" w:color="auto" w:fill="auto"/>
          </w:tcPr>
          <w:p w14:paraId="517D11F5"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5F59CDDF" wp14:editId="133BDD79">
                  <wp:extent cx="2868294" cy="286398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Fmsy_shortterm"/>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c>
          <w:tcPr>
            <w:tcW w:w="4621" w:type="dxa"/>
            <w:shd w:val="clear" w:color="auto" w:fill="auto"/>
          </w:tcPr>
          <w:p w14:paraId="4626C569" w14:textId="77777777" w:rsidR="00CD5D04" w:rsidRPr="00EA7C95" w:rsidRDefault="00CD5D0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7AAC2F4A" wp14:editId="3A9F1CE6">
                  <wp:extent cx="2868294" cy="286398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Fmsy_longterm_final"/>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r>
    </w:tbl>
    <w:p w14:paraId="6257DA6C" w14:textId="77777777" w:rsidR="00CD5D04" w:rsidRPr="00EA7C95" w:rsidRDefault="00CD5D04" w:rsidP="00586C11">
      <w:pPr>
        <w:adjustRightInd w:val="0"/>
        <w:snapToGrid w:val="0"/>
        <w:spacing w:after="0" w:line="240" w:lineRule="auto"/>
        <w:jc w:val="both"/>
        <w:rPr>
          <w:rFonts w:ascii="Times New Roman" w:hAnsi="Times New Roman" w:cs="Times New Roman"/>
        </w:rPr>
      </w:pPr>
      <w:bookmarkStart w:id="7" w:name="_Ref518310496"/>
      <w:r w:rsidRPr="00EA7C95">
        <w:rPr>
          <w:rFonts w:ascii="Times New Roman" w:hAnsi="Times New Roman" w:cs="Times New Roman"/>
          <w:b/>
          <w:bCs/>
        </w:rPr>
        <w:t xml:space="preserve">Figure </w:t>
      </w:r>
      <w:bookmarkEnd w:id="7"/>
      <w:r w:rsidRPr="00EA7C95">
        <w:rPr>
          <w:rFonts w:ascii="Times New Roman" w:hAnsi="Times New Roman" w:cs="Times New Roman"/>
          <w:b/>
          <w:bCs/>
        </w:rPr>
        <w:t xml:space="preserve">BET-7. </w:t>
      </w:r>
      <w:r w:rsidRPr="00EA7C95">
        <w:rPr>
          <w:rFonts w:ascii="Times New Roman" w:hAnsi="Times New Roman" w:cs="Times New Roman"/>
        </w:rPr>
        <w:t>Distribution of F/F</w:t>
      </w:r>
      <w:r w:rsidRPr="00EA7C95">
        <w:rPr>
          <w:rFonts w:ascii="Times New Roman" w:hAnsi="Times New Roman" w:cs="Times New Roman"/>
          <w:vertAlign w:val="subscript"/>
        </w:rPr>
        <w:t>MSY</w:t>
      </w:r>
      <w:r w:rsidRPr="00EA7C95">
        <w:rPr>
          <w:rFonts w:ascii="Times New Roman" w:hAnsi="Times New Roman" w:cs="Times New Roman"/>
        </w:rPr>
        <w:t xml:space="preserve"> assuming recent and long term recruitment conditions (left and right columns, respectively), under the three future fishing scenarios: 2013-15 avg (2013-15 average conditions, top row); optimistic conditions (middle row); and pessimistic conditions (bottom row). Projection results from ‘updated new growth’ models (3,600 projections) only.</w:t>
      </w:r>
    </w:p>
    <w:p w14:paraId="5F63554C" w14:textId="77777777" w:rsidR="00CD5D04" w:rsidRPr="00EA7C95" w:rsidRDefault="00CD5D04" w:rsidP="00586C11">
      <w:pPr>
        <w:adjustRightInd w:val="0"/>
        <w:snapToGrid w:val="0"/>
        <w:spacing w:after="0" w:line="240" w:lineRule="auto"/>
        <w:rPr>
          <w:rFonts w:ascii="Times New Roman" w:hAnsi="Times New Roman" w:cs="Times New Roman"/>
        </w:rPr>
      </w:pPr>
    </w:p>
    <w:p w14:paraId="00CC2C50" w14:textId="77777777" w:rsidR="00934BC8" w:rsidRPr="00EA7C95" w:rsidRDefault="00934BC8" w:rsidP="00586C11">
      <w:pPr>
        <w:adjustRightInd w:val="0"/>
        <w:snapToGrid w:val="0"/>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D5D04" w:rsidRPr="00EA7C95" w14:paraId="30E2ACDC" w14:textId="77777777" w:rsidTr="00F27795">
        <w:tc>
          <w:tcPr>
            <w:tcW w:w="6979" w:type="dxa"/>
          </w:tcPr>
          <w:p w14:paraId="33CCBB86" w14:textId="77777777" w:rsidR="00CD5D04" w:rsidRPr="00EA7C95" w:rsidRDefault="00CD5D04" w:rsidP="00586C11">
            <w:pPr>
              <w:adjustRightInd w:val="0"/>
              <w:snapToGrid w:val="0"/>
              <w:rPr>
                <w:rFonts w:ascii="Times New Roman" w:hAnsi="Times New Roman" w:cs="Times New Roman"/>
              </w:rPr>
            </w:pPr>
            <w:r w:rsidRPr="00EA7C95">
              <w:rPr>
                <w:rFonts w:ascii="Times New Roman" w:hAnsi="Times New Roman" w:cs="Times New Roman"/>
              </w:rPr>
              <w:lastRenderedPageBreak/>
              <w:br w:type="page"/>
              <w:t>Recent recruitments</w:t>
            </w:r>
          </w:p>
        </w:tc>
        <w:tc>
          <w:tcPr>
            <w:tcW w:w="6979" w:type="dxa"/>
          </w:tcPr>
          <w:p w14:paraId="5042E1F1" w14:textId="77777777" w:rsidR="00CD5D04" w:rsidRPr="00EA7C95" w:rsidRDefault="00CD5D04" w:rsidP="00586C11">
            <w:pPr>
              <w:adjustRightInd w:val="0"/>
              <w:snapToGrid w:val="0"/>
              <w:rPr>
                <w:rFonts w:ascii="Times New Roman" w:hAnsi="Times New Roman" w:cs="Times New Roman"/>
              </w:rPr>
            </w:pPr>
            <w:r w:rsidRPr="00EA7C95">
              <w:rPr>
                <w:rFonts w:ascii="Times New Roman" w:hAnsi="Times New Roman" w:cs="Times New Roman"/>
              </w:rPr>
              <w:t>Long-term recruitment</w:t>
            </w:r>
          </w:p>
        </w:tc>
      </w:tr>
      <w:tr w:rsidR="00CD5D04" w:rsidRPr="00EA7C95" w14:paraId="71A29A1F" w14:textId="77777777" w:rsidTr="00F27795">
        <w:tc>
          <w:tcPr>
            <w:tcW w:w="6979" w:type="dxa"/>
          </w:tcPr>
          <w:p w14:paraId="030E4F0A" w14:textId="77777777" w:rsidR="00CD5D04" w:rsidRPr="00EA7C95" w:rsidRDefault="00CD5D04" w:rsidP="00586C11">
            <w:pPr>
              <w:adjustRightInd w:val="0"/>
              <w:snapToGrid w:val="0"/>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05247681" wp14:editId="62E2E942">
                  <wp:extent cx="3959999" cy="3954045"/>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C14_timeseries_recentSRR.png"/>
                          <pic:cNvPicPr/>
                        </pic:nvPicPr>
                        <pic:blipFill>
                          <a:blip r:embed="rId37">
                            <a:extLst>
                              <a:ext uri="{28A0092B-C50C-407E-A947-70E740481C1C}">
                                <a14:useLocalDpi xmlns:a14="http://schemas.microsoft.com/office/drawing/2010/main" val="0"/>
                              </a:ext>
                            </a:extLst>
                          </a:blip>
                          <a:stretch>
                            <a:fillRect/>
                          </a:stretch>
                        </pic:blipFill>
                        <pic:spPr>
                          <a:xfrm>
                            <a:off x="0" y="0"/>
                            <a:ext cx="3959999" cy="3954045"/>
                          </a:xfrm>
                          <a:prstGeom prst="rect">
                            <a:avLst/>
                          </a:prstGeom>
                        </pic:spPr>
                      </pic:pic>
                    </a:graphicData>
                  </a:graphic>
                </wp:inline>
              </w:drawing>
            </w:r>
          </w:p>
        </w:tc>
        <w:tc>
          <w:tcPr>
            <w:tcW w:w="6979" w:type="dxa"/>
          </w:tcPr>
          <w:p w14:paraId="56FAE150" w14:textId="77777777" w:rsidR="00CD5D04" w:rsidRPr="00EA7C95" w:rsidRDefault="00CD5D04" w:rsidP="00586C11">
            <w:pPr>
              <w:adjustRightInd w:val="0"/>
              <w:snapToGrid w:val="0"/>
              <w:rPr>
                <w:rFonts w:ascii="Times New Roman" w:hAnsi="Times New Roman" w:cs="Times New Roman"/>
              </w:rPr>
            </w:pPr>
            <w:r w:rsidRPr="00EA7C95">
              <w:rPr>
                <w:rFonts w:ascii="Times New Roman" w:hAnsi="Times New Roman" w:cs="Times New Roman"/>
                <w:noProof/>
                <w:lang w:eastAsia="zh-CN" w:bidi="mn-Mong-CN"/>
              </w:rPr>
              <w:drawing>
                <wp:inline distT="0" distB="0" distL="0" distR="0" wp14:anchorId="361B843C" wp14:editId="58ACC3EB">
                  <wp:extent cx="3959999" cy="3954045"/>
                  <wp:effectExtent l="0" t="0" r="2540"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orSC14_timeseries_longtermSRR.png"/>
                          <pic:cNvPicPr/>
                        </pic:nvPicPr>
                        <pic:blipFill>
                          <a:blip r:embed="rId38">
                            <a:extLst>
                              <a:ext uri="{28A0092B-C50C-407E-A947-70E740481C1C}">
                                <a14:useLocalDpi xmlns:a14="http://schemas.microsoft.com/office/drawing/2010/main" val="0"/>
                              </a:ext>
                            </a:extLst>
                          </a:blip>
                          <a:stretch>
                            <a:fillRect/>
                          </a:stretch>
                        </pic:blipFill>
                        <pic:spPr>
                          <a:xfrm>
                            <a:off x="0" y="0"/>
                            <a:ext cx="3959999" cy="3954045"/>
                          </a:xfrm>
                          <a:prstGeom prst="rect">
                            <a:avLst/>
                          </a:prstGeom>
                        </pic:spPr>
                      </pic:pic>
                    </a:graphicData>
                  </a:graphic>
                </wp:inline>
              </w:drawing>
            </w:r>
          </w:p>
        </w:tc>
      </w:tr>
    </w:tbl>
    <w:p w14:paraId="05FF82DD" w14:textId="77777777" w:rsidR="00CD5D04" w:rsidRPr="00EA7C95" w:rsidRDefault="00CD5D04" w:rsidP="00586C11">
      <w:pPr>
        <w:adjustRightInd w:val="0"/>
        <w:snapToGrid w:val="0"/>
        <w:spacing w:after="0" w:line="240" w:lineRule="auto"/>
        <w:jc w:val="both"/>
        <w:rPr>
          <w:rFonts w:ascii="Times New Roman" w:hAnsi="Times New Roman" w:cs="Times New Roman"/>
        </w:rPr>
      </w:pPr>
      <w:r w:rsidRPr="00EA7C95">
        <w:rPr>
          <w:rFonts w:ascii="Times New Roman" w:hAnsi="Times New Roman" w:cs="Times New Roman"/>
          <w:b/>
          <w:bCs/>
        </w:rPr>
        <w:t xml:space="preserve">Figure BET-8. </w:t>
      </w:r>
      <w:r w:rsidRPr="00EA7C95">
        <w:rPr>
          <w:rFonts w:ascii="Times New Roman" w:hAnsi="Times New Roman" w:cs="Times New Roman"/>
        </w:rPr>
        <w:t>Time series of WCPO bigeye tuna spawning biomass (SB/SBF=0) from the uncertainty grid of assessment model runs for the period 1990 to 2015 (the vertical line at 2015 represents the last year of the assessment), and stochastic projection results for the period 2016 to 2045 under the three future fishing scenarios (“2013-15 avg”, “Optimistic” and “Pessimistic”; rows). During the projection period (2016-2045) levels of recruitment variability are assumed to match those over the “recent” time period (2005-2014; left panel) or the time period used to estimate the stock-recruitment relationship (1962-2014; right panel). The red dashed line represents the agreed limit reference point.</w:t>
      </w:r>
    </w:p>
    <w:p w14:paraId="364C0578" w14:textId="004CDAA8" w:rsidR="00CD5D04" w:rsidRPr="00EA7C95" w:rsidRDefault="00CD5D04" w:rsidP="00586C11">
      <w:pPr>
        <w:adjustRightInd w:val="0"/>
        <w:snapToGrid w:val="0"/>
        <w:spacing w:after="0" w:line="240" w:lineRule="auto"/>
        <w:rPr>
          <w:rFonts w:ascii="Times New Roman" w:hAnsi="Times New Roman" w:cs="Times New Roman"/>
        </w:rPr>
      </w:pPr>
    </w:p>
    <w:p w14:paraId="1D7A9461" w14:textId="3CD67BB1" w:rsidR="00CD5D04" w:rsidRPr="00EA7C95" w:rsidRDefault="00CD5D04" w:rsidP="007F6AFE">
      <w:pPr>
        <w:pStyle w:val="ListParagraph"/>
        <w:numPr>
          <w:ilvl w:val="0"/>
          <w:numId w:val="16"/>
        </w:numPr>
        <w:adjustRightInd w:val="0"/>
        <w:snapToGrid w:val="0"/>
        <w:ind w:left="0" w:firstLine="0"/>
        <w:rPr>
          <w:b/>
          <w:lang w:eastAsia="ko-KR"/>
        </w:rPr>
      </w:pPr>
      <w:r w:rsidRPr="00EA7C95">
        <w:rPr>
          <w:b/>
        </w:rPr>
        <w:t>Management advice</w:t>
      </w:r>
      <w:r w:rsidR="008649C0" w:rsidRPr="00EA7C95">
        <w:rPr>
          <w:b/>
          <w:lang w:eastAsia="ko-KR"/>
        </w:rPr>
        <w:t xml:space="preserve"> and implications</w:t>
      </w:r>
    </w:p>
    <w:p w14:paraId="382C42BA" w14:textId="77777777" w:rsidR="007F6AFE" w:rsidRPr="00EA7C95" w:rsidRDefault="007F6AFE" w:rsidP="00586C11">
      <w:pPr>
        <w:tabs>
          <w:tab w:val="left" w:pos="820"/>
        </w:tabs>
        <w:adjustRightInd w:val="0"/>
        <w:snapToGrid w:val="0"/>
        <w:spacing w:after="0" w:line="240" w:lineRule="auto"/>
        <w:rPr>
          <w:rFonts w:ascii="Times New Roman" w:hAnsi="Times New Roman" w:cs="Times New Roman"/>
          <w:b/>
          <w:lang w:eastAsia="ko-KR"/>
        </w:rPr>
      </w:pPr>
    </w:p>
    <w:p w14:paraId="029B012B" w14:textId="77777777" w:rsidR="00CD5D04" w:rsidRPr="00EA7C95" w:rsidRDefault="00CD5D04" w:rsidP="00586C11">
      <w:pPr>
        <w:pStyle w:val="ListParagraph"/>
        <w:numPr>
          <w:ilvl w:val="0"/>
          <w:numId w:val="13"/>
        </w:numPr>
        <w:adjustRightInd w:val="0"/>
        <w:snapToGrid w:val="0"/>
        <w:ind w:left="0" w:right="114" w:firstLine="0"/>
      </w:pPr>
      <w:r w:rsidRPr="00EA7C95">
        <w:t>SC14</w:t>
      </w:r>
      <w:r w:rsidRPr="00EA7C95">
        <w:rPr>
          <w:spacing w:val="-2"/>
        </w:rPr>
        <w:t xml:space="preserve"> </w:t>
      </w:r>
      <w:r w:rsidRPr="00EA7C95">
        <w:t>noted</w:t>
      </w:r>
      <w:r w:rsidRPr="00EA7C95">
        <w:rPr>
          <w:spacing w:val="-4"/>
        </w:rPr>
        <w:t xml:space="preserve"> </w:t>
      </w:r>
      <w:r w:rsidRPr="00EA7C95">
        <w:t>that</w:t>
      </w:r>
      <w:r w:rsidRPr="00EA7C95">
        <w:rPr>
          <w:spacing w:val="-5"/>
        </w:rPr>
        <w:t xml:space="preserve"> </w:t>
      </w:r>
      <w:r w:rsidRPr="00EA7C95">
        <w:t>the</w:t>
      </w:r>
      <w:r w:rsidRPr="00EA7C95">
        <w:rPr>
          <w:spacing w:val="-3"/>
        </w:rPr>
        <w:t xml:space="preserve"> </w:t>
      </w:r>
      <w:r w:rsidRPr="00EA7C95">
        <w:t>preliminary</w:t>
      </w:r>
      <w:r w:rsidRPr="00EA7C95">
        <w:rPr>
          <w:spacing w:val="-4"/>
        </w:rPr>
        <w:t xml:space="preserve"> </w:t>
      </w:r>
      <w:r w:rsidRPr="00EA7C95">
        <w:t>estimate</w:t>
      </w:r>
      <w:r w:rsidRPr="00EA7C95">
        <w:rPr>
          <w:spacing w:val="-3"/>
        </w:rPr>
        <w:t xml:space="preserve"> </w:t>
      </w:r>
      <w:r w:rsidRPr="00EA7C95">
        <w:t>of</w:t>
      </w:r>
      <w:r w:rsidRPr="00EA7C95">
        <w:rPr>
          <w:spacing w:val="-3"/>
        </w:rPr>
        <w:t xml:space="preserve"> </w:t>
      </w:r>
      <w:r w:rsidRPr="00EA7C95">
        <w:t>total</w:t>
      </w:r>
      <w:r w:rsidRPr="00EA7C95">
        <w:rPr>
          <w:spacing w:val="-4"/>
        </w:rPr>
        <w:t xml:space="preserve"> </w:t>
      </w:r>
      <w:r w:rsidRPr="00EA7C95">
        <w:t>catch</w:t>
      </w:r>
      <w:r w:rsidRPr="00EA7C95">
        <w:rPr>
          <w:spacing w:val="-4"/>
        </w:rPr>
        <w:t xml:space="preserve"> </w:t>
      </w:r>
      <w:r w:rsidRPr="00EA7C95">
        <w:t>of</w:t>
      </w:r>
      <w:r w:rsidRPr="00EA7C95">
        <w:rPr>
          <w:spacing w:val="-3"/>
        </w:rPr>
        <w:t xml:space="preserve"> </w:t>
      </w:r>
      <w:r w:rsidRPr="00EA7C95">
        <w:t>WCPO bigeye tuna</w:t>
      </w:r>
      <w:r w:rsidRPr="00EA7C95">
        <w:rPr>
          <w:spacing w:val="-3"/>
        </w:rPr>
        <w:t xml:space="preserve"> </w:t>
      </w:r>
      <w:r w:rsidRPr="00EA7C95">
        <w:t>for 2017 was 126,929t, a 17% decrease from 2016 and a 19% decrease from the average 2012-2016. Longline catch in 2017 (58,164t) was an 8% decrease from 2016 and a 19% decrease from the 2012-2016 average. Purse seine catch in 2017 (56,194t) was a 12% decrease from 2016 and a 13% decrease from the 2012-2016 average. Pole and line catch (1,411t) was a 65% decrease from 2016 and a 70% decrease from the average 2012-2016 catch. Catch by other gear (11,160t) was a 48% decrease from 2016 and 28% decrease from the average catch in 2012-2016.</w:t>
      </w:r>
    </w:p>
    <w:p w14:paraId="0F887D61" w14:textId="77777777" w:rsidR="00CD5D04" w:rsidRPr="00EA7C95" w:rsidRDefault="00CD5D04" w:rsidP="00586C11">
      <w:pPr>
        <w:pStyle w:val="ListParagraph"/>
        <w:tabs>
          <w:tab w:val="left" w:pos="819"/>
          <w:tab w:val="left" w:pos="820"/>
        </w:tabs>
        <w:adjustRightInd w:val="0"/>
        <w:snapToGrid w:val="0"/>
        <w:ind w:left="0" w:right="114"/>
      </w:pPr>
    </w:p>
    <w:p w14:paraId="023EB2E8" w14:textId="77777777" w:rsidR="00CD5D04" w:rsidRPr="00EA7C95" w:rsidRDefault="00CD5D04" w:rsidP="00586C11">
      <w:pPr>
        <w:pStyle w:val="ListParagraph"/>
        <w:numPr>
          <w:ilvl w:val="0"/>
          <w:numId w:val="13"/>
        </w:numPr>
        <w:adjustRightInd w:val="0"/>
        <w:snapToGrid w:val="0"/>
        <w:ind w:left="0" w:right="114" w:firstLine="0"/>
      </w:pPr>
      <w:r w:rsidRPr="00EA7C95">
        <w:t>Based</w:t>
      </w:r>
      <w:r w:rsidRPr="00EA7C95">
        <w:rPr>
          <w:spacing w:val="-4"/>
        </w:rPr>
        <w:t xml:space="preserve"> </w:t>
      </w:r>
      <w:r w:rsidRPr="00EA7C95">
        <w:t>on</w:t>
      </w:r>
      <w:r w:rsidRPr="00EA7C95">
        <w:rPr>
          <w:spacing w:val="-6"/>
        </w:rPr>
        <w:t xml:space="preserve"> </w:t>
      </w:r>
      <w:r w:rsidRPr="00EA7C95">
        <w:t>the</w:t>
      </w:r>
      <w:r w:rsidRPr="00EA7C95">
        <w:rPr>
          <w:spacing w:val="-5"/>
        </w:rPr>
        <w:t xml:space="preserve"> </w:t>
      </w:r>
      <w:r w:rsidRPr="00EA7C95">
        <w:t>uncertainty</w:t>
      </w:r>
      <w:r w:rsidRPr="00EA7C95">
        <w:rPr>
          <w:spacing w:val="-6"/>
        </w:rPr>
        <w:t xml:space="preserve"> </w:t>
      </w:r>
      <w:r w:rsidRPr="00EA7C95">
        <w:t>grid</w:t>
      </w:r>
      <w:r w:rsidRPr="00EA7C95">
        <w:rPr>
          <w:spacing w:val="-6"/>
        </w:rPr>
        <w:t xml:space="preserve"> </w:t>
      </w:r>
      <w:r w:rsidRPr="00EA7C95">
        <w:t>adopted</w:t>
      </w:r>
      <w:r w:rsidRPr="00EA7C95">
        <w:rPr>
          <w:spacing w:val="-4"/>
        </w:rPr>
        <w:t xml:space="preserve"> </w:t>
      </w:r>
      <w:r w:rsidRPr="00EA7C95">
        <w:t>by</w:t>
      </w:r>
      <w:r w:rsidRPr="00EA7C95">
        <w:rPr>
          <w:spacing w:val="-6"/>
        </w:rPr>
        <w:t xml:space="preserve"> </w:t>
      </w:r>
      <w:r w:rsidRPr="00EA7C95">
        <w:t>SC14,</w:t>
      </w:r>
      <w:r w:rsidRPr="00EA7C95">
        <w:rPr>
          <w:spacing w:val="-6"/>
        </w:rPr>
        <w:t xml:space="preserve"> </w:t>
      </w:r>
      <w:r w:rsidRPr="00EA7C95">
        <w:t>the</w:t>
      </w:r>
      <w:r w:rsidRPr="00EA7C95">
        <w:rPr>
          <w:spacing w:val="-5"/>
        </w:rPr>
        <w:t xml:space="preserve"> </w:t>
      </w:r>
      <w:r w:rsidRPr="00EA7C95">
        <w:t>WCPO</w:t>
      </w:r>
      <w:r w:rsidRPr="00EA7C95">
        <w:rPr>
          <w:spacing w:val="-4"/>
        </w:rPr>
        <w:t xml:space="preserve"> </w:t>
      </w:r>
      <w:r w:rsidRPr="00EA7C95">
        <w:t>bigeye</w:t>
      </w:r>
      <w:r w:rsidRPr="00EA7C95">
        <w:rPr>
          <w:spacing w:val="-5"/>
        </w:rPr>
        <w:t xml:space="preserve"> </w:t>
      </w:r>
      <w:r w:rsidRPr="00EA7C95">
        <w:t>tuna</w:t>
      </w:r>
      <w:r w:rsidRPr="00EA7C95">
        <w:rPr>
          <w:spacing w:val="-6"/>
        </w:rPr>
        <w:t xml:space="preserve"> </w:t>
      </w:r>
      <w:r w:rsidRPr="00EA7C95">
        <w:t>spawning</w:t>
      </w:r>
      <w:r w:rsidRPr="00EA7C95">
        <w:rPr>
          <w:spacing w:val="-4"/>
        </w:rPr>
        <w:t xml:space="preserve"> </w:t>
      </w:r>
      <w:r w:rsidRPr="00EA7C95">
        <w:t>biomass</w:t>
      </w:r>
      <w:r w:rsidRPr="00EA7C95">
        <w:rPr>
          <w:spacing w:val="-5"/>
        </w:rPr>
        <w:t xml:space="preserve"> </w:t>
      </w:r>
      <w:r w:rsidRPr="00EA7C95">
        <w:t xml:space="preserve">is </w:t>
      </w:r>
      <w:r w:rsidRPr="00EA7C95">
        <w:rPr>
          <w:position w:val="2"/>
        </w:rPr>
        <w:t>above the biomass LRP and recent F is very likely below F</w:t>
      </w:r>
      <w:r w:rsidRPr="00EA7C95">
        <w:t>MSY</w:t>
      </w:r>
      <w:r w:rsidRPr="00EA7C95">
        <w:rPr>
          <w:position w:val="2"/>
        </w:rPr>
        <w:t xml:space="preserve">. </w:t>
      </w:r>
      <w:r w:rsidRPr="00EA7C95">
        <w:t>The</w:t>
      </w:r>
      <w:r w:rsidRPr="00EA7C95">
        <w:rPr>
          <w:spacing w:val="-10"/>
        </w:rPr>
        <w:t xml:space="preserve"> </w:t>
      </w:r>
      <w:r w:rsidRPr="00EA7C95">
        <w:t>stock</w:t>
      </w:r>
      <w:r w:rsidRPr="00EA7C95">
        <w:rPr>
          <w:spacing w:val="-8"/>
        </w:rPr>
        <w:t xml:space="preserve"> </w:t>
      </w:r>
      <w:r w:rsidRPr="00EA7C95">
        <w:t>is</w:t>
      </w:r>
      <w:r w:rsidRPr="00EA7C95">
        <w:rPr>
          <w:spacing w:val="-8"/>
        </w:rPr>
        <w:t xml:space="preserve"> </w:t>
      </w:r>
      <w:r w:rsidRPr="00EA7C95">
        <w:t>not</w:t>
      </w:r>
      <w:r w:rsidRPr="00EA7C95">
        <w:rPr>
          <w:spacing w:val="-10"/>
        </w:rPr>
        <w:t xml:space="preserve"> </w:t>
      </w:r>
      <w:r w:rsidRPr="00EA7C95">
        <w:t>experiencing</w:t>
      </w:r>
      <w:r w:rsidRPr="00EA7C95">
        <w:rPr>
          <w:spacing w:val="-11"/>
        </w:rPr>
        <w:t xml:space="preserve"> </w:t>
      </w:r>
      <w:r w:rsidRPr="00EA7C95">
        <w:t>overfishing</w:t>
      </w:r>
      <w:r w:rsidRPr="00EA7C95">
        <w:rPr>
          <w:spacing w:val="-11"/>
        </w:rPr>
        <w:t xml:space="preserve"> </w:t>
      </w:r>
      <w:r w:rsidRPr="00EA7C95">
        <w:t>(94% probability F&lt;F</w:t>
      </w:r>
      <w:r w:rsidRPr="00EA7C95">
        <w:rPr>
          <w:vertAlign w:val="subscript"/>
        </w:rPr>
        <w:t>MSY</w:t>
      </w:r>
      <w:r w:rsidRPr="00EA7C95">
        <w:t>) and it is not in an overfished condition (0%</w:t>
      </w:r>
      <w:r w:rsidRPr="00EA7C95">
        <w:rPr>
          <w:spacing w:val="-26"/>
        </w:rPr>
        <w:t xml:space="preserve"> </w:t>
      </w:r>
      <w:r w:rsidRPr="00EA7C95">
        <w:t>probability SB/SB</w:t>
      </w:r>
      <w:r w:rsidRPr="00EA7C95">
        <w:rPr>
          <w:vertAlign w:val="subscript"/>
        </w:rPr>
        <w:t>F=0</w:t>
      </w:r>
      <w:r w:rsidRPr="00EA7C95">
        <w:t>&lt;LRP).</w:t>
      </w:r>
    </w:p>
    <w:p w14:paraId="3A622F65" w14:textId="77777777" w:rsidR="00CD5D04" w:rsidRPr="00EA7C95" w:rsidRDefault="00CD5D04" w:rsidP="00586C11">
      <w:pPr>
        <w:pStyle w:val="BodyText"/>
        <w:adjustRightInd w:val="0"/>
        <w:snapToGrid w:val="0"/>
        <w:rPr>
          <w:b w:val="0"/>
        </w:rPr>
      </w:pPr>
    </w:p>
    <w:p w14:paraId="63C1099D" w14:textId="77777777" w:rsidR="00CD5D04" w:rsidRPr="00EA7C95" w:rsidRDefault="00CD5D04" w:rsidP="00586C11">
      <w:pPr>
        <w:pStyle w:val="ListParagraph"/>
        <w:numPr>
          <w:ilvl w:val="0"/>
          <w:numId w:val="13"/>
        </w:numPr>
        <w:adjustRightInd w:val="0"/>
        <w:snapToGrid w:val="0"/>
        <w:ind w:left="0" w:right="114" w:firstLine="0"/>
      </w:pPr>
      <w:r w:rsidRPr="00EA7C95">
        <w:t>Although SC14 considers that the updated assessment is consistent with the</w:t>
      </w:r>
      <w:r w:rsidRPr="00EA7C95">
        <w:rPr>
          <w:spacing w:val="-4"/>
        </w:rPr>
        <w:t xml:space="preserve"> </w:t>
      </w:r>
      <w:r w:rsidRPr="00EA7C95">
        <w:t>previous</w:t>
      </w:r>
      <w:r w:rsidRPr="00EA7C95">
        <w:rPr>
          <w:spacing w:val="-4"/>
        </w:rPr>
        <w:t xml:space="preserve"> </w:t>
      </w:r>
      <w:r w:rsidRPr="00EA7C95">
        <w:t>assessment,</w:t>
      </w:r>
      <w:r w:rsidRPr="00EA7C95">
        <w:rPr>
          <w:spacing w:val="-5"/>
        </w:rPr>
        <w:t xml:space="preserve"> </w:t>
      </w:r>
      <w:r w:rsidRPr="00EA7C95">
        <w:t>SC14 also</w:t>
      </w:r>
      <w:r w:rsidRPr="00EA7C95">
        <w:rPr>
          <w:spacing w:val="-7"/>
        </w:rPr>
        <w:t xml:space="preserve"> </w:t>
      </w:r>
      <w:r w:rsidRPr="00EA7C95">
        <w:t>advises</w:t>
      </w:r>
      <w:r w:rsidRPr="00EA7C95">
        <w:rPr>
          <w:spacing w:val="-4"/>
        </w:rPr>
        <w:t xml:space="preserve"> </w:t>
      </w:r>
      <w:r w:rsidRPr="00EA7C95">
        <w:t>that</w:t>
      </w:r>
      <w:r w:rsidRPr="00EA7C95">
        <w:rPr>
          <w:spacing w:val="-6"/>
        </w:rPr>
        <w:t xml:space="preserve"> </w:t>
      </w:r>
      <w:r w:rsidRPr="00EA7C95">
        <w:t>the</w:t>
      </w:r>
      <w:r w:rsidRPr="00EA7C95">
        <w:rPr>
          <w:spacing w:val="-6"/>
        </w:rPr>
        <w:t xml:space="preserve"> </w:t>
      </w:r>
      <w:r w:rsidRPr="00EA7C95">
        <w:t>amount</w:t>
      </w:r>
      <w:r w:rsidRPr="00EA7C95">
        <w:rPr>
          <w:spacing w:val="-6"/>
        </w:rPr>
        <w:t xml:space="preserve"> </w:t>
      </w:r>
      <w:r w:rsidRPr="00EA7C95">
        <w:t>of</w:t>
      </w:r>
      <w:r w:rsidRPr="00EA7C95">
        <w:rPr>
          <w:spacing w:val="-1"/>
        </w:rPr>
        <w:t xml:space="preserve"> </w:t>
      </w:r>
      <w:r w:rsidRPr="00EA7C95">
        <w:t>uncertainty</w:t>
      </w:r>
      <w:r w:rsidRPr="00EA7C95">
        <w:rPr>
          <w:spacing w:val="-7"/>
        </w:rPr>
        <w:t xml:space="preserve"> </w:t>
      </w:r>
      <w:r w:rsidRPr="00EA7C95">
        <w:t>in</w:t>
      </w:r>
      <w:r w:rsidRPr="00EA7C95">
        <w:rPr>
          <w:spacing w:val="-5"/>
        </w:rPr>
        <w:t xml:space="preserve"> </w:t>
      </w:r>
      <w:r w:rsidRPr="00EA7C95">
        <w:t>the</w:t>
      </w:r>
      <w:r w:rsidRPr="00EA7C95">
        <w:rPr>
          <w:spacing w:val="-4"/>
        </w:rPr>
        <w:t xml:space="preserve"> </w:t>
      </w:r>
      <w:r w:rsidRPr="00EA7C95">
        <w:t>stock</w:t>
      </w:r>
      <w:r w:rsidRPr="00EA7C95">
        <w:rPr>
          <w:spacing w:val="-7"/>
        </w:rPr>
        <w:t xml:space="preserve"> </w:t>
      </w:r>
      <w:r w:rsidRPr="00EA7C95">
        <w:t>status</w:t>
      </w:r>
      <w:r w:rsidRPr="00EA7C95">
        <w:rPr>
          <w:spacing w:val="-4"/>
        </w:rPr>
        <w:t xml:space="preserve"> </w:t>
      </w:r>
      <w:r w:rsidRPr="00EA7C95">
        <w:t>results</w:t>
      </w:r>
      <w:r w:rsidRPr="00EA7C95">
        <w:rPr>
          <w:spacing w:val="-9"/>
        </w:rPr>
        <w:t xml:space="preserve"> </w:t>
      </w:r>
      <w:r w:rsidRPr="00EA7C95">
        <w:t>for</w:t>
      </w:r>
      <w:r w:rsidRPr="00EA7C95">
        <w:rPr>
          <w:spacing w:val="-7"/>
        </w:rPr>
        <w:t xml:space="preserve"> </w:t>
      </w:r>
      <w:r w:rsidRPr="00EA7C95">
        <w:t>the</w:t>
      </w:r>
      <w:r w:rsidRPr="00EA7C95">
        <w:rPr>
          <w:spacing w:val="-4"/>
        </w:rPr>
        <w:t xml:space="preserve"> </w:t>
      </w:r>
      <w:r w:rsidRPr="00EA7C95">
        <w:t>2018 assessment update is lower than for the previous assessment due to the exclusion of old information on bigeye tuna growth.</w:t>
      </w:r>
    </w:p>
    <w:p w14:paraId="7F9AA74B" w14:textId="77777777" w:rsidR="00CD5D04" w:rsidRPr="00EA7C95" w:rsidRDefault="00CD5D04" w:rsidP="00586C11">
      <w:pPr>
        <w:pStyle w:val="BodyText"/>
        <w:adjustRightInd w:val="0"/>
        <w:snapToGrid w:val="0"/>
        <w:rPr>
          <w:b w:val="0"/>
        </w:rPr>
      </w:pPr>
    </w:p>
    <w:p w14:paraId="6B10F196" w14:textId="77777777" w:rsidR="00CD5D04" w:rsidRPr="00EA7C95" w:rsidRDefault="00CD5D04" w:rsidP="00586C11">
      <w:pPr>
        <w:pStyle w:val="ListParagraph"/>
        <w:numPr>
          <w:ilvl w:val="0"/>
          <w:numId w:val="13"/>
        </w:numPr>
        <w:adjustRightInd w:val="0"/>
        <w:snapToGrid w:val="0"/>
        <w:ind w:left="0" w:right="114" w:firstLine="0"/>
      </w:pPr>
      <w:r w:rsidRPr="00EA7C95">
        <w:t>SC14</w:t>
      </w:r>
      <w:r w:rsidRPr="00EA7C95">
        <w:rPr>
          <w:spacing w:val="-8"/>
        </w:rPr>
        <w:t xml:space="preserve"> </w:t>
      </w:r>
      <w:r w:rsidRPr="00EA7C95">
        <w:t>noted</w:t>
      </w:r>
      <w:r w:rsidRPr="00EA7C95">
        <w:rPr>
          <w:spacing w:val="-8"/>
        </w:rPr>
        <w:t xml:space="preserve"> </w:t>
      </w:r>
      <w:r w:rsidRPr="00EA7C95">
        <w:t>that</w:t>
      </w:r>
      <w:r w:rsidRPr="00EA7C95">
        <w:rPr>
          <w:spacing w:val="-10"/>
        </w:rPr>
        <w:t xml:space="preserve"> </w:t>
      </w:r>
      <w:r w:rsidRPr="00EA7C95">
        <w:t>levels</w:t>
      </w:r>
      <w:r w:rsidRPr="00EA7C95">
        <w:rPr>
          <w:spacing w:val="-8"/>
        </w:rPr>
        <w:t xml:space="preserve"> </w:t>
      </w:r>
      <w:r w:rsidRPr="00EA7C95">
        <w:t>of</w:t>
      </w:r>
      <w:r w:rsidRPr="00EA7C95">
        <w:rPr>
          <w:spacing w:val="-8"/>
        </w:rPr>
        <w:t xml:space="preserve"> </w:t>
      </w:r>
      <w:r w:rsidRPr="00EA7C95">
        <w:t>fishing</w:t>
      </w:r>
      <w:r w:rsidRPr="00EA7C95">
        <w:rPr>
          <w:spacing w:val="-10"/>
        </w:rPr>
        <w:t xml:space="preserve"> </w:t>
      </w:r>
      <w:r w:rsidRPr="00EA7C95">
        <w:t>mortality</w:t>
      </w:r>
      <w:r w:rsidRPr="00EA7C95">
        <w:rPr>
          <w:spacing w:val="-8"/>
        </w:rPr>
        <w:t xml:space="preserve"> </w:t>
      </w:r>
      <w:r w:rsidRPr="00EA7C95">
        <w:t>and</w:t>
      </w:r>
      <w:r w:rsidRPr="00EA7C95">
        <w:rPr>
          <w:spacing w:val="-13"/>
        </w:rPr>
        <w:t xml:space="preserve"> </w:t>
      </w:r>
      <w:r w:rsidRPr="00EA7C95">
        <w:t>depletion</w:t>
      </w:r>
      <w:r w:rsidRPr="00EA7C95">
        <w:rPr>
          <w:spacing w:val="-11"/>
        </w:rPr>
        <w:t xml:space="preserve"> </w:t>
      </w:r>
      <w:r w:rsidRPr="00EA7C95">
        <w:t>differ</w:t>
      </w:r>
      <w:r w:rsidRPr="00EA7C95">
        <w:rPr>
          <w:spacing w:val="-8"/>
        </w:rPr>
        <w:t xml:space="preserve"> </w:t>
      </w:r>
      <w:r w:rsidRPr="00EA7C95">
        <w:t>among</w:t>
      </w:r>
      <w:r w:rsidRPr="00EA7C95">
        <w:rPr>
          <w:spacing w:val="-11"/>
        </w:rPr>
        <w:t xml:space="preserve"> </w:t>
      </w:r>
      <w:r w:rsidRPr="00EA7C95">
        <w:t>regions,</w:t>
      </w:r>
      <w:r w:rsidRPr="00EA7C95">
        <w:rPr>
          <w:spacing w:val="-8"/>
        </w:rPr>
        <w:t xml:space="preserve"> </w:t>
      </w:r>
      <w:r w:rsidRPr="00EA7C95">
        <w:t>and</w:t>
      </w:r>
      <w:r w:rsidRPr="00EA7C95">
        <w:rPr>
          <w:spacing w:val="-11"/>
        </w:rPr>
        <w:t xml:space="preserve"> </w:t>
      </w:r>
      <w:r w:rsidRPr="00EA7C95">
        <w:t>that fishery</w:t>
      </w:r>
      <w:r w:rsidRPr="00EA7C95">
        <w:rPr>
          <w:spacing w:val="-8"/>
        </w:rPr>
        <w:t xml:space="preserve"> </w:t>
      </w:r>
      <w:r w:rsidRPr="00EA7C95">
        <w:t>impact</w:t>
      </w:r>
      <w:r w:rsidRPr="00EA7C95">
        <w:rPr>
          <w:spacing w:val="-10"/>
        </w:rPr>
        <w:t xml:space="preserve"> </w:t>
      </w:r>
      <w:r w:rsidRPr="00EA7C95">
        <w:t>was</w:t>
      </w:r>
      <w:r w:rsidRPr="00EA7C95">
        <w:rPr>
          <w:spacing w:val="-8"/>
        </w:rPr>
        <w:t xml:space="preserve"> </w:t>
      </w:r>
      <w:r w:rsidRPr="00EA7C95">
        <w:t>higher</w:t>
      </w:r>
      <w:r w:rsidRPr="00EA7C95">
        <w:rPr>
          <w:spacing w:val="-10"/>
        </w:rPr>
        <w:t xml:space="preserve"> </w:t>
      </w:r>
      <w:r w:rsidRPr="00EA7C95">
        <w:t>in</w:t>
      </w:r>
      <w:r w:rsidRPr="00EA7C95">
        <w:rPr>
          <w:spacing w:val="-8"/>
        </w:rPr>
        <w:t xml:space="preserve"> </w:t>
      </w:r>
      <w:r w:rsidRPr="00EA7C95">
        <w:t>the</w:t>
      </w:r>
      <w:r w:rsidRPr="00EA7C95">
        <w:rPr>
          <w:spacing w:val="-8"/>
        </w:rPr>
        <w:t xml:space="preserve"> </w:t>
      </w:r>
      <w:r w:rsidRPr="00EA7C95">
        <w:t>tropical</w:t>
      </w:r>
      <w:r w:rsidRPr="00EA7C95">
        <w:rPr>
          <w:spacing w:val="-10"/>
        </w:rPr>
        <w:t xml:space="preserve"> </w:t>
      </w:r>
      <w:r w:rsidRPr="00EA7C95">
        <w:t>region</w:t>
      </w:r>
      <w:r w:rsidRPr="00EA7C95">
        <w:rPr>
          <w:spacing w:val="-8"/>
        </w:rPr>
        <w:t xml:space="preserve"> </w:t>
      </w:r>
      <w:r w:rsidRPr="00EA7C95">
        <w:t>(Regions</w:t>
      </w:r>
      <w:r w:rsidRPr="00EA7C95">
        <w:rPr>
          <w:spacing w:val="-8"/>
        </w:rPr>
        <w:t xml:space="preserve"> </w:t>
      </w:r>
      <w:r w:rsidRPr="00EA7C95">
        <w:t>3,</w:t>
      </w:r>
      <w:r w:rsidRPr="00EA7C95">
        <w:rPr>
          <w:spacing w:val="-8"/>
        </w:rPr>
        <w:t xml:space="preserve"> </w:t>
      </w:r>
      <w:r w:rsidRPr="00EA7C95">
        <w:t>4,</w:t>
      </w:r>
      <w:r w:rsidRPr="00EA7C95">
        <w:rPr>
          <w:spacing w:val="-8"/>
        </w:rPr>
        <w:t xml:space="preserve"> </w:t>
      </w:r>
      <w:r w:rsidRPr="00EA7C95">
        <w:t>7</w:t>
      </w:r>
      <w:r w:rsidRPr="00EA7C95">
        <w:rPr>
          <w:spacing w:val="-8"/>
        </w:rPr>
        <w:t xml:space="preserve"> </w:t>
      </w:r>
      <w:r w:rsidRPr="00EA7C95">
        <w:t>and</w:t>
      </w:r>
      <w:r w:rsidRPr="00EA7C95">
        <w:rPr>
          <w:spacing w:val="-8"/>
        </w:rPr>
        <w:t xml:space="preserve"> </w:t>
      </w:r>
      <w:r w:rsidRPr="00EA7C95">
        <w:t>8</w:t>
      </w:r>
      <w:r w:rsidRPr="00EA7C95">
        <w:rPr>
          <w:spacing w:val="-8"/>
        </w:rPr>
        <w:t xml:space="preserve"> </w:t>
      </w:r>
      <w:r w:rsidRPr="00EA7C95">
        <w:t>in</w:t>
      </w:r>
      <w:r w:rsidRPr="00EA7C95">
        <w:rPr>
          <w:spacing w:val="-11"/>
        </w:rPr>
        <w:t xml:space="preserve"> </w:t>
      </w:r>
      <w:r w:rsidRPr="00EA7C95">
        <w:t>the</w:t>
      </w:r>
      <w:r w:rsidRPr="00EA7C95">
        <w:rPr>
          <w:spacing w:val="-8"/>
        </w:rPr>
        <w:t xml:space="preserve"> </w:t>
      </w:r>
      <w:r w:rsidRPr="00EA7C95">
        <w:t>stock</w:t>
      </w:r>
      <w:r w:rsidRPr="00EA7C95">
        <w:rPr>
          <w:spacing w:val="-8"/>
        </w:rPr>
        <w:t xml:space="preserve"> </w:t>
      </w:r>
      <w:r w:rsidRPr="00EA7C95">
        <w:t>assessment</w:t>
      </w:r>
      <w:r w:rsidRPr="00EA7C95">
        <w:rPr>
          <w:spacing w:val="-10"/>
        </w:rPr>
        <w:t xml:space="preserve"> </w:t>
      </w:r>
      <w:r w:rsidRPr="00EA7C95">
        <w:t>model), with particularly high fishing mortality on juvenile bigeye tuna in these regions. SC14 therefore recommends that WCPFC15 could continue to consider measures to reduce fishing mortality from fisheries that take juveniles, with the goal to increase bigeye fishery yields and reduce any further impacts on the spawning biomass for this stock in the tropical</w:t>
      </w:r>
      <w:r w:rsidRPr="00EA7C95">
        <w:rPr>
          <w:spacing w:val="-19"/>
        </w:rPr>
        <w:t xml:space="preserve"> </w:t>
      </w:r>
      <w:r w:rsidRPr="00EA7C95">
        <w:t>regions.</w:t>
      </w:r>
    </w:p>
    <w:p w14:paraId="041105C0" w14:textId="77777777" w:rsidR="00CD5D04" w:rsidRPr="00EA7C95" w:rsidRDefault="00CD5D04" w:rsidP="00586C11">
      <w:pPr>
        <w:pStyle w:val="BodyText"/>
        <w:adjustRightInd w:val="0"/>
        <w:snapToGrid w:val="0"/>
        <w:rPr>
          <w:b w:val="0"/>
        </w:rPr>
      </w:pPr>
    </w:p>
    <w:p w14:paraId="1C164CC7" w14:textId="77777777" w:rsidR="00CD5D04" w:rsidRPr="00EA7C95" w:rsidRDefault="00CD5D04" w:rsidP="00586C11">
      <w:pPr>
        <w:pStyle w:val="ListParagraph"/>
        <w:numPr>
          <w:ilvl w:val="0"/>
          <w:numId w:val="13"/>
        </w:numPr>
        <w:adjustRightInd w:val="0"/>
        <w:snapToGrid w:val="0"/>
        <w:ind w:left="0" w:right="114" w:firstLine="0"/>
      </w:pPr>
      <w:r w:rsidRPr="00EA7C95">
        <w:t>SC14 noted that according to CMM-17-01 bigeye tuna SB/SB</w:t>
      </w:r>
      <w:r w:rsidRPr="00EA7C95">
        <w:rPr>
          <w:vertAlign w:val="subscript"/>
        </w:rPr>
        <w:t>F=0</w:t>
      </w:r>
      <w:r w:rsidRPr="00EA7C95">
        <w:t xml:space="preserve"> is to be maintained above the 2012-2015 level (SB</w:t>
      </w:r>
      <w:r w:rsidRPr="00EA7C95">
        <w:rPr>
          <w:vertAlign w:val="subscript"/>
        </w:rPr>
        <w:t>recent</w:t>
      </w:r>
      <w:r w:rsidRPr="00EA7C95">
        <w:t>/SB</w:t>
      </w:r>
      <w:r w:rsidRPr="00EA7C95">
        <w:rPr>
          <w:vertAlign w:val="subscript"/>
        </w:rPr>
        <w:t>F=0</w:t>
      </w:r>
      <w:r w:rsidRPr="00EA7C95">
        <w:t xml:space="preserve"> = 0.36; Table BET-3) pending the agreement on a TRP. SC14 also noted that the projection results based on scenarios estimating CMM2017-01 indicated a high level of uncertainty on the levels of spawning stock biomass relative to the LRP and the objective of CMM-2017-01 in 2045. Under the scenario assuming long-term average recruitment continues into the future there was a high risk (add value) of breaching the LRPs and a zero probability of achieving the objective of CMM-2017-01, while under the scenario which assumes higher more recent recruitments continues into the future there was a low risk (add value) of breaching the LRPs and a 100% probability of achieving the objective of CMM-2017-01.</w:t>
      </w:r>
    </w:p>
    <w:p w14:paraId="1E8C2059" w14:textId="77777777" w:rsidR="00CD5D04" w:rsidRPr="00EA7C95" w:rsidRDefault="00CD5D04" w:rsidP="00586C11">
      <w:pPr>
        <w:pStyle w:val="ListParagraph"/>
        <w:tabs>
          <w:tab w:val="left" w:pos="820"/>
        </w:tabs>
        <w:adjustRightInd w:val="0"/>
        <w:snapToGrid w:val="0"/>
        <w:ind w:left="0" w:right="115"/>
      </w:pPr>
    </w:p>
    <w:p w14:paraId="00C1B6B3" w14:textId="77777777" w:rsidR="00CD5D04" w:rsidRPr="00EA7C95" w:rsidRDefault="00CD5D04" w:rsidP="00586C11">
      <w:pPr>
        <w:pStyle w:val="ListParagraph"/>
        <w:numPr>
          <w:ilvl w:val="0"/>
          <w:numId w:val="13"/>
        </w:numPr>
        <w:adjustRightInd w:val="0"/>
        <w:snapToGrid w:val="0"/>
        <w:ind w:left="0" w:right="114" w:firstLine="0"/>
      </w:pPr>
      <w:r w:rsidRPr="00EA7C95">
        <w:t xml:space="preserve">However, SC14 also noted that the projections assume that longline catches would be maintained regardless of the decrease in biomass. This may result in unlikely high levels of effort. Therefore, the catch estimates under the </w:t>
      </w:r>
      <w:r w:rsidR="00934BC8" w:rsidRPr="00EA7C95">
        <w:t>long-term</w:t>
      </w:r>
      <w:r w:rsidRPr="00EA7C95">
        <w:t xml:space="preserve"> recruitment scenario, especially in the longer term projections, are more uncertain. </w:t>
      </w:r>
    </w:p>
    <w:p w14:paraId="228AA5A1" w14:textId="77777777" w:rsidR="00CD5D04" w:rsidRPr="00EA7C95" w:rsidRDefault="00CD5D04" w:rsidP="00586C11">
      <w:pPr>
        <w:pStyle w:val="ListParagraph"/>
        <w:tabs>
          <w:tab w:val="left" w:pos="820"/>
        </w:tabs>
        <w:adjustRightInd w:val="0"/>
        <w:snapToGrid w:val="0"/>
        <w:ind w:right="115"/>
      </w:pPr>
    </w:p>
    <w:p w14:paraId="3C00D899" w14:textId="77777777" w:rsidR="00CD5D04" w:rsidRPr="00EA7C95" w:rsidRDefault="00CD5D04" w:rsidP="00586C11">
      <w:pPr>
        <w:pStyle w:val="ListParagraph"/>
        <w:numPr>
          <w:ilvl w:val="0"/>
          <w:numId w:val="13"/>
        </w:numPr>
        <w:adjustRightInd w:val="0"/>
        <w:snapToGrid w:val="0"/>
        <w:ind w:left="0" w:right="114" w:firstLine="0"/>
      </w:pPr>
      <w:r w:rsidRPr="00EA7C95">
        <w:t>Based on these results, SC14 recommends</w:t>
      </w:r>
      <w:r w:rsidRPr="00EA7C95">
        <w:rPr>
          <w:spacing w:val="-13"/>
        </w:rPr>
        <w:t xml:space="preserve"> that WCPFC15 takes note of the results of the projections in relation achieving CMM-2017-01 and </w:t>
      </w:r>
      <w:r w:rsidRPr="00EA7C95">
        <w:t>as a precautionary approach that the fishing mortality on bigeye tuna stock should not be increased from the recent average (2011-2014) level to maintain spawning biomass at or above the 2012-2015 average,</w:t>
      </w:r>
      <w:r w:rsidRPr="00EA7C95">
        <w:rPr>
          <w:spacing w:val="-13"/>
        </w:rPr>
        <w:t xml:space="preserve"> </w:t>
      </w:r>
      <w:r w:rsidRPr="00EA7C95">
        <w:t>until</w:t>
      </w:r>
      <w:r w:rsidRPr="00EA7C95">
        <w:rPr>
          <w:spacing w:val="-14"/>
        </w:rPr>
        <w:t xml:space="preserve"> </w:t>
      </w:r>
      <w:r w:rsidRPr="00EA7C95">
        <w:t>the</w:t>
      </w:r>
      <w:r w:rsidRPr="00EA7C95">
        <w:rPr>
          <w:spacing w:val="-13"/>
        </w:rPr>
        <w:t xml:space="preserve"> </w:t>
      </w:r>
      <w:r w:rsidRPr="00EA7C95">
        <w:t>Commission</w:t>
      </w:r>
      <w:r w:rsidRPr="00EA7C95">
        <w:rPr>
          <w:spacing w:val="-15"/>
        </w:rPr>
        <w:t xml:space="preserve"> </w:t>
      </w:r>
      <w:r w:rsidRPr="00EA7C95">
        <w:t>can</w:t>
      </w:r>
      <w:r w:rsidRPr="00EA7C95">
        <w:rPr>
          <w:spacing w:val="-13"/>
        </w:rPr>
        <w:t xml:space="preserve"> articulate the management objectives and </w:t>
      </w:r>
      <w:r w:rsidRPr="00EA7C95">
        <w:t>agree</w:t>
      </w:r>
      <w:r w:rsidRPr="00EA7C95">
        <w:rPr>
          <w:spacing w:val="-15"/>
        </w:rPr>
        <w:t xml:space="preserve"> </w:t>
      </w:r>
      <w:r w:rsidRPr="00EA7C95">
        <w:t>on</w:t>
      </w:r>
      <w:r w:rsidRPr="00EA7C95">
        <w:rPr>
          <w:spacing w:val="-13"/>
        </w:rPr>
        <w:t xml:space="preserve"> </w:t>
      </w:r>
      <w:r w:rsidRPr="00EA7C95">
        <w:t>an</w:t>
      </w:r>
      <w:r w:rsidRPr="00EA7C95">
        <w:rPr>
          <w:spacing w:val="-13"/>
        </w:rPr>
        <w:t xml:space="preserve"> </w:t>
      </w:r>
      <w:r w:rsidRPr="00EA7C95">
        <w:t>appropriate</w:t>
      </w:r>
      <w:r w:rsidRPr="00EA7C95">
        <w:rPr>
          <w:spacing w:val="-13"/>
        </w:rPr>
        <w:t xml:space="preserve"> </w:t>
      </w:r>
      <w:r w:rsidRPr="00EA7C95">
        <w:t>target</w:t>
      </w:r>
      <w:r w:rsidRPr="00EA7C95">
        <w:rPr>
          <w:spacing w:val="-15"/>
        </w:rPr>
        <w:t xml:space="preserve"> </w:t>
      </w:r>
      <w:r w:rsidRPr="00EA7C95">
        <w:t>reference</w:t>
      </w:r>
      <w:r w:rsidRPr="00EA7C95">
        <w:rPr>
          <w:spacing w:val="-13"/>
        </w:rPr>
        <w:t xml:space="preserve"> </w:t>
      </w:r>
      <w:r w:rsidRPr="00EA7C95">
        <w:t>point (TRP) for BET, although one CCM considers that SC14 could provide more options for the commission to consider.</w:t>
      </w:r>
    </w:p>
    <w:p w14:paraId="07823306" w14:textId="77777777" w:rsidR="00CD5D04" w:rsidRPr="00EA7C95" w:rsidRDefault="00CD5D04" w:rsidP="00586C11">
      <w:pPr>
        <w:pStyle w:val="ListParagraph"/>
        <w:tabs>
          <w:tab w:val="left" w:pos="820"/>
        </w:tabs>
        <w:adjustRightInd w:val="0"/>
        <w:snapToGrid w:val="0"/>
        <w:ind w:right="115"/>
      </w:pPr>
    </w:p>
    <w:p w14:paraId="06F82FD6" w14:textId="77777777" w:rsidR="00CD5D04" w:rsidRPr="00EA7C95" w:rsidRDefault="00CD5D04" w:rsidP="00586C11">
      <w:pPr>
        <w:adjustRightInd w:val="0"/>
        <w:snapToGrid w:val="0"/>
        <w:spacing w:after="0" w:line="240" w:lineRule="auto"/>
        <w:jc w:val="both"/>
        <w:rPr>
          <w:rFonts w:ascii="Times New Roman" w:hAnsi="Times New Roman" w:cs="Times New Roman"/>
        </w:rPr>
        <w:sectPr w:rsidR="00CD5D04" w:rsidRPr="00EA7C95" w:rsidSect="0024312A">
          <w:pgSz w:w="12240" w:h="15840" w:code="1"/>
          <w:pgMar w:top="1440" w:right="1440" w:bottom="1440" w:left="1440" w:header="720" w:footer="720" w:gutter="0"/>
          <w:cols w:space="720"/>
        </w:sectPr>
      </w:pPr>
    </w:p>
    <w:p w14:paraId="7A4FCA34" w14:textId="01874AC8" w:rsidR="00CD5D04" w:rsidRPr="00EA7C95" w:rsidRDefault="00CD5D04" w:rsidP="007F6AFE">
      <w:pPr>
        <w:pStyle w:val="BodyText"/>
        <w:numPr>
          <w:ilvl w:val="0"/>
          <w:numId w:val="16"/>
        </w:numPr>
        <w:adjustRightInd w:val="0"/>
        <w:snapToGrid w:val="0"/>
        <w:ind w:left="0" w:firstLine="0"/>
        <w:jc w:val="both"/>
      </w:pPr>
      <w:r w:rsidRPr="00EA7C95">
        <w:t>Research Recommendations</w:t>
      </w:r>
    </w:p>
    <w:p w14:paraId="620D2633" w14:textId="77777777" w:rsidR="00CD5D04" w:rsidRPr="00EA7C95" w:rsidRDefault="00CD5D04" w:rsidP="00586C11">
      <w:pPr>
        <w:pStyle w:val="BodyText"/>
        <w:adjustRightInd w:val="0"/>
        <w:snapToGrid w:val="0"/>
        <w:rPr>
          <w:b w:val="0"/>
        </w:rPr>
      </w:pPr>
    </w:p>
    <w:p w14:paraId="2D7F4F5D" w14:textId="64D5A04A" w:rsidR="00CD5D04" w:rsidRPr="00EA7C95" w:rsidRDefault="00CD5D04" w:rsidP="00586C11">
      <w:pPr>
        <w:pStyle w:val="ListParagraph"/>
        <w:numPr>
          <w:ilvl w:val="0"/>
          <w:numId w:val="13"/>
        </w:numPr>
        <w:adjustRightInd w:val="0"/>
        <w:snapToGrid w:val="0"/>
        <w:ind w:left="0" w:right="114" w:firstLine="0"/>
      </w:pPr>
      <w:r w:rsidRPr="00EA7C95">
        <w:t xml:space="preserve">SC14 noted that the acceptance of the new growth model for BET raises </w:t>
      </w:r>
      <w:proofErr w:type="gramStart"/>
      <w:r w:rsidRPr="00EA7C95">
        <w:t>a number of</w:t>
      </w:r>
      <w:proofErr w:type="gramEnd"/>
      <w:r w:rsidRPr="00EA7C95">
        <w:t xml:space="preserve"> issues in relation to patterns of growth and stock structure of BET across the Pacific Ocean and recommended that the following research issues need to be addressed:</w:t>
      </w:r>
    </w:p>
    <w:p w14:paraId="72731F41" w14:textId="77777777" w:rsidR="00E465D9" w:rsidRPr="00EA7C95" w:rsidRDefault="00E465D9" w:rsidP="00E465D9">
      <w:pPr>
        <w:pStyle w:val="ListParagraph"/>
        <w:adjustRightInd w:val="0"/>
        <w:snapToGrid w:val="0"/>
        <w:ind w:left="0" w:right="114"/>
      </w:pPr>
    </w:p>
    <w:p w14:paraId="08147EA7" w14:textId="77777777" w:rsidR="00CD5D04" w:rsidRPr="00EA7C95" w:rsidRDefault="00CD5D04" w:rsidP="00E465D9">
      <w:pPr>
        <w:pStyle w:val="ListParagraph"/>
        <w:numPr>
          <w:ilvl w:val="0"/>
          <w:numId w:val="17"/>
        </w:numPr>
        <w:tabs>
          <w:tab w:val="left" w:pos="840"/>
        </w:tabs>
        <w:adjustRightInd w:val="0"/>
        <w:snapToGrid w:val="0"/>
        <w:ind w:right="115"/>
      </w:pPr>
      <w:r w:rsidRPr="00EA7C95">
        <w:t xml:space="preserve">Two different growth models separated at 150˚W effectively means that Pacific BET should be assessed as a two-stock resource between the WCPO and EPO.  However, catch information indicates that the fishing grounds near 150˚W are a core area of BET catch, thus influencing the assessments of both the WCPFC and IATTC. Also, tagging information suggests movement of BET between the WCPO and EPO. Therefore, the appropriateness off delineating the two stocks at 150˚W needs to be investigated. </w:t>
      </w:r>
    </w:p>
    <w:p w14:paraId="154B744F" w14:textId="77777777" w:rsidR="00CD5D04" w:rsidRPr="00EA7C95" w:rsidRDefault="00CD5D04" w:rsidP="00E465D9">
      <w:pPr>
        <w:pStyle w:val="ListParagraph"/>
        <w:numPr>
          <w:ilvl w:val="0"/>
          <w:numId w:val="17"/>
        </w:numPr>
        <w:tabs>
          <w:tab w:val="left" w:pos="840"/>
        </w:tabs>
        <w:adjustRightInd w:val="0"/>
        <w:snapToGrid w:val="0"/>
        <w:ind w:right="115"/>
      </w:pPr>
      <w:r w:rsidRPr="00EA7C95">
        <w:t xml:space="preserve">The new growth analysis suggests area variant growth across the Pacific. While the level of variation is seen to be relatively small within the WCPO (and possibly within the margins of observation error), there is a suggestion of substantial change in growth around the boundary between the WCPO and the EPO (c.f. Figure 14 in SA-WP-01). The reasons for this suggested change in growth remains unknown, but SC14 noted the utility of collecting more information from the regions either side of this boundary to inform a greater understanding of possible changes in growth around this area. While the incorporation of area-variant growth within the assessment model would also help explore this issue, SC14 noted the difficulty of this task. </w:t>
      </w:r>
    </w:p>
    <w:p w14:paraId="0AB9B18D" w14:textId="77777777" w:rsidR="00CD5D04" w:rsidRPr="00EA7C95" w:rsidRDefault="00CD5D04" w:rsidP="00E465D9">
      <w:pPr>
        <w:pStyle w:val="ListParagraph"/>
        <w:numPr>
          <w:ilvl w:val="0"/>
          <w:numId w:val="17"/>
        </w:numPr>
        <w:tabs>
          <w:tab w:val="left" w:pos="840"/>
        </w:tabs>
        <w:adjustRightInd w:val="0"/>
        <w:snapToGrid w:val="0"/>
        <w:ind w:right="115"/>
      </w:pPr>
      <w:r w:rsidRPr="00EA7C95">
        <w:t xml:space="preserve">SC11 concluded that the stock status of WCPO BET from the Pan-Pacific assessment and the </w:t>
      </w:r>
      <w:r w:rsidRPr="00EA7C95">
        <w:lastRenderedPageBreak/>
        <w:t xml:space="preserve">WCPO-only assessment were similar when the growth models were similar in the EPO and WCPO. This conclusion needs to be revisited </w:t>
      </w:r>
      <w:proofErr w:type="gramStart"/>
      <w:r w:rsidRPr="00EA7C95">
        <w:t>in light of</w:t>
      </w:r>
      <w:proofErr w:type="gramEnd"/>
      <w:r w:rsidRPr="00EA7C95">
        <w:t xml:space="preserve"> the different growth between EPO and WCPO by adopting the new growth. </w:t>
      </w:r>
    </w:p>
    <w:p w14:paraId="10DD2034" w14:textId="77777777" w:rsidR="00CD5D04" w:rsidRPr="00EA7C95" w:rsidRDefault="00CD5D04" w:rsidP="00586C11">
      <w:pPr>
        <w:tabs>
          <w:tab w:val="left" w:pos="840"/>
        </w:tabs>
        <w:adjustRightInd w:val="0"/>
        <w:snapToGrid w:val="0"/>
        <w:spacing w:after="0" w:line="240" w:lineRule="auto"/>
        <w:ind w:right="115"/>
        <w:rPr>
          <w:rFonts w:ascii="Times New Roman" w:hAnsi="Times New Roman" w:cs="Times New Roman"/>
        </w:rPr>
      </w:pPr>
    </w:p>
    <w:p w14:paraId="0E29244A" w14:textId="77777777" w:rsidR="00CD5D04" w:rsidRPr="00EA7C95" w:rsidRDefault="00CD5D04" w:rsidP="00586C11">
      <w:pPr>
        <w:pStyle w:val="ListParagraph"/>
        <w:numPr>
          <w:ilvl w:val="0"/>
          <w:numId w:val="13"/>
        </w:numPr>
        <w:adjustRightInd w:val="0"/>
        <w:snapToGrid w:val="0"/>
        <w:ind w:left="0" w:right="114" w:firstLine="0"/>
      </w:pPr>
      <w:r w:rsidRPr="00EA7C95">
        <w:t>The following additional research activities were also recommended by SC14 in order to improve the understanding of the age and growth of BET across the Pacific:</w:t>
      </w:r>
    </w:p>
    <w:p w14:paraId="5B61E39A" w14:textId="77777777" w:rsidR="00586C11" w:rsidRPr="00EA7C95" w:rsidRDefault="00586C11" w:rsidP="00586C11">
      <w:pPr>
        <w:pStyle w:val="BodyText"/>
        <w:adjustRightInd w:val="0"/>
        <w:snapToGrid w:val="0"/>
      </w:pPr>
    </w:p>
    <w:p w14:paraId="20C0ABA1" w14:textId="77777777" w:rsidR="00CD5D04" w:rsidRPr="00EA7C95" w:rsidRDefault="00CD5D04" w:rsidP="007F6AFE">
      <w:pPr>
        <w:pStyle w:val="BodyText"/>
        <w:numPr>
          <w:ilvl w:val="0"/>
          <w:numId w:val="14"/>
        </w:numPr>
        <w:adjustRightInd w:val="0"/>
        <w:snapToGrid w:val="0"/>
        <w:ind w:left="1080"/>
        <w:rPr>
          <w:b w:val="0"/>
          <w:bCs w:val="0"/>
        </w:rPr>
      </w:pPr>
      <w:r w:rsidRPr="00EA7C95">
        <w:rPr>
          <w:b w:val="0"/>
          <w:bCs w:val="0"/>
        </w:rPr>
        <w:t>A WCPO growth model based on size composition and tagging data, as well as the use of additional modeling approaches (e.g., length-conditional), should also be evaluated.</w:t>
      </w:r>
    </w:p>
    <w:p w14:paraId="7CDF1791" w14:textId="77777777" w:rsidR="00CD5D04" w:rsidRPr="00EA7C95" w:rsidRDefault="00CD5D04" w:rsidP="007F6AFE">
      <w:pPr>
        <w:pStyle w:val="BodyText"/>
        <w:numPr>
          <w:ilvl w:val="0"/>
          <w:numId w:val="14"/>
        </w:numPr>
        <w:adjustRightInd w:val="0"/>
        <w:snapToGrid w:val="0"/>
        <w:ind w:left="1080"/>
        <w:rPr>
          <w:b w:val="0"/>
          <w:bCs w:val="0"/>
        </w:rPr>
      </w:pPr>
      <w:r w:rsidRPr="00EA7C95">
        <w:rPr>
          <w:b w:val="0"/>
          <w:bCs w:val="0"/>
        </w:rPr>
        <w:t>Collaboration with the IATTC to analyze bigeye growth from otolith and tagging data collected across the entire Pacific, to better characterize the apparent regional difference in growth between the WCPO and EPO, and possible environmental determinants of such differences.</w:t>
      </w:r>
    </w:p>
    <w:p w14:paraId="05FC70F5" w14:textId="77777777" w:rsidR="00CD5D04" w:rsidRPr="00EA7C95" w:rsidRDefault="00CD5D04" w:rsidP="007F6AFE">
      <w:pPr>
        <w:pStyle w:val="BodyText"/>
        <w:numPr>
          <w:ilvl w:val="0"/>
          <w:numId w:val="14"/>
        </w:numPr>
        <w:adjustRightInd w:val="0"/>
        <w:snapToGrid w:val="0"/>
        <w:ind w:left="1080"/>
        <w:rPr>
          <w:b w:val="0"/>
          <w:bCs w:val="0"/>
        </w:rPr>
      </w:pPr>
      <w:r w:rsidRPr="00EA7C95">
        <w:rPr>
          <w:b w:val="0"/>
          <w:bCs w:val="0"/>
        </w:rPr>
        <w:t>Analyzing the same otoliths by different laboratories, to build confidence in ageing estimates and to estimate ageing error.</w:t>
      </w:r>
    </w:p>
    <w:p w14:paraId="710F30BF" w14:textId="77777777" w:rsidR="00CD5D04" w:rsidRPr="00EA7C95" w:rsidRDefault="00CD5D04" w:rsidP="007F6AFE">
      <w:pPr>
        <w:pStyle w:val="BodyText"/>
        <w:numPr>
          <w:ilvl w:val="0"/>
          <w:numId w:val="14"/>
        </w:numPr>
        <w:adjustRightInd w:val="0"/>
        <w:snapToGrid w:val="0"/>
        <w:ind w:left="1080"/>
        <w:rPr>
          <w:b w:val="0"/>
          <w:bCs w:val="0"/>
        </w:rPr>
      </w:pPr>
      <w:r w:rsidRPr="00EA7C95">
        <w:rPr>
          <w:b w:val="0"/>
          <w:bCs w:val="0"/>
        </w:rPr>
        <w:t xml:space="preserve">Continued development of a high-confidence tagging dataset for growth analysis, with particular focus on larger bigeye tuna and events with reliable measurements at release. Such data would assist with the validation of the age estimates of large bigeye in the </w:t>
      </w:r>
      <w:r w:rsidR="00934BC8" w:rsidRPr="00EA7C95">
        <w:rPr>
          <w:b w:val="0"/>
          <w:bCs w:val="0"/>
        </w:rPr>
        <w:t>WCPO and</w:t>
      </w:r>
      <w:r w:rsidRPr="00EA7C95">
        <w:rPr>
          <w:b w:val="0"/>
          <w:bCs w:val="0"/>
        </w:rPr>
        <w:t xml:space="preserve"> could potentially be incorporated directly into the assessment model as an additional data set. However, a reliable measurement of both length at release and recapture are necessary to accurately estimate incremental growth.</w:t>
      </w:r>
    </w:p>
    <w:p w14:paraId="6DCF3880" w14:textId="77777777" w:rsidR="00CD5D04" w:rsidRPr="00EA7C95" w:rsidRDefault="00CD5D04" w:rsidP="007F6AFE">
      <w:pPr>
        <w:pStyle w:val="BodyText"/>
        <w:numPr>
          <w:ilvl w:val="0"/>
          <w:numId w:val="14"/>
        </w:numPr>
        <w:adjustRightInd w:val="0"/>
        <w:snapToGrid w:val="0"/>
        <w:ind w:left="1080"/>
        <w:rPr>
          <w:b w:val="0"/>
          <w:bCs w:val="0"/>
        </w:rPr>
      </w:pPr>
      <w:r w:rsidRPr="00EA7C95">
        <w:rPr>
          <w:b w:val="0"/>
          <w:bCs w:val="0"/>
        </w:rPr>
        <w:t>Collect otoliths of very small bigeye that are captured by the Indonesian, Vietnamese, and Philippines domestic fisheries in region 7 and estimate age through daily ring counts to aid in the estimation of the size at age-1 qtr</w:t>
      </w:r>
      <w:r w:rsidRPr="00EA7C95">
        <w:rPr>
          <w:b w:val="0"/>
          <w:bCs w:val="0"/>
          <w:vertAlign w:val="superscript"/>
        </w:rPr>
        <w:t>-1</w:t>
      </w:r>
      <w:r w:rsidRPr="00EA7C95">
        <w:rPr>
          <w:b w:val="0"/>
          <w:bCs w:val="0"/>
        </w:rPr>
        <w:t xml:space="preserve"> parameter (L1) within the assessment model.</w:t>
      </w:r>
    </w:p>
    <w:p w14:paraId="41B77638" w14:textId="1A13516A" w:rsidR="00CD5D04" w:rsidRPr="00EA7C95" w:rsidRDefault="00CD5D04" w:rsidP="00586C11">
      <w:pPr>
        <w:adjustRightInd w:val="0"/>
        <w:snapToGrid w:val="0"/>
        <w:spacing w:after="0" w:line="240" w:lineRule="auto"/>
        <w:rPr>
          <w:rFonts w:ascii="Times New Roman" w:hAnsi="Times New Roman" w:cs="Times New Roman"/>
        </w:rPr>
      </w:pPr>
    </w:p>
    <w:p w14:paraId="7227000F" w14:textId="77777777" w:rsidR="006779AF" w:rsidRPr="00EA7C95" w:rsidRDefault="006779AF" w:rsidP="00586C11">
      <w:pPr>
        <w:adjustRightInd w:val="0"/>
        <w:snapToGrid w:val="0"/>
        <w:spacing w:after="0" w:line="240" w:lineRule="auto"/>
        <w:rPr>
          <w:rFonts w:ascii="Times New Roman" w:hAnsi="Times New Roman" w:cs="Times New Roman"/>
        </w:rPr>
      </w:pPr>
    </w:p>
    <w:p w14:paraId="363F1597" w14:textId="77777777" w:rsidR="004B05DF" w:rsidRPr="00EA7C95" w:rsidRDefault="004B05DF" w:rsidP="00586C11">
      <w:pPr>
        <w:pStyle w:val="Heading1"/>
        <w:adjustRightInd w:val="0"/>
        <w:snapToGrid w:val="0"/>
        <w:spacing w:before="0" w:line="240" w:lineRule="auto"/>
        <w:rPr>
          <w:rFonts w:ascii="Times New Roman" w:hAnsi="Times New Roman" w:cs="Times New Roman"/>
          <w:b/>
          <w:bCs/>
          <w:sz w:val="28"/>
          <w:szCs w:val="28"/>
        </w:rPr>
      </w:pPr>
      <w:bookmarkStart w:id="8" w:name="_Toc64388042"/>
      <w:r w:rsidRPr="00EA7C95">
        <w:rPr>
          <w:rFonts w:ascii="Times New Roman" w:hAnsi="Times New Roman" w:cs="Times New Roman"/>
          <w:b/>
          <w:bCs/>
          <w:sz w:val="28"/>
          <w:szCs w:val="28"/>
        </w:rPr>
        <w:t xml:space="preserve">SC13 2017 </w:t>
      </w:r>
      <w:r w:rsidR="00C73552" w:rsidRPr="00EA7C95">
        <w:rPr>
          <w:rFonts w:ascii="Times New Roman" w:hAnsi="Times New Roman" w:cs="Times New Roman"/>
          <w:b/>
          <w:bCs/>
          <w:sz w:val="28"/>
          <w:szCs w:val="28"/>
        </w:rPr>
        <w:t>(STOCK ASSESSMENT CONDUCTED)</w:t>
      </w:r>
      <w:bookmarkEnd w:id="8"/>
    </w:p>
    <w:p w14:paraId="2D2C1421" w14:textId="77777777" w:rsidR="004B05DF" w:rsidRPr="00EA7C95" w:rsidRDefault="004B05DF" w:rsidP="00586C11">
      <w:pPr>
        <w:adjustRightInd w:val="0"/>
        <w:snapToGrid w:val="0"/>
        <w:spacing w:after="0" w:line="240" w:lineRule="auto"/>
        <w:rPr>
          <w:rFonts w:ascii="Times New Roman" w:hAnsi="Times New Roman" w:cs="Times New Roman"/>
        </w:rPr>
      </w:pPr>
    </w:p>
    <w:p w14:paraId="0F0CFA67" w14:textId="77777777" w:rsidR="00570E6C" w:rsidRPr="00EA7C95" w:rsidRDefault="00570E6C" w:rsidP="007F6AFE">
      <w:pPr>
        <w:numPr>
          <w:ilvl w:val="0"/>
          <w:numId w:val="3"/>
        </w:numPr>
        <w:adjustRightInd w:val="0"/>
        <w:snapToGrid w:val="0"/>
        <w:spacing w:after="0" w:line="240" w:lineRule="auto"/>
        <w:ind w:left="0" w:firstLine="0"/>
        <w:jc w:val="both"/>
        <w:rPr>
          <w:rFonts w:ascii="Times New Roman" w:eastAsia="Malgun Gothic" w:hAnsi="Times New Roman" w:cs="Times New Roman"/>
          <w:b/>
          <w:lang w:val="en-NZ" w:eastAsia="en-NZ"/>
        </w:rPr>
      </w:pPr>
      <w:r w:rsidRPr="00EA7C95">
        <w:rPr>
          <w:rFonts w:ascii="Times New Roman" w:eastAsia="Malgun Gothic" w:hAnsi="Times New Roman" w:cs="Times New Roman"/>
          <w:b/>
          <w:lang w:val="en-NZ" w:eastAsia="en-NZ"/>
        </w:rPr>
        <w:t>Stock status and trends</w:t>
      </w:r>
    </w:p>
    <w:p w14:paraId="7FEEEEAC" w14:textId="77777777" w:rsidR="00570E6C" w:rsidRPr="00EA7C95" w:rsidRDefault="00570E6C" w:rsidP="00586C11">
      <w:pPr>
        <w:adjustRightInd w:val="0"/>
        <w:snapToGrid w:val="0"/>
        <w:spacing w:after="0" w:line="240" w:lineRule="auto"/>
        <w:ind w:left="720"/>
        <w:jc w:val="both"/>
        <w:rPr>
          <w:rFonts w:ascii="Times New Roman" w:eastAsia="Malgun Gothic" w:hAnsi="Times New Roman" w:cs="Times New Roman"/>
          <w:b/>
          <w:lang w:val="en-NZ" w:eastAsia="en-NZ"/>
        </w:rPr>
      </w:pPr>
    </w:p>
    <w:p w14:paraId="0C47319A" w14:textId="31EAEDA7" w:rsidR="00570E6C" w:rsidRPr="00EA7C95" w:rsidRDefault="00570E6C" w:rsidP="006779AF">
      <w:pPr>
        <w:pStyle w:val="WCPFC"/>
        <w:numPr>
          <w:ilvl w:val="0"/>
          <w:numId w:val="18"/>
        </w:numPr>
        <w:spacing w:after="0"/>
        <w:ind w:left="0" w:firstLine="0"/>
      </w:pPr>
      <w:r w:rsidRPr="00EA7C95">
        <w:t xml:space="preserve">The median values of relative recent (2012-2015) spawning biomass (SBrecent/ SBF=0) and relative recent fishing mortality (Frecent/FMSY)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1CABE009" w14:textId="77777777" w:rsidR="00487246" w:rsidRPr="00EA7C95" w:rsidRDefault="00487246" w:rsidP="006779AF">
      <w:pPr>
        <w:pStyle w:val="WCPFC"/>
        <w:numPr>
          <w:ilvl w:val="0"/>
          <w:numId w:val="0"/>
        </w:numPr>
        <w:adjustRightInd w:val="0"/>
        <w:spacing w:after="0"/>
        <w:rPr>
          <w:bCs/>
          <w:lang w:val="en-AU" w:eastAsia="en-US"/>
        </w:rPr>
      </w:pPr>
    </w:p>
    <w:p w14:paraId="224690D4" w14:textId="77777777" w:rsidR="00570E6C" w:rsidRPr="00EA7C95" w:rsidRDefault="00570E6C" w:rsidP="006779AF">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A description of the updated structural sensitivity grid used to characterize uncertainty in the assessment was set out in Table BET-1. Time series of total annual catch by fishing gear for the diagnostic case model over the full assessment period is shown in Figure</w:t>
      </w:r>
      <w:r w:rsidRPr="00EA7C95">
        <w:rPr>
          <w:rFonts w:ascii="Times New Roman" w:eastAsia="Malgun Gothic" w:hAnsi="Times New Roman" w:cs="Times New Roman"/>
          <w:bCs/>
          <w:lang w:val="en-AU" w:eastAsia="ko-KR"/>
        </w:rPr>
        <w:t xml:space="preserve"> BET</w:t>
      </w:r>
      <w:r w:rsidRPr="00EA7C95">
        <w:rPr>
          <w:rFonts w:ascii="Times New Roman" w:eastAsia="Malgun Gothic" w:hAnsi="Times New Roman" w:cs="Times New Roman"/>
          <w:bCs/>
          <w:lang w:val="en-AU"/>
        </w:rPr>
        <w:t xml:space="preserve">-1.  Estimated annual average recruitment, spawning potential, juvenile and adult fishing mortality and fishing depletion for the diagnostic case model are shown in Figures BET-2 – BET-5.  Figures BET-6 and BET-7 display Majuro plots summarising the results for each of the models in the structural uncertainty grid. Figures BET-8 and BET-9 show Kobe plots summarising the results for each of the models in the structural uncertainty grid.  </w:t>
      </w:r>
      <w:r w:rsidRPr="00EA7C95">
        <w:rPr>
          <w:rFonts w:ascii="Times New Roman" w:eastAsia="Malgun Gothic" w:hAnsi="Times New Roman" w:cs="Times New Roman"/>
          <w:bCs/>
          <w:lang w:val="en-AU" w:eastAsia="ko-KR"/>
        </w:rPr>
        <w:t>Figure BET-10 provides estimated</w:t>
      </w:r>
      <w:r w:rsidRPr="00EA7C95">
        <w:rPr>
          <w:rFonts w:ascii="Times New Roman" w:eastAsia="Malgun Gothic" w:hAnsi="Times New Roman" w:cs="Times New Roman"/>
          <w:bCs/>
          <w:lang w:val="en-NZ"/>
        </w:rPr>
        <w:t xml:space="preserve"> time-series (or “dynamic”) Majuro and Kobe plots from the bigeye ‘diagnostic case’ model run</w:t>
      </w:r>
      <w:r w:rsidRPr="00EA7C95">
        <w:rPr>
          <w:rFonts w:ascii="Times New Roman" w:eastAsia="Malgun Gothic" w:hAnsi="Times New Roman" w:cs="Times New Roman"/>
          <w:bCs/>
          <w:lang w:val="en-NZ" w:eastAsia="ko-KR"/>
        </w:rPr>
        <w:t>.</w:t>
      </w:r>
      <w:r w:rsidRPr="00EA7C95">
        <w:rPr>
          <w:rFonts w:ascii="Times New Roman" w:eastAsia="Malgun Gothic" w:hAnsi="Times New Roman" w:cs="Times New Roman"/>
          <w:bCs/>
          <w:lang w:val="en-AU"/>
        </w:rPr>
        <w:t xml:space="preserve"> Figure BET-1</w:t>
      </w:r>
      <w:r w:rsidRPr="00EA7C95">
        <w:rPr>
          <w:rFonts w:ascii="Times New Roman" w:eastAsia="Malgun Gothic" w:hAnsi="Times New Roman" w:cs="Times New Roman"/>
          <w:bCs/>
          <w:lang w:val="en-AU" w:eastAsia="ko-KR"/>
        </w:rPr>
        <w:t>1</w:t>
      </w:r>
      <w:r w:rsidRPr="00EA7C95">
        <w:rPr>
          <w:rFonts w:ascii="Times New Roman" w:eastAsia="Malgun Gothic" w:hAnsi="Times New Roman" w:cs="Times New Roman"/>
          <w:bCs/>
          <w:lang w:val="en-AU"/>
        </w:rPr>
        <w:t xml:space="preserve"> provides estimates of reduction in spawning potential due to fishing by region, and over all regions attributed to various fishery groups (gear-types) for the diagnostic case model. Table BET-2 </w:t>
      </w:r>
      <w:r w:rsidRPr="00EA7C95">
        <w:rPr>
          <w:rFonts w:ascii="Times New Roman" w:eastAsia="Malgun Gothic" w:hAnsi="Times New Roman" w:cs="Times New Roman"/>
          <w:bCs/>
          <w:lang w:val="en-AU" w:eastAsia="ko-KR"/>
        </w:rPr>
        <w:t>p</w:t>
      </w:r>
      <w:r w:rsidRPr="00EA7C95">
        <w:rPr>
          <w:rFonts w:ascii="Times New Roman" w:eastAsia="Malgun Gothic" w:hAnsi="Times New Roman" w:cs="Times New Roman"/>
          <w:bCs/>
          <w:lang w:val="en-AU"/>
        </w:rPr>
        <w:t>rovides a summary of reference points over the 72 models in the structural uncertainty grid.</w:t>
      </w:r>
    </w:p>
    <w:p w14:paraId="082ECB1E" w14:textId="77777777" w:rsidR="00570E6C" w:rsidRPr="00EA7C95" w:rsidRDefault="00570E6C" w:rsidP="00586C11">
      <w:pPr>
        <w:adjustRightInd w:val="0"/>
        <w:snapToGrid w:val="0"/>
        <w:spacing w:after="0" w:line="240" w:lineRule="auto"/>
        <w:ind w:left="567"/>
        <w:jc w:val="center"/>
        <w:rPr>
          <w:rFonts w:ascii="Times New Roman" w:eastAsia="Malgun Gothic" w:hAnsi="Times New Roman" w:cs="Times New Roman"/>
          <w:bCs/>
          <w:lang w:val="en-NZ" w:eastAsia="en-NZ"/>
        </w:rPr>
      </w:pPr>
    </w:p>
    <w:p w14:paraId="086FDF85" w14:textId="77777777" w:rsidR="00805C42" w:rsidRDefault="00805C42">
      <w:pPr>
        <w:rPr>
          <w:rFonts w:ascii="Times New Roman" w:eastAsia="Malgun Gothic" w:hAnsi="Times New Roman" w:cs="Times New Roman"/>
          <w:b/>
          <w:lang w:val="en-NZ" w:eastAsia="en-NZ"/>
        </w:rPr>
      </w:pPr>
      <w:r>
        <w:rPr>
          <w:rFonts w:ascii="Times New Roman" w:eastAsia="Malgun Gothic" w:hAnsi="Times New Roman" w:cs="Times New Roman"/>
          <w:b/>
          <w:lang w:val="en-NZ" w:eastAsia="en-NZ"/>
        </w:rPr>
        <w:br w:type="page"/>
      </w:r>
    </w:p>
    <w:p w14:paraId="0632F6EC" w14:textId="24C72F57" w:rsidR="00570E6C" w:rsidRPr="00EA7C95" w:rsidRDefault="00570E6C" w:rsidP="00586C11">
      <w:pPr>
        <w:adjustRightInd w:val="0"/>
        <w:snapToGrid w:val="0"/>
        <w:spacing w:after="0" w:line="240" w:lineRule="auto"/>
        <w:rPr>
          <w:rFonts w:ascii="Times New Roman" w:eastAsia="Malgun Gothic" w:hAnsi="Times New Roman" w:cs="Times New Roman"/>
          <w:lang w:val="en-NZ" w:eastAsia="en-NZ"/>
        </w:rPr>
      </w:pPr>
      <w:r w:rsidRPr="00EA7C95">
        <w:rPr>
          <w:rFonts w:ascii="Times New Roman" w:eastAsia="Malgun Gothic" w:hAnsi="Times New Roman" w:cs="Times New Roman"/>
          <w:b/>
          <w:lang w:val="en-NZ" w:eastAsia="en-NZ"/>
        </w:rPr>
        <w:lastRenderedPageBreak/>
        <w:t xml:space="preserve">Table BET-1. </w:t>
      </w:r>
      <w:r w:rsidRPr="00EA7C95">
        <w:rPr>
          <w:rFonts w:ascii="Times New Roman" w:eastAsia="Malgun Gothic" w:hAnsi="Times New Roman" w:cs="Times New Roman"/>
          <w:lang w:val="en-NZ" w:eastAsia="en-NZ"/>
        </w:rPr>
        <w:t>Description of the updated structural sensitivity grid used to characterize uncertainty in the assessment.</w:t>
      </w:r>
    </w:p>
    <w:tbl>
      <w:tblPr>
        <w:tblW w:w="5000" w:type="pct"/>
        <w:jc w:val="center"/>
        <w:tblLook w:val="04A0" w:firstRow="1" w:lastRow="0" w:firstColumn="1" w:lastColumn="0" w:noHBand="0" w:noVBand="1"/>
      </w:tblPr>
      <w:tblGrid>
        <w:gridCol w:w="3111"/>
        <w:gridCol w:w="1513"/>
        <w:gridCol w:w="4736"/>
      </w:tblGrid>
      <w:tr w:rsidR="00570E6C" w:rsidRPr="00EA7C95" w14:paraId="758A1F3F" w14:textId="77777777" w:rsidTr="00F27795">
        <w:trPr>
          <w:jc w:val="center"/>
        </w:trPr>
        <w:tc>
          <w:tcPr>
            <w:tcW w:w="1662" w:type="pct"/>
            <w:tcBorders>
              <w:top w:val="single" w:sz="12" w:space="0" w:color="auto"/>
              <w:bottom w:val="single" w:sz="12" w:space="0" w:color="auto"/>
            </w:tcBorders>
            <w:shd w:val="clear" w:color="auto" w:fill="auto"/>
            <w:vAlign w:val="center"/>
          </w:tcPr>
          <w:p w14:paraId="6C3777F9"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b/>
                <w:lang w:val="en-AU" w:eastAsia="en-AU"/>
              </w:rPr>
            </w:pPr>
            <w:r w:rsidRPr="00EA7C95">
              <w:rPr>
                <w:rFonts w:ascii="Times New Roman" w:eastAsia="Malgun Gothic" w:hAnsi="Times New Roman" w:cs="Times New Roman"/>
                <w:b/>
                <w:lang w:val="en-AU" w:eastAsia="en-AU"/>
              </w:rPr>
              <w:t>Axis</w:t>
            </w:r>
          </w:p>
        </w:tc>
        <w:tc>
          <w:tcPr>
            <w:tcW w:w="808" w:type="pct"/>
            <w:tcBorders>
              <w:top w:val="single" w:sz="12" w:space="0" w:color="auto"/>
              <w:bottom w:val="single" w:sz="12" w:space="0" w:color="auto"/>
            </w:tcBorders>
            <w:shd w:val="clear" w:color="auto" w:fill="auto"/>
            <w:vAlign w:val="center"/>
          </w:tcPr>
          <w:p w14:paraId="27028D29"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AU" w:eastAsia="en-AU"/>
              </w:rPr>
            </w:pPr>
            <w:r w:rsidRPr="00EA7C95">
              <w:rPr>
                <w:rFonts w:ascii="Times New Roman" w:eastAsia="Malgun Gothic" w:hAnsi="Times New Roman" w:cs="Times New Roman"/>
                <w:b/>
                <w:lang w:val="en-AU" w:eastAsia="en-AU"/>
              </w:rPr>
              <w:t>Levels</w:t>
            </w:r>
          </w:p>
        </w:tc>
        <w:tc>
          <w:tcPr>
            <w:tcW w:w="2529" w:type="pct"/>
            <w:tcBorders>
              <w:top w:val="single" w:sz="12" w:space="0" w:color="auto"/>
              <w:bottom w:val="single" w:sz="12" w:space="0" w:color="auto"/>
            </w:tcBorders>
            <w:shd w:val="clear" w:color="auto" w:fill="auto"/>
            <w:vAlign w:val="center"/>
          </w:tcPr>
          <w:p w14:paraId="27EE218E" w14:textId="77777777" w:rsidR="00570E6C" w:rsidRPr="00EA7C95" w:rsidRDefault="00570E6C" w:rsidP="00586C11">
            <w:pPr>
              <w:adjustRightInd w:val="0"/>
              <w:snapToGrid w:val="0"/>
              <w:spacing w:after="0" w:line="240" w:lineRule="auto"/>
              <w:ind w:left="184" w:hanging="184"/>
              <w:jc w:val="both"/>
              <w:rPr>
                <w:rFonts w:ascii="Times New Roman" w:eastAsia="Malgun Gothic" w:hAnsi="Times New Roman" w:cs="Times New Roman"/>
                <w:b/>
                <w:lang w:val="en-AU" w:eastAsia="en-AU"/>
              </w:rPr>
            </w:pPr>
            <w:r w:rsidRPr="00EA7C95">
              <w:rPr>
                <w:rFonts w:ascii="Times New Roman" w:eastAsia="Malgun Gothic" w:hAnsi="Times New Roman" w:cs="Times New Roman"/>
                <w:b/>
                <w:lang w:val="en-AU" w:eastAsia="en-AU"/>
              </w:rPr>
              <w:t>Option</w:t>
            </w:r>
          </w:p>
        </w:tc>
      </w:tr>
      <w:tr w:rsidR="00570E6C" w:rsidRPr="00EA7C95" w14:paraId="1BA4ABA3" w14:textId="77777777" w:rsidTr="00F27795">
        <w:trPr>
          <w:jc w:val="center"/>
        </w:trPr>
        <w:tc>
          <w:tcPr>
            <w:tcW w:w="1662" w:type="pct"/>
            <w:tcBorders>
              <w:top w:val="single" w:sz="12" w:space="0" w:color="auto"/>
            </w:tcBorders>
            <w:shd w:val="clear" w:color="auto" w:fill="auto"/>
            <w:vAlign w:val="center"/>
          </w:tcPr>
          <w:p w14:paraId="4EDDABD9"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Steepness</w:t>
            </w:r>
          </w:p>
        </w:tc>
        <w:tc>
          <w:tcPr>
            <w:tcW w:w="808" w:type="pct"/>
            <w:tcBorders>
              <w:top w:val="single" w:sz="12" w:space="0" w:color="auto"/>
            </w:tcBorders>
            <w:shd w:val="clear" w:color="auto" w:fill="auto"/>
            <w:vAlign w:val="center"/>
          </w:tcPr>
          <w:p w14:paraId="29167654"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3</w:t>
            </w:r>
          </w:p>
        </w:tc>
        <w:tc>
          <w:tcPr>
            <w:tcW w:w="2529" w:type="pct"/>
            <w:tcBorders>
              <w:top w:val="single" w:sz="12" w:space="0" w:color="auto"/>
            </w:tcBorders>
            <w:shd w:val="clear" w:color="auto" w:fill="auto"/>
            <w:vAlign w:val="center"/>
          </w:tcPr>
          <w:p w14:paraId="5DC64DD4"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0.65, 0.80, 0.95</w:t>
            </w:r>
          </w:p>
        </w:tc>
      </w:tr>
      <w:tr w:rsidR="00570E6C" w:rsidRPr="00EA7C95" w14:paraId="318B7EE8" w14:textId="77777777" w:rsidTr="00F27795">
        <w:trPr>
          <w:jc w:val="center"/>
        </w:trPr>
        <w:tc>
          <w:tcPr>
            <w:tcW w:w="1662" w:type="pct"/>
            <w:shd w:val="clear" w:color="auto" w:fill="auto"/>
            <w:vAlign w:val="center"/>
          </w:tcPr>
          <w:p w14:paraId="17595C17"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Growth</w:t>
            </w:r>
          </w:p>
        </w:tc>
        <w:tc>
          <w:tcPr>
            <w:tcW w:w="808" w:type="pct"/>
            <w:shd w:val="clear" w:color="auto" w:fill="auto"/>
            <w:vAlign w:val="center"/>
          </w:tcPr>
          <w:p w14:paraId="5A2EA9F5"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2</w:t>
            </w:r>
          </w:p>
        </w:tc>
        <w:tc>
          <w:tcPr>
            <w:tcW w:w="2529" w:type="pct"/>
            <w:shd w:val="clear" w:color="auto" w:fill="auto"/>
            <w:vAlign w:val="center"/>
          </w:tcPr>
          <w:p w14:paraId="4B3B0068"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‘Old growth’, ‘New growth’</w:t>
            </w:r>
          </w:p>
        </w:tc>
      </w:tr>
      <w:tr w:rsidR="00570E6C" w:rsidRPr="00EA7C95" w14:paraId="209F07C9" w14:textId="77777777" w:rsidTr="00F27795">
        <w:trPr>
          <w:jc w:val="center"/>
        </w:trPr>
        <w:tc>
          <w:tcPr>
            <w:tcW w:w="1662" w:type="pct"/>
            <w:shd w:val="clear" w:color="auto" w:fill="auto"/>
            <w:vAlign w:val="center"/>
          </w:tcPr>
          <w:p w14:paraId="4F905E0D"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Tagging over-dispersion</w:t>
            </w:r>
          </w:p>
        </w:tc>
        <w:tc>
          <w:tcPr>
            <w:tcW w:w="808" w:type="pct"/>
            <w:shd w:val="clear" w:color="auto" w:fill="auto"/>
            <w:vAlign w:val="center"/>
          </w:tcPr>
          <w:p w14:paraId="7074F568"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2</w:t>
            </w:r>
          </w:p>
        </w:tc>
        <w:tc>
          <w:tcPr>
            <w:tcW w:w="2529" w:type="pct"/>
            <w:shd w:val="clear" w:color="auto" w:fill="auto"/>
            <w:vAlign w:val="center"/>
          </w:tcPr>
          <w:p w14:paraId="51F78B12"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Default level (1), fixed (moderate) level</w:t>
            </w:r>
          </w:p>
        </w:tc>
      </w:tr>
      <w:tr w:rsidR="00570E6C" w:rsidRPr="00EA7C95" w14:paraId="36383E2E" w14:textId="77777777" w:rsidTr="00F27795">
        <w:trPr>
          <w:jc w:val="center"/>
        </w:trPr>
        <w:tc>
          <w:tcPr>
            <w:tcW w:w="1662" w:type="pct"/>
            <w:shd w:val="clear" w:color="auto" w:fill="auto"/>
            <w:vAlign w:val="center"/>
          </w:tcPr>
          <w:p w14:paraId="0FFA601F"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Size frequency weighting</w:t>
            </w:r>
          </w:p>
        </w:tc>
        <w:tc>
          <w:tcPr>
            <w:tcW w:w="808" w:type="pct"/>
            <w:shd w:val="clear" w:color="auto" w:fill="auto"/>
            <w:vAlign w:val="center"/>
          </w:tcPr>
          <w:p w14:paraId="13463E49"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3</w:t>
            </w:r>
          </w:p>
        </w:tc>
        <w:tc>
          <w:tcPr>
            <w:tcW w:w="2529" w:type="pct"/>
            <w:shd w:val="clear" w:color="auto" w:fill="auto"/>
            <w:vAlign w:val="center"/>
          </w:tcPr>
          <w:p w14:paraId="08D032C4"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Sample sizes divided by 10, 20, 50</w:t>
            </w:r>
          </w:p>
        </w:tc>
      </w:tr>
      <w:tr w:rsidR="00570E6C" w:rsidRPr="00EA7C95" w14:paraId="45F8AE22" w14:textId="77777777" w:rsidTr="00F27795">
        <w:trPr>
          <w:jc w:val="center"/>
        </w:trPr>
        <w:tc>
          <w:tcPr>
            <w:tcW w:w="1662" w:type="pct"/>
            <w:tcBorders>
              <w:bottom w:val="single" w:sz="12" w:space="0" w:color="auto"/>
            </w:tcBorders>
            <w:shd w:val="clear" w:color="auto" w:fill="auto"/>
            <w:vAlign w:val="center"/>
          </w:tcPr>
          <w:p w14:paraId="26B62E4C"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Regional structure</w:t>
            </w:r>
          </w:p>
        </w:tc>
        <w:tc>
          <w:tcPr>
            <w:tcW w:w="808" w:type="pct"/>
            <w:tcBorders>
              <w:bottom w:val="single" w:sz="12" w:space="0" w:color="auto"/>
            </w:tcBorders>
            <w:shd w:val="clear" w:color="auto" w:fill="auto"/>
            <w:vAlign w:val="center"/>
          </w:tcPr>
          <w:p w14:paraId="361AED4E"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2</w:t>
            </w:r>
          </w:p>
        </w:tc>
        <w:tc>
          <w:tcPr>
            <w:tcW w:w="2529" w:type="pct"/>
            <w:tcBorders>
              <w:bottom w:val="single" w:sz="12" w:space="0" w:color="auto"/>
            </w:tcBorders>
            <w:shd w:val="clear" w:color="auto" w:fill="auto"/>
            <w:vAlign w:val="center"/>
          </w:tcPr>
          <w:p w14:paraId="420E9F0E"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AU" w:eastAsia="en-AU"/>
              </w:rPr>
            </w:pPr>
            <w:r w:rsidRPr="00EA7C95">
              <w:rPr>
                <w:rFonts w:ascii="Times New Roman" w:eastAsia="Malgun Gothic" w:hAnsi="Times New Roman" w:cs="Times New Roman"/>
                <w:lang w:val="en-AU" w:eastAsia="en-AU"/>
              </w:rPr>
              <w:t>2017 regions, 2014 regions</w:t>
            </w:r>
          </w:p>
        </w:tc>
      </w:tr>
    </w:tbl>
    <w:p w14:paraId="703D2437" w14:textId="52230E2F" w:rsidR="00570E6C" w:rsidRPr="00EA7C95" w:rsidRDefault="00570E6C" w:rsidP="00586C11">
      <w:pPr>
        <w:adjustRightInd w:val="0"/>
        <w:snapToGrid w:val="0"/>
        <w:spacing w:after="0" w:line="240" w:lineRule="auto"/>
        <w:ind w:left="567"/>
        <w:jc w:val="both"/>
        <w:rPr>
          <w:rFonts w:ascii="Times New Roman" w:eastAsia="Malgun Gothic" w:hAnsi="Times New Roman" w:cs="Times New Roman"/>
          <w:b/>
          <w:lang w:val="en-NZ" w:eastAsia="en-NZ"/>
        </w:rPr>
      </w:pPr>
    </w:p>
    <w:p w14:paraId="25E3EFFA" w14:textId="347A0790" w:rsidR="006779AF" w:rsidRPr="00EA7C95" w:rsidRDefault="006779AF" w:rsidP="00586C11">
      <w:pPr>
        <w:adjustRightInd w:val="0"/>
        <w:snapToGrid w:val="0"/>
        <w:spacing w:after="0" w:line="240" w:lineRule="auto"/>
        <w:ind w:left="567"/>
        <w:jc w:val="both"/>
        <w:rPr>
          <w:rFonts w:ascii="Times New Roman" w:eastAsia="Malgun Gothic" w:hAnsi="Times New Roman" w:cs="Times New Roman"/>
          <w:b/>
          <w:lang w:val="en-NZ" w:eastAsia="en-NZ"/>
        </w:rPr>
      </w:pPr>
    </w:p>
    <w:p w14:paraId="4880EC90" w14:textId="77777777" w:rsidR="006779AF" w:rsidRPr="00EA7C95" w:rsidRDefault="006779AF" w:rsidP="00586C11">
      <w:pPr>
        <w:adjustRightInd w:val="0"/>
        <w:snapToGrid w:val="0"/>
        <w:spacing w:after="0" w:line="240" w:lineRule="auto"/>
        <w:ind w:left="567"/>
        <w:jc w:val="both"/>
        <w:rPr>
          <w:rFonts w:ascii="Times New Roman" w:eastAsia="Malgun Gothic" w:hAnsi="Times New Roman" w:cs="Times New Roman"/>
          <w:b/>
          <w:lang w:val="en-NZ" w:eastAsia="en-NZ"/>
        </w:rPr>
      </w:pPr>
    </w:p>
    <w:p w14:paraId="74A35853"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NZ" w:eastAsia="en-NZ"/>
        </w:rPr>
      </w:pPr>
      <w:r w:rsidRPr="00EA7C95">
        <w:rPr>
          <w:rFonts w:ascii="Times New Roman" w:eastAsia="Malgun Gothic" w:hAnsi="Times New Roman" w:cs="Times New Roman"/>
          <w:noProof/>
          <w:lang w:eastAsia="zh-CN" w:bidi="mn-Mong-CN"/>
        </w:rPr>
        <w:drawing>
          <wp:inline distT="0" distB="0" distL="0" distR="0" wp14:anchorId="76E4EB34" wp14:editId="47202C1E">
            <wp:extent cx="5725795" cy="3270885"/>
            <wp:effectExtent l="0" t="0" r="0" b="0"/>
            <wp:docPr id="8" name="Picture 1" descr="Timeseries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eries_catc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5795" cy="3270885"/>
                    </a:xfrm>
                    <a:prstGeom prst="rect">
                      <a:avLst/>
                    </a:prstGeom>
                    <a:noFill/>
                    <a:ln>
                      <a:noFill/>
                    </a:ln>
                  </pic:spPr>
                </pic:pic>
              </a:graphicData>
            </a:graphic>
          </wp:inline>
        </w:drawing>
      </w:r>
    </w:p>
    <w:p w14:paraId="39805C38"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bookmarkStart w:id="9" w:name="_Hlk491521704"/>
      <w:r w:rsidRPr="00EA7C95">
        <w:rPr>
          <w:rFonts w:ascii="Times New Roman" w:eastAsia="MS Mincho" w:hAnsi="Times New Roman" w:cs="Times New Roman"/>
          <w:b/>
          <w:lang w:val="en-NZ"/>
        </w:rPr>
        <w:t xml:space="preserve">Figure BET-1. </w:t>
      </w:r>
      <w:r w:rsidRPr="00EA7C95">
        <w:rPr>
          <w:rFonts w:ascii="Times New Roman" w:eastAsia="MS Mincho" w:hAnsi="Times New Roman" w:cs="Times New Roman"/>
          <w:lang w:val="en-NZ"/>
        </w:rPr>
        <w:t>Time series of total annual catch (1000's mt) by fishing gear for the diagnostic case model over the full assessment period.</w:t>
      </w:r>
    </w:p>
    <w:bookmarkEnd w:id="9"/>
    <w:p w14:paraId="0C5E91C2" w14:textId="77777777" w:rsidR="00570E6C" w:rsidRPr="00EA7C95" w:rsidRDefault="00570E6C" w:rsidP="00586C11">
      <w:pPr>
        <w:adjustRightInd w:val="0"/>
        <w:snapToGrid w:val="0"/>
        <w:spacing w:after="0" w:line="240" w:lineRule="auto"/>
        <w:ind w:left="567"/>
        <w:jc w:val="both"/>
        <w:rPr>
          <w:rFonts w:ascii="Times New Roman" w:eastAsia="Malgun Gothic" w:hAnsi="Times New Roman" w:cs="Times New Roman"/>
          <w:b/>
          <w:lang w:val="en-NZ" w:eastAsia="en-NZ"/>
        </w:rPr>
      </w:pPr>
    </w:p>
    <w:p w14:paraId="230A88E9"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NZ" w:eastAsia="en-NZ"/>
        </w:rPr>
      </w:pPr>
      <w:r w:rsidRPr="00EA7C95">
        <w:rPr>
          <w:rFonts w:ascii="Times New Roman" w:eastAsia="Malgun Gothic" w:hAnsi="Times New Roman" w:cs="Times New Roman"/>
          <w:noProof/>
          <w:lang w:eastAsia="zh-CN" w:bidi="mn-Mong-CN"/>
        </w:rPr>
        <w:lastRenderedPageBreak/>
        <w:drawing>
          <wp:inline distT="0" distB="0" distL="0" distR="0" wp14:anchorId="3849490D" wp14:editId="5E42984B">
            <wp:extent cx="5725795" cy="3256767"/>
            <wp:effectExtent l="0" t="0" r="8255" b="1270"/>
            <wp:docPr id="9" name="Picture 5" descr="plot_biomass_stacked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_biomass_stacked_RE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978" cy="3260853"/>
                    </a:xfrm>
                    <a:prstGeom prst="rect">
                      <a:avLst/>
                    </a:prstGeom>
                    <a:noFill/>
                    <a:ln>
                      <a:noFill/>
                    </a:ln>
                  </pic:spPr>
                </pic:pic>
              </a:graphicData>
            </a:graphic>
          </wp:inline>
        </w:drawing>
      </w:r>
    </w:p>
    <w:p w14:paraId="6633066B"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r w:rsidRPr="00EA7C95">
        <w:rPr>
          <w:rFonts w:ascii="Times New Roman" w:eastAsia="MS Mincho" w:hAnsi="Times New Roman" w:cs="Times New Roman"/>
          <w:b/>
          <w:lang w:val="en-NZ"/>
        </w:rPr>
        <w:t xml:space="preserve">Figure BET-2. </w:t>
      </w:r>
      <w:r w:rsidRPr="00EA7C95">
        <w:rPr>
          <w:rFonts w:ascii="Times New Roman" w:eastAsia="MS Mincho" w:hAnsi="Times New Roman" w:cs="Times New Roman"/>
          <w:lang w:val="en-NZ"/>
        </w:rPr>
        <w:t>Estimated annual average recruitment by model region for the diagnostic case model, showing the relative sizes among regions.</w:t>
      </w:r>
    </w:p>
    <w:p w14:paraId="4E8A246A" w14:textId="77777777" w:rsidR="00570E6C" w:rsidRPr="00EA7C95" w:rsidRDefault="00570E6C" w:rsidP="00586C11">
      <w:pPr>
        <w:adjustRightInd w:val="0"/>
        <w:snapToGrid w:val="0"/>
        <w:spacing w:after="0" w:line="240" w:lineRule="auto"/>
        <w:ind w:left="567"/>
        <w:jc w:val="both"/>
        <w:rPr>
          <w:rFonts w:ascii="Times New Roman" w:eastAsia="Malgun Gothic" w:hAnsi="Times New Roman" w:cs="Times New Roman"/>
          <w:b/>
          <w:lang w:val="en-NZ" w:eastAsia="en-NZ"/>
        </w:rPr>
      </w:pPr>
    </w:p>
    <w:p w14:paraId="24A3E5C7"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b/>
          <w:lang w:val="en-NZ" w:eastAsia="en-NZ"/>
        </w:rPr>
      </w:pPr>
      <w:r w:rsidRPr="00EA7C95">
        <w:rPr>
          <w:rFonts w:ascii="Times New Roman" w:eastAsia="Malgun Gothic" w:hAnsi="Times New Roman" w:cs="Times New Roman"/>
          <w:noProof/>
          <w:lang w:eastAsia="zh-CN" w:bidi="mn-Mong-CN"/>
        </w:rPr>
        <w:drawing>
          <wp:inline distT="0" distB="0" distL="0" distR="0" wp14:anchorId="62121753" wp14:editId="58CA3BD9">
            <wp:extent cx="5725795" cy="3394554"/>
            <wp:effectExtent l="0" t="0" r="8255" b="0"/>
            <wp:docPr id="10" name="Picture 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biomass_stacked_SS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100" cy="3398885"/>
                    </a:xfrm>
                    <a:prstGeom prst="rect">
                      <a:avLst/>
                    </a:prstGeom>
                    <a:noFill/>
                    <a:ln>
                      <a:noFill/>
                    </a:ln>
                  </pic:spPr>
                </pic:pic>
              </a:graphicData>
            </a:graphic>
          </wp:inline>
        </w:drawing>
      </w:r>
    </w:p>
    <w:p w14:paraId="3EB2D304"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r w:rsidRPr="00EA7C95">
        <w:rPr>
          <w:rFonts w:ascii="Times New Roman" w:eastAsia="MS Mincho" w:hAnsi="Times New Roman" w:cs="Times New Roman"/>
          <w:b/>
          <w:lang w:val="en-NZ"/>
        </w:rPr>
        <w:t xml:space="preserve">Figure BET-3. </w:t>
      </w:r>
      <w:r w:rsidRPr="00EA7C95">
        <w:rPr>
          <w:rFonts w:ascii="Times New Roman" w:eastAsia="MS Mincho" w:hAnsi="Times New Roman" w:cs="Times New Roman"/>
          <w:lang w:val="en-NZ"/>
        </w:rPr>
        <w:t>Estimated annual average spawning potential by model region for diagnostic case model, showing the relative sizes among regions</w:t>
      </w:r>
    </w:p>
    <w:p w14:paraId="6D56247B" w14:textId="77777777" w:rsidR="00570E6C" w:rsidRPr="00EA7C95" w:rsidRDefault="00570E6C" w:rsidP="00586C11">
      <w:pPr>
        <w:adjustRightInd w:val="0"/>
        <w:snapToGrid w:val="0"/>
        <w:spacing w:after="0" w:line="240" w:lineRule="auto"/>
        <w:ind w:left="567"/>
        <w:jc w:val="center"/>
        <w:rPr>
          <w:rFonts w:ascii="Times New Roman" w:eastAsia="Malgun Gothic" w:hAnsi="Times New Roman" w:cs="Times New Roman"/>
          <w:b/>
          <w:lang w:val="en-NZ" w:eastAsia="en-NZ"/>
        </w:rPr>
      </w:pPr>
    </w:p>
    <w:p w14:paraId="1CC26F55"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NZ" w:eastAsia="en-NZ"/>
        </w:rPr>
      </w:pPr>
      <w:r w:rsidRPr="00EA7C95">
        <w:rPr>
          <w:rFonts w:ascii="Times New Roman" w:eastAsia="Malgun Gothic" w:hAnsi="Times New Roman" w:cs="Times New Roman"/>
          <w:noProof/>
          <w:lang w:eastAsia="zh-CN" w:bidi="mn-Mong-CN"/>
        </w:rPr>
        <w:lastRenderedPageBreak/>
        <w:drawing>
          <wp:inline distT="0" distB="0" distL="0" distR="0" wp14:anchorId="396A2A4F" wp14:editId="4A779523">
            <wp:extent cx="4811456" cy="3349256"/>
            <wp:effectExtent l="0" t="0" r="8255" b="3810"/>
            <wp:docPr id="11" name="Picture 10" descr="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l_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19365" cy="3354761"/>
                    </a:xfrm>
                    <a:prstGeom prst="rect">
                      <a:avLst/>
                    </a:prstGeom>
                    <a:noFill/>
                    <a:ln>
                      <a:noFill/>
                    </a:ln>
                  </pic:spPr>
                </pic:pic>
              </a:graphicData>
            </a:graphic>
          </wp:inline>
        </w:drawing>
      </w:r>
    </w:p>
    <w:p w14:paraId="6A35D20A"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NZ"/>
        </w:rPr>
      </w:pPr>
      <w:bookmarkStart w:id="10" w:name="_Hlk491521759"/>
      <w:r w:rsidRPr="00EA7C95">
        <w:rPr>
          <w:rFonts w:ascii="Times New Roman" w:eastAsia="MS Mincho" w:hAnsi="Times New Roman" w:cs="Times New Roman"/>
          <w:b/>
          <w:lang w:val="en-NZ"/>
        </w:rPr>
        <w:t xml:space="preserve">Figure BET-4. </w:t>
      </w:r>
      <w:r w:rsidRPr="00EA7C95">
        <w:rPr>
          <w:rFonts w:ascii="Times New Roman" w:eastAsia="MS Mincho" w:hAnsi="Times New Roman" w:cs="Times New Roman"/>
          <w:lang w:val="en-NZ"/>
        </w:rPr>
        <w:t xml:space="preserve">Estimated annual average juvenile and adult fishing mortality for the diagnostic case model. </w:t>
      </w:r>
    </w:p>
    <w:p w14:paraId="2DC7B262"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p>
    <w:bookmarkEnd w:id="10"/>
    <w:p w14:paraId="611330E4" w14:textId="77777777" w:rsidR="00570E6C" w:rsidRPr="00EA7C95" w:rsidRDefault="00570E6C" w:rsidP="00586C11">
      <w:pPr>
        <w:adjustRightInd w:val="0"/>
        <w:snapToGrid w:val="0"/>
        <w:spacing w:after="0" w:line="240" w:lineRule="auto"/>
        <w:ind w:left="567"/>
        <w:jc w:val="center"/>
        <w:rPr>
          <w:rFonts w:ascii="Times New Roman" w:eastAsia="Malgun Gothic" w:hAnsi="Times New Roman" w:cs="Times New Roman"/>
          <w:b/>
          <w:lang w:val="en-NZ" w:eastAsia="en-NZ"/>
        </w:rPr>
      </w:pPr>
    </w:p>
    <w:p w14:paraId="38478C1F" w14:textId="77777777"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NZ" w:eastAsia="en-NZ"/>
        </w:rPr>
      </w:pPr>
      <w:r w:rsidRPr="00EA7C95">
        <w:rPr>
          <w:rFonts w:ascii="Times New Roman" w:eastAsia="Malgun Gothic" w:hAnsi="Times New Roman" w:cs="Times New Roman"/>
          <w:noProof/>
          <w:lang w:eastAsia="zh-CN" w:bidi="mn-Mong-CN"/>
        </w:rPr>
        <w:drawing>
          <wp:inline distT="0" distB="0" distL="0" distR="0" wp14:anchorId="64AE16CF" wp14:editId="57E77CCD">
            <wp:extent cx="4902439" cy="3019646"/>
            <wp:effectExtent l="0" t="0" r="0" b="9525"/>
            <wp:docPr id="12" name="Picture 11" descr="plot_depletion_compare_2017Grid_grow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_depletion_compare_2017Grid_growth-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7198" cy="3028737"/>
                    </a:xfrm>
                    <a:prstGeom prst="rect">
                      <a:avLst/>
                    </a:prstGeom>
                    <a:noFill/>
                    <a:ln>
                      <a:noFill/>
                    </a:ln>
                  </pic:spPr>
                </pic:pic>
              </a:graphicData>
            </a:graphic>
          </wp:inline>
        </w:drawing>
      </w:r>
    </w:p>
    <w:p w14:paraId="2BD74D51"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color w:val="FF0000"/>
          <w:lang w:val="en-NZ"/>
        </w:rPr>
      </w:pPr>
      <w:bookmarkStart w:id="11" w:name="_Hlk491521802"/>
      <w:r w:rsidRPr="00EA7C95">
        <w:rPr>
          <w:rFonts w:ascii="Times New Roman" w:eastAsia="MS Mincho" w:hAnsi="Times New Roman" w:cs="Times New Roman"/>
          <w:b/>
          <w:lang w:val="en-NZ"/>
        </w:rPr>
        <w:t xml:space="preserve">Figure BET-5. </w:t>
      </w:r>
      <w:r w:rsidRPr="00EA7C95">
        <w:rPr>
          <w:rFonts w:ascii="Times New Roman" w:eastAsia="MS Mincho" w:hAnsi="Times New Roman" w:cs="Times New Roman"/>
          <w:lang w:val="en-NZ"/>
        </w:rPr>
        <w:t>Plot showing the trajectories of fishing depletion (of spawning potential) for the 72 model runs included in the structural uncertainty grid. The colours depict the models in the grid with the new and old growth functions.</w:t>
      </w:r>
      <w:bookmarkEnd w:id="11"/>
      <w:r w:rsidRPr="00EA7C95">
        <w:rPr>
          <w:rFonts w:ascii="Times New Roman" w:eastAsia="MS Mincho" w:hAnsi="Times New Roman" w:cs="Times New Roman"/>
          <w:lang w:val="en-NZ"/>
        </w:rPr>
        <w:t xml:space="preserve"> </w:t>
      </w:r>
    </w:p>
    <w:p w14:paraId="7DBDDDE9"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p>
    <w:p w14:paraId="77F72A67"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p>
    <w:p w14:paraId="0F771FF7" w14:textId="62E3A5E8"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p w14:paraId="5260A419" w14:textId="7C280DB5"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p w14:paraId="27A2C361" w14:textId="77777777"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p w14:paraId="560A2F53" w14:textId="5FC66681"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882"/>
      </w:tblGrid>
      <w:tr w:rsidR="005B29DB" w14:paraId="660E4EDF" w14:textId="77777777" w:rsidTr="005B29DB">
        <w:tc>
          <w:tcPr>
            <w:tcW w:w="4675" w:type="dxa"/>
          </w:tcPr>
          <w:p w14:paraId="3FFB0DA8" w14:textId="04362E8C" w:rsidR="005B29DB" w:rsidRDefault="005B29DB" w:rsidP="005B29DB">
            <w:pPr>
              <w:adjustRightInd w:val="0"/>
              <w:snapToGrid w:val="0"/>
              <w:rPr>
                <w:rFonts w:ascii="Times New Roman" w:eastAsia="Malgun Gothic" w:hAnsi="Times New Roman" w:cs="Times New Roman"/>
                <w:b/>
                <w:lang w:val="en-NZ" w:eastAsia="en-NZ"/>
              </w:rPr>
            </w:pPr>
            <w:r>
              <w:rPr>
                <w:rFonts w:ascii="Times New Roman" w:eastAsia="Malgun Gothic" w:hAnsi="Times New Roman" w:cs="Times New Roman"/>
                <w:b/>
                <w:noProof/>
                <w:lang w:val="en-NZ" w:eastAsia="en-NZ"/>
              </w:rPr>
              <w:drawing>
                <wp:inline distT="0" distB="0" distL="0" distR="0" wp14:anchorId="2DA47160" wp14:editId="7227CE73">
                  <wp:extent cx="2714679" cy="290603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9659" cy="2954189"/>
                          </a:xfrm>
                          <a:prstGeom prst="rect">
                            <a:avLst/>
                          </a:prstGeom>
                          <a:noFill/>
                          <a:ln>
                            <a:noFill/>
                          </a:ln>
                        </pic:spPr>
                      </pic:pic>
                    </a:graphicData>
                  </a:graphic>
                </wp:inline>
              </w:drawing>
            </w:r>
          </w:p>
        </w:tc>
        <w:tc>
          <w:tcPr>
            <w:tcW w:w="4675" w:type="dxa"/>
          </w:tcPr>
          <w:p w14:paraId="1D47C99D" w14:textId="7026806F" w:rsidR="005B29DB" w:rsidRDefault="005B29DB" w:rsidP="005B29DB">
            <w:pPr>
              <w:adjustRightInd w:val="0"/>
              <w:snapToGrid w:val="0"/>
              <w:rPr>
                <w:rFonts w:ascii="Times New Roman" w:eastAsia="Malgun Gothic" w:hAnsi="Times New Roman" w:cs="Times New Roman"/>
                <w:b/>
                <w:lang w:val="en-NZ" w:eastAsia="en-NZ"/>
              </w:rPr>
            </w:pPr>
            <w:r>
              <w:rPr>
                <w:rFonts w:ascii="Times New Roman" w:eastAsia="Malgun Gothic" w:hAnsi="Times New Roman" w:cs="Times New Roman"/>
                <w:b/>
                <w:noProof/>
                <w:lang w:val="en-NZ" w:eastAsia="en-NZ"/>
              </w:rPr>
              <w:drawing>
                <wp:inline distT="0" distB="0" distL="0" distR="0" wp14:anchorId="101A1172" wp14:editId="531C0446">
                  <wp:extent cx="2966602" cy="298094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7497" cy="2991890"/>
                          </a:xfrm>
                          <a:prstGeom prst="rect">
                            <a:avLst/>
                          </a:prstGeom>
                          <a:noFill/>
                          <a:ln>
                            <a:noFill/>
                          </a:ln>
                        </pic:spPr>
                      </pic:pic>
                    </a:graphicData>
                  </a:graphic>
                </wp:inline>
              </w:drawing>
            </w:r>
          </w:p>
        </w:tc>
      </w:tr>
      <w:tr w:rsidR="005B29DB" w14:paraId="17280ABB" w14:textId="77777777" w:rsidTr="005B29DB">
        <w:tc>
          <w:tcPr>
            <w:tcW w:w="4675" w:type="dxa"/>
          </w:tcPr>
          <w:p w14:paraId="7831C937" w14:textId="77777777" w:rsidR="005B29DB" w:rsidRPr="00EA7C95" w:rsidRDefault="005B29DB" w:rsidP="005B29DB">
            <w:pPr>
              <w:adjustRightInd w:val="0"/>
              <w:snapToGrid w:val="0"/>
              <w:jc w:val="both"/>
              <w:rPr>
                <w:rFonts w:ascii="Times New Roman" w:eastAsia="MS Mincho" w:hAnsi="Times New Roman" w:cs="Times New Roman"/>
                <w:lang w:val="en-NZ"/>
              </w:rPr>
            </w:pPr>
            <w:bookmarkStart w:id="12" w:name="_Hlk491521789"/>
            <w:r w:rsidRPr="00EA7C95">
              <w:rPr>
                <w:rFonts w:ascii="Times New Roman" w:eastAsia="MS Mincho" w:hAnsi="Times New Roman" w:cs="Times New Roman"/>
                <w:b/>
                <w:lang w:val="en-NZ"/>
              </w:rPr>
              <w:t>Figure BET-6</w:t>
            </w:r>
            <w:r w:rsidRPr="00EA7C95">
              <w:rPr>
                <w:rFonts w:ascii="Times New Roman" w:eastAsia="MS Mincho" w:hAnsi="Times New Roman" w:cs="Times New Roman"/>
                <w:lang w:val="en-NZ"/>
              </w:rPr>
              <w:t>. Majuro plot summarising the results for each of the models in the structural uncertainty grid.</w:t>
            </w:r>
            <w:r w:rsidRPr="00EA7C95">
              <w:rPr>
                <w:rFonts w:ascii="Times New Roman" w:eastAsia="MS Mincho" w:hAnsi="Times New Roman" w:cs="Times New Roman"/>
                <w:b/>
                <w:lang w:val="en-NZ"/>
              </w:rPr>
              <w:t xml:space="preserve"> </w:t>
            </w:r>
            <w:bookmarkEnd w:id="12"/>
            <w:r w:rsidRPr="00EA7C95">
              <w:rPr>
                <w:rFonts w:ascii="Times New Roman" w:eastAsia="MS Mincho" w:hAnsi="Times New Roman" w:cs="Times New Roman"/>
                <w:lang w:val="en-NZ"/>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EA7C95">
              <w:rPr>
                <w:rFonts w:ascii="Times New Roman" w:eastAsia="MS Mincho" w:hAnsi="Times New Roman" w:cs="Times New Roman"/>
                <w:i/>
                <w:lang w:val="en-NZ"/>
              </w:rPr>
              <w:t>F</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lang w:val="en-NZ"/>
              </w:rPr>
              <w:t xml:space="preserve"> (</w:t>
            </w:r>
            <w:r w:rsidRPr="00EA7C95">
              <w:rPr>
                <w:rFonts w:ascii="Times New Roman" w:eastAsia="MS Mincho" w:hAnsi="Times New Roman" w:cs="Times New Roman"/>
                <w:i/>
                <w:lang w:val="en-NZ"/>
              </w:rPr>
              <w:t>F</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lang w:val="en-NZ"/>
              </w:rPr>
              <w:t xml:space="preserve"> is marked with the black dashed line). The points represent </w:t>
            </w: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latest</w:t>
            </w:r>
            <w:r w:rsidRPr="00EA7C95">
              <w:rPr>
                <w:rFonts w:ascii="Times New Roman" w:eastAsia="MS Mincho" w:hAnsi="Times New Roman" w:cs="Times New Roman"/>
                <w:i/>
                <w:lang w:val="en-NZ"/>
              </w:rPr>
              <w:t>/</w:t>
            </w:r>
            <w:r w:rsidRPr="00EA7C95">
              <w:rPr>
                <w:rFonts w:ascii="Times New Roman" w:eastAsia="Malgun Gothic" w:hAnsi="Times New Roman" w:cs="Times New Roman"/>
                <w:i/>
                <w:lang w:val="en-NZ"/>
              </w:rPr>
              <w:t>SB</w:t>
            </w:r>
            <w:r w:rsidRPr="00EA7C95">
              <w:rPr>
                <w:rFonts w:ascii="Times New Roman" w:eastAsia="Malgun Gothic" w:hAnsi="Times New Roman" w:cs="Times New Roman"/>
                <w:i/>
                <w:vertAlign w:val="subscript"/>
                <w:lang w:val="en-NZ"/>
              </w:rPr>
              <w:t>F=0</w:t>
            </w:r>
            <w:r w:rsidRPr="00EA7C95">
              <w:rPr>
                <w:rFonts w:ascii="Times New Roman" w:eastAsia="MS Mincho" w:hAnsi="Times New Roman" w:cs="Times New Roman"/>
                <w:lang w:val="en-NZ"/>
              </w:rPr>
              <w:t xml:space="preserve"> (labelled as SB/SB</w:t>
            </w:r>
            <w:r w:rsidRPr="00EA7C95">
              <w:rPr>
                <w:rFonts w:ascii="Times New Roman" w:eastAsia="MS Mincho" w:hAnsi="Times New Roman" w:cs="Times New Roman"/>
                <w:vertAlign w:val="subscript"/>
                <w:lang w:val="en-NZ"/>
              </w:rPr>
              <w:t>F</w:t>
            </w:r>
            <w:r w:rsidRPr="00EA7C95">
              <w:rPr>
                <w:rFonts w:ascii="Times New Roman" w:eastAsia="Malgun Gothic" w:hAnsi="Times New Roman" w:cs="Times New Roman"/>
                <w:vertAlign w:val="subscript"/>
                <w:lang w:val="en-NZ" w:eastAsia="ko-KR"/>
              </w:rPr>
              <w:t>=</w:t>
            </w:r>
            <w:r w:rsidRPr="00EA7C95">
              <w:rPr>
                <w:rFonts w:ascii="Times New Roman" w:eastAsia="MS Mincho" w:hAnsi="Times New Roman" w:cs="Times New Roman"/>
                <w:vertAlign w:val="subscript"/>
                <w:lang w:val="en-NZ"/>
              </w:rPr>
              <w:t>0</w:t>
            </w:r>
            <w:r w:rsidRPr="00EA7C95">
              <w:rPr>
                <w:rFonts w:ascii="Times New Roman" w:eastAsia="MS Mincho" w:hAnsi="Times New Roman" w:cs="Times New Roman"/>
                <w:lang w:val="en-NZ"/>
              </w:rPr>
              <w:t xml:space="preserve"> above)</w:t>
            </w:r>
            <w:r w:rsidRPr="00EA7C95">
              <w:rPr>
                <w:rFonts w:ascii="Times New Roman" w:eastAsia="Malgun Gothic" w:hAnsi="Times New Roman" w:cs="Times New Roman"/>
                <w:lang w:val="en-NZ" w:eastAsia="ko-KR"/>
              </w:rPr>
              <w:t>,</w:t>
            </w:r>
            <w:r w:rsidRPr="00EA7C95">
              <w:rPr>
                <w:rFonts w:ascii="Times New Roman" w:eastAsia="MS Mincho" w:hAnsi="Times New Roman" w:cs="Times New Roman"/>
                <w:lang w:val="en-NZ"/>
              </w:rPr>
              <w:t xml:space="preserve"> and the colours depict the models in the grid with the new and old growth functions with the size of the points representing the decision of the SC to weight the new growth models three times higher than the old growth models.</w:t>
            </w:r>
          </w:p>
          <w:p w14:paraId="4DF49BC0" w14:textId="77777777" w:rsidR="005B29DB" w:rsidRDefault="005B29DB" w:rsidP="005B29DB">
            <w:pPr>
              <w:adjustRightInd w:val="0"/>
              <w:snapToGrid w:val="0"/>
              <w:rPr>
                <w:rFonts w:ascii="Times New Roman" w:eastAsia="Malgun Gothic" w:hAnsi="Times New Roman" w:cs="Times New Roman"/>
                <w:b/>
                <w:lang w:val="en-NZ" w:eastAsia="en-NZ"/>
              </w:rPr>
            </w:pPr>
          </w:p>
        </w:tc>
        <w:tc>
          <w:tcPr>
            <w:tcW w:w="4675" w:type="dxa"/>
          </w:tcPr>
          <w:p w14:paraId="680EA204" w14:textId="77777777" w:rsidR="005B29DB" w:rsidRPr="00EA7C95" w:rsidRDefault="005B29DB" w:rsidP="005B29DB">
            <w:pPr>
              <w:adjustRightInd w:val="0"/>
              <w:snapToGrid w:val="0"/>
              <w:jc w:val="center"/>
              <w:rPr>
                <w:rFonts w:ascii="Times New Roman" w:eastAsia="Malgun Gothic" w:hAnsi="Times New Roman" w:cs="Times New Roman"/>
                <w:b/>
                <w:lang w:val="en-NZ" w:eastAsia="en-NZ"/>
              </w:rPr>
            </w:pPr>
          </w:p>
          <w:p w14:paraId="146A595C" w14:textId="77777777" w:rsidR="005B29DB" w:rsidRPr="00EA7C95" w:rsidRDefault="005B29DB" w:rsidP="005B29DB">
            <w:pPr>
              <w:adjustRightInd w:val="0"/>
              <w:snapToGrid w:val="0"/>
              <w:jc w:val="both"/>
              <w:rPr>
                <w:rFonts w:ascii="Times New Roman" w:eastAsia="MS Mincho" w:hAnsi="Times New Roman" w:cs="Times New Roman"/>
                <w:lang w:val="en-NZ"/>
              </w:rPr>
            </w:pPr>
            <w:bookmarkStart w:id="13" w:name="_Hlk491521827"/>
            <w:r w:rsidRPr="00EA7C95">
              <w:rPr>
                <w:rFonts w:ascii="Times New Roman" w:eastAsia="MS Mincho" w:hAnsi="Times New Roman" w:cs="Times New Roman"/>
                <w:b/>
                <w:lang w:val="en-NZ"/>
              </w:rPr>
              <w:t xml:space="preserve">Figure BET-7. </w:t>
            </w:r>
            <w:r w:rsidRPr="00EA7C95">
              <w:rPr>
                <w:rFonts w:ascii="Times New Roman" w:eastAsia="MS Mincho" w:hAnsi="Times New Roman" w:cs="Times New Roman"/>
                <w:lang w:val="en-NZ"/>
              </w:rPr>
              <w:t>Majuro plot summarising the results for each of the models in the structural uncertainty grid.</w:t>
            </w:r>
            <w:bookmarkEnd w:id="13"/>
            <w:r w:rsidRPr="00EA7C95">
              <w:rPr>
                <w:rFonts w:ascii="Times New Roman" w:eastAsia="MS Mincho" w:hAnsi="Times New Roman" w:cs="Times New Roman"/>
                <w:b/>
                <w:lang w:val="en-NZ"/>
              </w:rPr>
              <w:t xml:space="preserve"> </w:t>
            </w:r>
            <w:r w:rsidRPr="00EA7C95">
              <w:rPr>
                <w:rFonts w:ascii="Times New Roman" w:eastAsia="MS Mincho" w:hAnsi="Times New Roman" w:cs="Times New Roman"/>
                <w:lang w:val="en-NZ"/>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EA7C95">
              <w:rPr>
                <w:rFonts w:ascii="Times New Roman" w:eastAsia="MS Mincho" w:hAnsi="Times New Roman" w:cs="Times New Roman"/>
                <w:i/>
                <w:lang w:val="en-NZ"/>
              </w:rPr>
              <w:t>F</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lang w:val="en-NZ"/>
              </w:rPr>
              <w:t xml:space="preserve"> (</w:t>
            </w:r>
            <w:r w:rsidRPr="00EA7C95">
              <w:rPr>
                <w:rFonts w:ascii="Times New Roman" w:eastAsia="MS Mincho" w:hAnsi="Times New Roman" w:cs="Times New Roman"/>
                <w:i/>
                <w:lang w:val="en-NZ"/>
              </w:rPr>
              <w:t>F</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lang w:val="en-NZ"/>
              </w:rPr>
              <w:t xml:space="preserve"> is marked with the black dashed line). The points represent </w:t>
            </w: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recent</w:t>
            </w:r>
            <w:r w:rsidRPr="00EA7C95">
              <w:rPr>
                <w:rFonts w:ascii="Times New Roman" w:eastAsia="MS Mincho" w:hAnsi="Times New Roman" w:cs="Times New Roman"/>
                <w:i/>
                <w:lang w:val="en-NZ"/>
              </w:rPr>
              <w:t>/</w:t>
            </w:r>
            <w:r w:rsidRPr="00EA7C95">
              <w:rPr>
                <w:rFonts w:ascii="Times New Roman" w:eastAsia="Malgun Gothic" w:hAnsi="Times New Roman" w:cs="Times New Roman"/>
                <w:lang w:val="en-NZ"/>
              </w:rPr>
              <w:t>SB</w:t>
            </w:r>
            <w:r w:rsidRPr="00EA7C95">
              <w:rPr>
                <w:rFonts w:ascii="Times New Roman" w:eastAsia="Malgun Gothic" w:hAnsi="Times New Roman" w:cs="Times New Roman"/>
                <w:vertAlign w:val="subscript"/>
                <w:lang w:val="en-NZ"/>
              </w:rPr>
              <w:t>F=0</w:t>
            </w:r>
            <w:r w:rsidRPr="00EA7C95">
              <w:rPr>
                <w:rFonts w:ascii="Times New Roman" w:eastAsia="MS Mincho" w:hAnsi="Times New Roman" w:cs="Times New Roman"/>
                <w:lang w:val="en-NZ"/>
              </w:rPr>
              <w:t xml:space="preserve"> (labelled as SB/SB</w:t>
            </w:r>
            <w:r w:rsidRPr="00EA7C95">
              <w:rPr>
                <w:rFonts w:ascii="Times New Roman" w:eastAsia="MS Mincho" w:hAnsi="Times New Roman" w:cs="Times New Roman"/>
                <w:vertAlign w:val="subscript"/>
                <w:lang w:val="en-NZ"/>
              </w:rPr>
              <w:t>F</w:t>
            </w:r>
            <w:r w:rsidRPr="00EA7C95">
              <w:rPr>
                <w:rFonts w:ascii="Times New Roman" w:eastAsia="Malgun Gothic" w:hAnsi="Times New Roman" w:cs="Times New Roman"/>
                <w:vertAlign w:val="subscript"/>
                <w:lang w:val="en-NZ" w:eastAsia="ko-KR"/>
              </w:rPr>
              <w:t>=</w:t>
            </w:r>
            <w:r w:rsidRPr="00EA7C95">
              <w:rPr>
                <w:rFonts w:ascii="Times New Roman" w:eastAsia="MS Mincho" w:hAnsi="Times New Roman" w:cs="Times New Roman"/>
                <w:vertAlign w:val="subscript"/>
                <w:lang w:val="en-NZ"/>
              </w:rPr>
              <w:t>0</w:t>
            </w:r>
            <w:r w:rsidRPr="00EA7C95">
              <w:rPr>
                <w:rFonts w:ascii="Times New Roman" w:eastAsia="MS Mincho" w:hAnsi="Times New Roman" w:cs="Times New Roman"/>
                <w:lang w:val="en-NZ"/>
              </w:rPr>
              <w:t xml:space="preserve"> above)</w:t>
            </w:r>
            <w:r w:rsidRPr="00EA7C95">
              <w:rPr>
                <w:rFonts w:ascii="Times New Roman" w:eastAsia="Malgun Gothic" w:hAnsi="Times New Roman" w:cs="Times New Roman"/>
                <w:lang w:val="en-NZ" w:eastAsia="ko-KR"/>
              </w:rPr>
              <w:t>,</w:t>
            </w:r>
            <w:r w:rsidRPr="00EA7C95">
              <w:rPr>
                <w:rFonts w:ascii="Times New Roman" w:eastAsia="MS Mincho" w:hAnsi="Times New Roman" w:cs="Times New Roman"/>
                <w:lang w:val="en-NZ"/>
              </w:rPr>
              <w:t xml:space="preserve"> where </w:t>
            </w: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recent</w:t>
            </w:r>
            <w:r w:rsidRPr="00EA7C95">
              <w:rPr>
                <w:rFonts w:ascii="Times New Roman" w:eastAsia="MS Mincho" w:hAnsi="Times New Roman" w:cs="Times New Roman"/>
                <w:lang w:val="en-NZ"/>
              </w:rPr>
              <w:t xml:space="preserve"> is the mean </w:t>
            </w:r>
            <w:r w:rsidRPr="00EA7C95">
              <w:rPr>
                <w:rFonts w:ascii="Times New Roman" w:eastAsia="MS Mincho" w:hAnsi="Times New Roman" w:cs="Times New Roman"/>
                <w:i/>
                <w:lang w:val="en-NZ"/>
              </w:rPr>
              <w:t>SB</w:t>
            </w:r>
            <w:r w:rsidRPr="00EA7C95">
              <w:rPr>
                <w:rFonts w:ascii="Times New Roman" w:eastAsia="MS Mincho" w:hAnsi="Times New Roman" w:cs="Times New Roman"/>
                <w:lang w:val="en-NZ"/>
              </w:rPr>
              <w:t xml:space="preserve"> over 2012-2015 instead of 2011-2014 (used in the stock assessment report), at the request of the Scientific Committee. The colours depict the models in the grid with the new and old growth functions with the size of the points representing the decision of the SC to weight the new growth models three times higher than the old growth models.</w:t>
            </w:r>
          </w:p>
          <w:p w14:paraId="3C07ED51" w14:textId="77777777" w:rsidR="005B29DB" w:rsidRDefault="005B29DB" w:rsidP="005B29DB">
            <w:pPr>
              <w:adjustRightInd w:val="0"/>
              <w:snapToGrid w:val="0"/>
              <w:rPr>
                <w:rFonts w:ascii="Times New Roman" w:eastAsia="Malgun Gothic" w:hAnsi="Times New Roman" w:cs="Times New Roman"/>
                <w:b/>
                <w:lang w:val="en-NZ" w:eastAsia="en-NZ"/>
              </w:rPr>
            </w:pPr>
          </w:p>
        </w:tc>
      </w:tr>
    </w:tbl>
    <w:p w14:paraId="59575D85" w14:textId="77777777" w:rsidR="005B29DB" w:rsidRDefault="005B29DB" w:rsidP="005B29DB">
      <w:pPr>
        <w:adjustRightInd w:val="0"/>
        <w:snapToGrid w:val="0"/>
        <w:spacing w:after="0" w:line="240" w:lineRule="auto"/>
        <w:rPr>
          <w:rFonts w:ascii="Times New Roman" w:eastAsia="Malgun Gothic" w:hAnsi="Times New Roman" w:cs="Times New Roman"/>
          <w:b/>
          <w:lang w:val="en-NZ" w:eastAsia="en-NZ"/>
        </w:rPr>
      </w:pPr>
    </w:p>
    <w:p w14:paraId="1498F65A" w14:textId="77777777"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p w14:paraId="7B681467" w14:textId="77777777" w:rsidR="005B29DB" w:rsidRDefault="005B29DB" w:rsidP="00586C11">
      <w:pPr>
        <w:adjustRightInd w:val="0"/>
        <w:snapToGrid w:val="0"/>
        <w:spacing w:after="0" w:line="240" w:lineRule="auto"/>
        <w:jc w:val="center"/>
        <w:rPr>
          <w:rFonts w:ascii="Times New Roman" w:eastAsia="Malgun Gothic" w:hAnsi="Times New Roman" w:cs="Times New Roman"/>
          <w:b/>
          <w:lang w:val="en-NZ" w:eastAsia="en-NZ"/>
        </w:rPr>
      </w:pPr>
    </w:p>
    <w:p w14:paraId="6022ADDF" w14:textId="35CD03C6" w:rsidR="00570E6C" w:rsidRPr="00EA7C95" w:rsidRDefault="00570E6C" w:rsidP="00586C11">
      <w:pPr>
        <w:adjustRightInd w:val="0"/>
        <w:snapToGrid w:val="0"/>
        <w:spacing w:after="0" w:line="240" w:lineRule="auto"/>
        <w:jc w:val="center"/>
        <w:rPr>
          <w:rFonts w:ascii="Times New Roman" w:eastAsia="Malgun Gothic" w:hAnsi="Times New Roman" w:cs="Times New Roman"/>
          <w:b/>
          <w:lang w:val="en-NZ" w:eastAsia="en-NZ"/>
        </w:rPr>
      </w:pPr>
    </w:p>
    <w:p w14:paraId="0517970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NZ"/>
        </w:rPr>
      </w:pPr>
    </w:p>
    <w:p w14:paraId="53A4EF66" w14:textId="3EF08F4C" w:rsidR="00570E6C" w:rsidRDefault="00570E6C" w:rsidP="00586C11">
      <w:pPr>
        <w:adjustRightInd w:val="0"/>
        <w:snapToGrid w:val="0"/>
        <w:spacing w:after="0" w:line="240" w:lineRule="auto"/>
        <w:jc w:val="both"/>
        <w:rPr>
          <w:rFonts w:ascii="Times New Roman" w:eastAsia="MS Mincho" w:hAnsi="Times New Roman" w:cs="Times New Roman"/>
          <w:lang w:val="en-NZ"/>
        </w:rPr>
      </w:pPr>
    </w:p>
    <w:p w14:paraId="2DB62762" w14:textId="4011AD19"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012A7167" w14:textId="544D1D50"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2D6A55F0" w14:textId="636FAF41"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4EA32D00" w14:textId="6502316A"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202E963D" w14:textId="364656C3"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437B3DF2" w14:textId="6D816C4E" w:rsidR="005B29DB" w:rsidRDefault="005B29DB" w:rsidP="00586C11">
      <w:pPr>
        <w:adjustRightInd w:val="0"/>
        <w:snapToGrid w:val="0"/>
        <w:spacing w:after="0" w:line="240" w:lineRule="auto"/>
        <w:jc w:val="both"/>
        <w:rPr>
          <w:rFonts w:ascii="Times New Roman" w:eastAsia="MS Mincho" w:hAnsi="Times New Roman" w:cs="Times New Roman"/>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08"/>
      </w:tblGrid>
      <w:tr w:rsidR="005B29DB" w14:paraId="009CB3AA" w14:textId="77777777" w:rsidTr="005B29DB">
        <w:tc>
          <w:tcPr>
            <w:tcW w:w="4583" w:type="dxa"/>
          </w:tcPr>
          <w:p w14:paraId="59C585A1" w14:textId="0B9D6675" w:rsidR="005B29DB" w:rsidRDefault="005B29DB" w:rsidP="00586C11">
            <w:pPr>
              <w:adjustRightInd w:val="0"/>
              <w:snapToGrid w:val="0"/>
              <w:jc w:val="both"/>
              <w:rPr>
                <w:rFonts w:ascii="Times New Roman" w:eastAsia="MS Mincho" w:hAnsi="Times New Roman" w:cs="Times New Roman"/>
                <w:lang w:val="en-NZ"/>
              </w:rPr>
            </w:pPr>
            <w:r>
              <w:rPr>
                <w:rFonts w:ascii="Times New Roman" w:eastAsia="MS Mincho" w:hAnsi="Times New Roman" w:cs="Times New Roman"/>
                <w:noProof/>
                <w:lang w:val="en-NZ"/>
              </w:rPr>
              <w:drawing>
                <wp:inline distT="0" distB="0" distL="0" distR="0" wp14:anchorId="30705DEA" wp14:editId="053A1BF7">
                  <wp:extent cx="2824114" cy="283088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4271" cy="2951328"/>
                          </a:xfrm>
                          <a:prstGeom prst="rect">
                            <a:avLst/>
                          </a:prstGeom>
                          <a:noFill/>
                          <a:ln>
                            <a:noFill/>
                          </a:ln>
                        </pic:spPr>
                      </pic:pic>
                    </a:graphicData>
                  </a:graphic>
                </wp:inline>
              </w:drawing>
            </w:r>
          </w:p>
        </w:tc>
        <w:tc>
          <w:tcPr>
            <w:tcW w:w="4777" w:type="dxa"/>
          </w:tcPr>
          <w:p w14:paraId="09A456A5" w14:textId="5DE67FAE" w:rsidR="005B29DB" w:rsidRDefault="005B29DB" w:rsidP="00586C11">
            <w:pPr>
              <w:adjustRightInd w:val="0"/>
              <w:snapToGrid w:val="0"/>
              <w:jc w:val="both"/>
              <w:rPr>
                <w:rFonts w:ascii="Times New Roman" w:eastAsia="MS Mincho" w:hAnsi="Times New Roman" w:cs="Times New Roman"/>
                <w:lang w:val="en-NZ"/>
              </w:rPr>
            </w:pPr>
            <w:r>
              <w:rPr>
                <w:rFonts w:ascii="Times New Roman" w:eastAsia="MS Mincho" w:hAnsi="Times New Roman" w:cs="Times New Roman"/>
                <w:noProof/>
                <w:lang w:val="en-NZ"/>
              </w:rPr>
              <w:drawing>
                <wp:inline distT="0" distB="0" distL="0" distR="0" wp14:anchorId="6EBD2BD9" wp14:editId="3B37495E">
                  <wp:extent cx="2761616" cy="276825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3032" cy="2799743"/>
                          </a:xfrm>
                          <a:prstGeom prst="rect">
                            <a:avLst/>
                          </a:prstGeom>
                          <a:noFill/>
                          <a:ln>
                            <a:noFill/>
                          </a:ln>
                        </pic:spPr>
                      </pic:pic>
                    </a:graphicData>
                  </a:graphic>
                </wp:inline>
              </w:drawing>
            </w:r>
          </w:p>
        </w:tc>
      </w:tr>
      <w:tr w:rsidR="005B29DB" w14:paraId="7723AE7E" w14:textId="77777777" w:rsidTr="005B29DB">
        <w:tc>
          <w:tcPr>
            <w:tcW w:w="4583" w:type="dxa"/>
          </w:tcPr>
          <w:p w14:paraId="4C80C2A0" w14:textId="77777777" w:rsidR="005B29DB" w:rsidRPr="00EA7C95" w:rsidRDefault="005B29DB" w:rsidP="005B29DB">
            <w:pPr>
              <w:adjustRightInd w:val="0"/>
              <w:snapToGrid w:val="0"/>
              <w:jc w:val="both"/>
              <w:rPr>
                <w:rFonts w:ascii="Times New Roman" w:eastAsia="Malgun Gothic" w:hAnsi="Times New Roman" w:cs="Times New Roman"/>
                <w:lang w:val="en-NZ"/>
              </w:rPr>
            </w:pPr>
            <w:r w:rsidRPr="00EA7C95">
              <w:rPr>
                <w:rFonts w:ascii="Times New Roman" w:eastAsia="MS Mincho" w:hAnsi="Times New Roman" w:cs="Times New Roman"/>
                <w:b/>
                <w:lang w:val="en-NZ"/>
              </w:rPr>
              <w:t xml:space="preserve">Figure BET8. </w:t>
            </w:r>
            <w:r w:rsidRPr="00EA7C95">
              <w:rPr>
                <w:rFonts w:ascii="Times New Roman" w:eastAsia="MS Mincho" w:hAnsi="Times New Roman" w:cs="Times New Roman"/>
                <w:lang w:val="en-NZ"/>
              </w:rPr>
              <w:t>Kobe plot summarising the results for each of the models in the structural uncertainty grid.</w:t>
            </w:r>
            <w:r w:rsidRPr="00EA7C95">
              <w:rPr>
                <w:rFonts w:ascii="Times New Roman" w:eastAsia="MS Mincho" w:hAnsi="Times New Roman" w:cs="Times New Roman"/>
                <w:b/>
                <w:lang w:val="en-NZ"/>
              </w:rPr>
              <w:t xml:space="preserve"> </w:t>
            </w:r>
            <w:r w:rsidRPr="00EA7C95">
              <w:rPr>
                <w:rFonts w:ascii="Times New Roman" w:eastAsia="MS Mincho" w:hAnsi="Times New Roman" w:cs="Times New Roman"/>
                <w:lang w:val="en-NZ"/>
              </w:rPr>
              <w:t xml:space="preserve">The points represent </w:t>
            </w: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latest</w:t>
            </w:r>
            <w:r w:rsidRPr="00EA7C95" w:rsidDel="00300F08">
              <w:rPr>
                <w:rFonts w:ascii="Times New Roman" w:eastAsia="MS Mincho" w:hAnsi="Times New Roman" w:cs="Times New Roman"/>
                <w:i/>
                <w:lang w:val="en-NZ"/>
              </w:rPr>
              <w:t xml:space="preserve"> </w:t>
            </w:r>
            <w:r w:rsidRPr="00EA7C95">
              <w:rPr>
                <w:rFonts w:ascii="Times New Roman" w:eastAsia="MS Mincho" w:hAnsi="Times New Roman" w:cs="Times New Roman"/>
                <w:i/>
                <w:lang w:val="en-NZ"/>
              </w:rPr>
              <w:t>/</w:t>
            </w:r>
            <w:proofErr w:type="gramStart"/>
            <w:r w:rsidRPr="00EA7C95">
              <w:rPr>
                <w:rFonts w:ascii="Times New Roman" w:eastAsia="MS Mincho" w:hAnsi="Times New Roman" w:cs="Times New Roman"/>
                <w:i/>
                <w:lang w:val="en-NZ"/>
              </w:rPr>
              <w:t>SB</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lang w:val="en-NZ"/>
              </w:rPr>
              <w:t xml:space="preserve"> ,</w:t>
            </w:r>
            <w:proofErr w:type="gramEnd"/>
            <w:r w:rsidRPr="00EA7C95">
              <w:rPr>
                <w:rFonts w:ascii="Times New Roman" w:eastAsia="MS Mincho" w:hAnsi="Times New Roman" w:cs="Times New Roman"/>
                <w:lang w:val="en-NZ"/>
              </w:rPr>
              <w:t xml:space="preserve"> with the colours depicting the models in the grid with the new and old growth functions, and the size of the points representing the decision of the SC to weight the new growth models three times higher than the old growth models. </w:t>
            </w:r>
          </w:p>
          <w:p w14:paraId="16A52B52" w14:textId="77777777" w:rsidR="005B29DB" w:rsidRDefault="005B29DB" w:rsidP="00586C11">
            <w:pPr>
              <w:adjustRightInd w:val="0"/>
              <w:snapToGrid w:val="0"/>
              <w:jc w:val="both"/>
              <w:rPr>
                <w:rFonts w:ascii="Times New Roman" w:eastAsia="MS Mincho" w:hAnsi="Times New Roman" w:cs="Times New Roman"/>
                <w:lang w:val="en-NZ"/>
              </w:rPr>
            </w:pPr>
          </w:p>
        </w:tc>
        <w:tc>
          <w:tcPr>
            <w:tcW w:w="4777" w:type="dxa"/>
          </w:tcPr>
          <w:p w14:paraId="772C402F" w14:textId="77777777" w:rsidR="005B29DB" w:rsidRPr="00EA7C95" w:rsidRDefault="005B29DB" w:rsidP="005B29DB">
            <w:pPr>
              <w:adjustRightInd w:val="0"/>
              <w:snapToGrid w:val="0"/>
              <w:jc w:val="both"/>
              <w:rPr>
                <w:rFonts w:ascii="Times New Roman" w:eastAsia="Malgun Gothic" w:hAnsi="Times New Roman" w:cs="Times New Roman"/>
                <w:lang w:val="en-NZ" w:eastAsia="ko-KR"/>
              </w:rPr>
            </w:pPr>
            <w:bookmarkStart w:id="14" w:name="_Hlk491521858"/>
            <w:r w:rsidRPr="00EA7C95">
              <w:rPr>
                <w:rFonts w:ascii="Times New Roman" w:eastAsia="MS Mincho" w:hAnsi="Times New Roman" w:cs="Times New Roman"/>
                <w:b/>
                <w:lang w:val="en-NZ"/>
              </w:rPr>
              <w:t xml:space="preserve">Figure BET-9. </w:t>
            </w:r>
            <w:r w:rsidRPr="00EA7C95">
              <w:rPr>
                <w:rFonts w:ascii="Times New Roman" w:eastAsia="MS Mincho" w:hAnsi="Times New Roman" w:cs="Times New Roman"/>
                <w:lang w:val="en-NZ"/>
              </w:rPr>
              <w:t xml:space="preserve">Kobe plot summarising the results for each of the models in the structural uncertainty grid. </w:t>
            </w:r>
            <w:bookmarkEnd w:id="14"/>
            <w:r w:rsidRPr="00EA7C95">
              <w:rPr>
                <w:rFonts w:ascii="Times New Roman" w:eastAsia="MS Mincho" w:hAnsi="Times New Roman" w:cs="Times New Roman"/>
                <w:lang w:val="en-NZ"/>
              </w:rPr>
              <w:t xml:space="preserve">The points represent </w:t>
            </w:r>
            <w:r w:rsidRPr="00EA7C95">
              <w:rPr>
                <w:rFonts w:ascii="Times New Roman" w:eastAsia="MS Mincho" w:hAnsi="Times New Roman" w:cs="Times New Roman"/>
                <w:iCs/>
                <w:lang w:val="en-NZ"/>
              </w:rPr>
              <w:t>SB</w:t>
            </w:r>
            <w:r w:rsidRPr="00EA7C95">
              <w:rPr>
                <w:rFonts w:ascii="Times New Roman" w:eastAsia="MS Mincho" w:hAnsi="Times New Roman" w:cs="Times New Roman"/>
                <w:iCs/>
                <w:vertAlign w:val="subscript"/>
                <w:lang w:val="en-NZ"/>
              </w:rPr>
              <w:t>recent</w:t>
            </w:r>
            <w:r w:rsidRPr="00EA7C95">
              <w:rPr>
                <w:rFonts w:ascii="Times New Roman" w:eastAsia="MS Mincho" w:hAnsi="Times New Roman" w:cs="Times New Roman"/>
                <w:iCs/>
                <w:lang w:val="en-NZ"/>
              </w:rPr>
              <w:t>/SB</w:t>
            </w:r>
            <w:r w:rsidRPr="00EA7C95">
              <w:rPr>
                <w:rFonts w:ascii="Times New Roman" w:eastAsia="MS Mincho" w:hAnsi="Times New Roman" w:cs="Times New Roman"/>
                <w:iCs/>
                <w:vertAlign w:val="subscript"/>
                <w:lang w:val="en-NZ"/>
              </w:rPr>
              <w:t>MSY</w:t>
            </w:r>
            <w:r w:rsidRPr="00EA7C95">
              <w:rPr>
                <w:rFonts w:ascii="Times New Roman" w:eastAsia="MS Mincho" w:hAnsi="Times New Roman" w:cs="Times New Roman"/>
                <w:lang w:val="en-NZ"/>
              </w:rPr>
              <w:t>, with the colours depicting the models in the grid with the new and old growth functions, and the size of the points representing the decision of the SC to weight the new growth models three times higher than the old growth models.</w:t>
            </w:r>
          </w:p>
          <w:p w14:paraId="597BA2DC" w14:textId="77777777" w:rsidR="005B29DB" w:rsidRDefault="005B29DB" w:rsidP="00586C11">
            <w:pPr>
              <w:adjustRightInd w:val="0"/>
              <w:snapToGrid w:val="0"/>
              <w:jc w:val="both"/>
              <w:rPr>
                <w:rFonts w:ascii="Times New Roman" w:eastAsia="MS Mincho" w:hAnsi="Times New Roman" w:cs="Times New Roman"/>
                <w:lang w:val="en-NZ"/>
              </w:rPr>
            </w:pPr>
          </w:p>
        </w:tc>
      </w:tr>
      <w:tr w:rsidR="005B29DB" w14:paraId="68D147F1" w14:textId="77777777" w:rsidTr="005B2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83" w:type="dxa"/>
            <w:tcBorders>
              <w:top w:val="nil"/>
              <w:left w:val="nil"/>
              <w:bottom w:val="nil"/>
              <w:right w:val="nil"/>
            </w:tcBorders>
          </w:tcPr>
          <w:p w14:paraId="7A76EB4F" w14:textId="5F447A96" w:rsidR="005B29DB" w:rsidRDefault="005B29DB" w:rsidP="00586C11">
            <w:pPr>
              <w:adjustRightInd w:val="0"/>
              <w:snapToGrid w:val="0"/>
              <w:jc w:val="both"/>
              <w:rPr>
                <w:rFonts w:ascii="Times New Roman" w:eastAsia="MS Mincho" w:hAnsi="Times New Roman" w:cs="Times New Roman"/>
                <w:lang w:val="en-NZ"/>
              </w:rPr>
            </w:pPr>
            <w:r>
              <w:object w:dxaOrig="5415" w:dyaOrig="5400" w14:anchorId="07DB3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6pt;height:227.5pt" o:ole="">
                  <v:imagedata r:id="rId48" o:title=""/>
                </v:shape>
                <o:OLEObject Type="Embed" ProgID="PBrush" ShapeID="_x0000_i1025" DrawAspect="Content" ObjectID="_1675000959" r:id="rId49"/>
              </w:object>
            </w:r>
          </w:p>
        </w:tc>
        <w:tc>
          <w:tcPr>
            <w:tcW w:w="4777" w:type="dxa"/>
            <w:tcBorders>
              <w:top w:val="nil"/>
              <w:left w:val="nil"/>
              <w:bottom w:val="nil"/>
              <w:right w:val="nil"/>
            </w:tcBorders>
          </w:tcPr>
          <w:p w14:paraId="3F2E286A" w14:textId="6A066A41" w:rsidR="005B29DB" w:rsidRDefault="005B29DB" w:rsidP="00586C11">
            <w:pPr>
              <w:adjustRightInd w:val="0"/>
              <w:snapToGrid w:val="0"/>
              <w:jc w:val="both"/>
              <w:rPr>
                <w:rFonts w:ascii="Times New Roman" w:eastAsia="MS Mincho" w:hAnsi="Times New Roman" w:cs="Times New Roman"/>
                <w:lang w:val="en-NZ"/>
              </w:rPr>
            </w:pPr>
            <w:r>
              <w:object w:dxaOrig="5655" w:dyaOrig="5715" w14:anchorId="7B74360C">
                <v:shape id="_x0000_i1026" type="#_x0000_t75" style="width:223.3pt;height:226.45pt" o:ole="">
                  <v:imagedata r:id="rId50" o:title=""/>
                </v:shape>
                <o:OLEObject Type="Embed" ProgID="PBrush" ShapeID="_x0000_i1026" DrawAspect="Content" ObjectID="_1675000960" r:id="rId51"/>
              </w:object>
            </w:r>
          </w:p>
        </w:tc>
      </w:tr>
      <w:tr w:rsidR="005B29DB" w14:paraId="7F532311" w14:textId="77777777" w:rsidTr="005B2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gridSpan w:val="2"/>
            <w:tcBorders>
              <w:top w:val="nil"/>
              <w:left w:val="nil"/>
              <w:bottom w:val="nil"/>
              <w:right w:val="nil"/>
            </w:tcBorders>
          </w:tcPr>
          <w:p w14:paraId="37F1C31B" w14:textId="77777777" w:rsidR="005B29DB" w:rsidRPr="00EA7C95" w:rsidRDefault="005B29DB" w:rsidP="005B29DB">
            <w:pPr>
              <w:adjustRightInd w:val="0"/>
              <w:snapToGrid w:val="0"/>
              <w:jc w:val="both"/>
              <w:rPr>
                <w:rFonts w:ascii="Times New Roman" w:eastAsia="Malgun Gothic" w:hAnsi="Times New Roman" w:cs="Times New Roman"/>
                <w:lang w:val="en-NZ" w:eastAsia="ko-KR"/>
              </w:rPr>
            </w:pPr>
            <w:r w:rsidRPr="00EA7C95">
              <w:rPr>
                <w:rFonts w:ascii="Times New Roman" w:eastAsia="MS Mincho" w:hAnsi="Times New Roman" w:cs="Times New Roman"/>
                <w:b/>
                <w:lang w:val="en-NZ"/>
              </w:rPr>
              <w:t>Figure BET-</w:t>
            </w:r>
            <w:r w:rsidRPr="00EA7C95">
              <w:rPr>
                <w:rFonts w:ascii="Times New Roman" w:eastAsia="Malgun Gothic" w:hAnsi="Times New Roman" w:cs="Times New Roman"/>
                <w:b/>
                <w:lang w:val="en-NZ" w:eastAsia="ko-KR"/>
              </w:rPr>
              <w:t>10</w:t>
            </w:r>
            <w:r w:rsidRPr="00EA7C95">
              <w:rPr>
                <w:rFonts w:ascii="Times New Roman" w:eastAsia="MS Mincho" w:hAnsi="Times New Roman" w:cs="Times New Roman"/>
                <w:b/>
                <w:lang w:val="en-NZ"/>
              </w:rPr>
              <w:t>.</w:t>
            </w:r>
            <w:r w:rsidRPr="00EA7C95">
              <w:rPr>
                <w:rFonts w:ascii="Times New Roman" w:eastAsia="Malgun Gothic" w:hAnsi="Times New Roman" w:cs="Times New Roman"/>
                <w:b/>
                <w:lang w:val="en-NZ" w:eastAsia="ko-KR"/>
              </w:rPr>
              <w:t xml:space="preserve"> </w:t>
            </w:r>
            <w:r w:rsidRPr="00EA7C95">
              <w:rPr>
                <w:rFonts w:ascii="Times New Roman" w:eastAsia="Malgun Gothic" w:hAnsi="Times New Roman" w:cs="Times New Roman"/>
                <w:lang w:val="en-NZ"/>
              </w:rPr>
              <w:t>Estimated time-series (or “dynamic”) Majuro and Kobe plots from the bigeye ‘diagnostic case’ model run.</w:t>
            </w:r>
          </w:p>
          <w:p w14:paraId="0A33C682" w14:textId="77777777" w:rsidR="005B29DB" w:rsidRDefault="005B29DB" w:rsidP="00586C11">
            <w:pPr>
              <w:adjustRightInd w:val="0"/>
              <w:snapToGrid w:val="0"/>
              <w:jc w:val="both"/>
              <w:rPr>
                <w:rFonts w:ascii="Times New Roman" w:eastAsia="MS Mincho" w:hAnsi="Times New Roman" w:cs="Times New Roman"/>
                <w:lang w:val="en-NZ"/>
              </w:rPr>
            </w:pPr>
          </w:p>
        </w:tc>
      </w:tr>
    </w:tbl>
    <w:p w14:paraId="1924DC82" w14:textId="77777777" w:rsidR="005B29DB" w:rsidRDefault="005B29DB" w:rsidP="00586C11">
      <w:pPr>
        <w:adjustRightInd w:val="0"/>
        <w:snapToGrid w:val="0"/>
        <w:spacing w:after="0" w:line="240" w:lineRule="auto"/>
        <w:jc w:val="both"/>
        <w:rPr>
          <w:rFonts w:ascii="Times New Roman" w:eastAsia="MS Mincho" w:hAnsi="Times New Roman" w:cs="Times New Roman"/>
          <w:lang w:val="en-NZ"/>
        </w:rPr>
      </w:pPr>
    </w:p>
    <w:p w14:paraId="4345F2D3" w14:textId="77777777" w:rsidR="005B29DB" w:rsidRPr="00EA7C95" w:rsidRDefault="005B29DB" w:rsidP="00586C11">
      <w:pPr>
        <w:adjustRightInd w:val="0"/>
        <w:snapToGrid w:val="0"/>
        <w:spacing w:after="0" w:line="240" w:lineRule="auto"/>
        <w:jc w:val="both"/>
        <w:rPr>
          <w:rFonts w:ascii="Times New Roman" w:eastAsia="MS Mincho" w:hAnsi="Times New Roman" w:cs="Times New Roman"/>
          <w:lang w:val="en-NZ"/>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70E6C" w:rsidRPr="00EA7C95" w14:paraId="581DD7B8" w14:textId="77777777" w:rsidTr="005B29DB">
        <w:tc>
          <w:tcPr>
            <w:tcW w:w="9360" w:type="dxa"/>
          </w:tcPr>
          <w:p w14:paraId="7C655FEC" w14:textId="50D6B77A" w:rsidR="00570E6C" w:rsidRPr="00EA7C95" w:rsidRDefault="00570E6C" w:rsidP="00586C11">
            <w:pPr>
              <w:adjustRightInd w:val="0"/>
              <w:snapToGrid w:val="0"/>
              <w:jc w:val="center"/>
              <w:rPr>
                <w:rFonts w:ascii="Times New Roman" w:eastAsia="Malgun Gothic" w:hAnsi="Times New Roman"/>
                <w:sz w:val="22"/>
                <w:szCs w:val="22"/>
                <w:lang w:eastAsia="ko-KR"/>
              </w:rPr>
            </w:pPr>
          </w:p>
        </w:tc>
      </w:tr>
      <w:tr w:rsidR="00570E6C" w:rsidRPr="00EA7C95" w14:paraId="1B9678C3" w14:textId="77777777" w:rsidTr="005B29DB">
        <w:tc>
          <w:tcPr>
            <w:tcW w:w="9360" w:type="dxa"/>
          </w:tcPr>
          <w:p w14:paraId="0BE998C5" w14:textId="5849A6E6" w:rsidR="00570E6C" w:rsidRPr="00EA7C95" w:rsidRDefault="00570E6C" w:rsidP="00586C11">
            <w:pPr>
              <w:adjustRightInd w:val="0"/>
              <w:snapToGrid w:val="0"/>
              <w:jc w:val="center"/>
              <w:rPr>
                <w:rFonts w:ascii="Times New Roman" w:eastAsia="Malgun Gothic" w:hAnsi="Times New Roman"/>
                <w:noProof/>
                <w:sz w:val="22"/>
                <w:szCs w:val="22"/>
                <w:lang w:val="en-US" w:eastAsia="zh-CN" w:bidi="mn-Mong-CN"/>
              </w:rPr>
            </w:pPr>
          </w:p>
        </w:tc>
      </w:tr>
    </w:tbl>
    <w:p w14:paraId="7CF2083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NZ"/>
        </w:rPr>
      </w:pPr>
      <w:r w:rsidRPr="00EA7C95">
        <w:rPr>
          <w:rFonts w:ascii="Times New Roman" w:eastAsia="Malgun Gothic" w:hAnsi="Times New Roman" w:cs="Times New Roman"/>
          <w:noProof/>
          <w:lang w:eastAsia="zh-CN" w:bidi="mn-Mong-CN"/>
        </w:rPr>
        <w:drawing>
          <wp:inline distT="0" distB="0" distL="0" distR="0" wp14:anchorId="01C01864" wp14:editId="417469FA">
            <wp:extent cx="5949863" cy="5949863"/>
            <wp:effectExtent l="0" t="0" r="0" b="0"/>
            <wp:docPr id="17" name="Picture 16" descr="plot_fishery_impact_BE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_fishery_impact_BET-SS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51" cy="5944251"/>
                    </a:xfrm>
                    <a:prstGeom prst="rect">
                      <a:avLst/>
                    </a:prstGeom>
                    <a:noFill/>
                    <a:ln>
                      <a:noFill/>
                    </a:ln>
                  </pic:spPr>
                </pic:pic>
              </a:graphicData>
            </a:graphic>
          </wp:inline>
        </w:drawing>
      </w:r>
    </w:p>
    <w:p w14:paraId="6C334DB3"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NZ"/>
        </w:rPr>
      </w:pPr>
      <w:bookmarkStart w:id="15" w:name="_Hlk491521870"/>
      <w:r w:rsidRPr="00EA7C95">
        <w:rPr>
          <w:rFonts w:ascii="Times New Roman" w:eastAsia="MS Mincho" w:hAnsi="Times New Roman" w:cs="Times New Roman"/>
          <w:b/>
          <w:lang w:val="en-NZ"/>
        </w:rPr>
        <w:t>Figure BET-1</w:t>
      </w:r>
      <w:r w:rsidRPr="00EA7C95">
        <w:rPr>
          <w:rFonts w:ascii="Times New Roman" w:eastAsia="Malgun Gothic" w:hAnsi="Times New Roman" w:cs="Times New Roman"/>
          <w:b/>
          <w:lang w:val="en-NZ" w:eastAsia="ko-KR"/>
        </w:rPr>
        <w:t>1</w:t>
      </w:r>
      <w:r w:rsidRPr="00EA7C95">
        <w:rPr>
          <w:rFonts w:ascii="Times New Roman" w:eastAsia="MS Mincho" w:hAnsi="Times New Roman" w:cs="Times New Roman"/>
          <w:b/>
          <w:lang w:val="en-NZ"/>
        </w:rPr>
        <w:t xml:space="preserve">. </w:t>
      </w:r>
      <w:r w:rsidRPr="00EA7C95">
        <w:rPr>
          <w:rFonts w:ascii="Times New Roman" w:eastAsia="MS Mincho" w:hAnsi="Times New Roman" w:cs="Times New Roman"/>
          <w:lang w:val="en-NZ"/>
        </w:rPr>
        <w:t>Estimates of reduction in spawning potential due to fishing by region, and over all regions (lower right panel), attributed to various fishery groups (gear-types) for the diagnostic case model.</w:t>
      </w:r>
    </w:p>
    <w:bookmarkEnd w:id="15"/>
    <w:p w14:paraId="0738ACC3" w14:textId="77777777" w:rsidR="00570E6C" w:rsidRPr="00EA7C95" w:rsidRDefault="00570E6C" w:rsidP="00586C11">
      <w:pPr>
        <w:adjustRightInd w:val="0"/>
        <w:snapToGrid w:val="0"/>
        <w:spacing w:after="0" w:line="240" w:lineRule="auto"/>
        <w:rPr>
          <w:rFonts w:ascii="Times New Roman" w:eastAsia="MS Mincho" w:hAnsi="Times New Roman" w:cs="Times New Roman"/>
          <w:lang w:val="en-NZ"/>
        </w:rPr>
      </w:pPr>
      <w:r w:rsidRPr="00EA7C95">
        <w:rPr>
          <w:rFonts w:ascii="Times New Roman" w:eastAsia="MS Mincho" w:hAnsi="Times New Roman" w:cs="Times New Roman"/>
          <w:lang w:val="en-NZ"/>
        </w:rPr>
        <w:br w:type="page"/>
      </w:r>
    </w:p>
    <w:p w14:paraId="24487B80"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lang w:val="en-NZ"/>
        </w:rPr>
      </w:pPr>
      <w:bookmarkStart w:id="16" w:name="_Hlk491523881"/>
      <w:r w:rsidRPr="00EA7C95">
        <w:rPr>
          <w:rFonts w:ascii="Times New Roman" w:eastAsia="Malgun Gothic" w:hAnsi="Times New Roman" w:cs="Times New Roman"/>
          <w:b/>
          <w:lang w:val="en-NZ"/>
        </w:rPr>
        <w:lastRenderedPageBreak/>
        <w:t xml:space="preserve">Table BET-2. </w:t>
      </w:r>
      <w:r w:rsidRPr="00EA7C95">
        <w:rPr>
          <w:rFonts w:ascii="Times New Roman" w:eastAsia="Malgun Gothic" w:hAnsi="Times New Roman" w:cs="Times New Roman"/>
          <w:lang w:val="en-NZ"/>
        </w:rPr>
        <w:t xml:space="preserve">Summary of reference points over the 72 models in the structural uncertainty grid </w:t>
      </w:r>
      <w:bookmarkEnd w:id="16"/>
      <w:r w:rsidRPr="00EA7C95">
        <w:rPr>
          <w:rFonts w:ascii="Times New Roman" w:eastAsia="Malgun Gothic" w:hAnsi="Times New Roman" w:cs="Times New Roman"/>
          <w:lang w:val="en-NZ"/>
        </w:rPr>
        <w:t xml:space="preserve">where the models using the new growth function are given three times the weighting of the models using the old growth function. Note that </w:t>
      </w:r>
      <w:r w:rsidRPr="00EA7C95">
        <w:rPr>
          <w:rFonts w:ascii="Times New Roman" w:eastAsia="Malgun Gothic" w:hAnsi="Times New Roman" w:cs="Times New Roman"/>
          <w:i/>
          <w:lang w:val="en-NZ"/>
        </w:rPr>
        <w:t>SB</w:t>
      </w:r>
      <w:r w:rsidRPr="00EA7C95">
        <w:rPr>
          <w:rFonts w:ascii="Times New Roman" w:eastAsia="Malgun Gothic" w:hAnsi="Times New Roman" w:cs="Times New Roman"/>
          <w:i/>
          <w:vertAlign w:val="subscript"/>
          <w:lang w:val="en-NZ"/>
        </w:rPr>
        <w:t>recent</w:t>
      </w:r>
      <w:r w:rsidRPr="00EA7C95">
        <w:rPr>
          <w:rFonts w:ascii="Times New Roman" w:eastAsia="Malgun Gothic" w:hAnsi="Times New Roman" w:cs="Times New Roman"/>
          <w:i/>
          <w:lang w:val="en-NZ"/>
        </w:rPr>
        <w:t>/SB</w:t>
      </w:r>
      <w:r w:rsidRPr="00EA7C95">
        <w:rPr>
          <w:rFonts w:ascii="Times New Roman" w:eastAsia="Malgun Gothic" w:hAnsi="Times New Roman" w:cs="Times New Roman"/>
          <w:i/>
          <w:vertAlign w:val="subscript"/>
          <w:lang w:val="en-NZ"/>
        </w:rPr>
        <w:t>F=0</w:t>
      </w:r>
      <w:r w:rsidRPr="00EA7C95">
        <w:rPr>
          <w:rFonts w:ascii="Times New Roman" w:eastAsia="Malgun Gothic" w:hAnsi="Times New Roman" w:cs="Times New Roman"/>
          <w:lang w:val="en-NZ"/>
        </w:rPr>
        <w:t xml:space="preserve"> is calculated where </w:t>
      </w:r>
      <w:r w:rsidRPr="00EA7C95">
        <w:rPr>
          <w:rFonts w:ascii="Times New Roman" w:eastAsia="Malgun Gothic" w:hAnsi="Times New Roman" w:cs="Times New Roman"/>
          <w:i/>
          <w:lang w:val="en-NZ"/>
        </w:rPr>
        <w:t>SB</w:t>
      </w:r>
      <w:r w:rsidRPr="00EA7C95">
        <w:rPr>
          <w:rFonts w:ascii="Times New Roman" w:eastAsia="Malgun Gothic" w:hAnsi="Times New Roman" w:cs="Times New Roman"/>
          <w:i/>
          <w:vertAlign w:val="subscript"/>
          <w:lang w:val="en-NZ"/>
        </w:rPr>
        <w:t>recent</w:t>
      </w:r>
      <w:r w:rsidRPr="00EA7C95">
        <w:rPr>
          <w:rFonts w:ascii="Times New Roman" w:eastAsia="Malgun Gothic" w:hAnsi="Times New Roman" w:cs="Times New Roman"/>
          <w:lang w:val="en-NZ"/>
        </w:rPr>
        <w:t xml:space="preserve"> is the mean</w:t>
      </w:r>
      <w:r w:rsidRPr="00EA7C95">
        <w:rPr>
          <w:rFonts w:ascii="Times New Roman" w:eastAsia="Malgun Gothic" w:hAnsi="Times New Roman" w:cs="Times New Roman"/>
          <w:b/>
          <w:i/>
          <w:lang w:val="en-NZ"/>
        </w:rPr>
        <w:t xml:space="preserve"> </w:t>
      </w:r>
      <w:r w:rsidRPr="00EA7C95">
        <w:rPr>
          <w:rFonts w:ascii="Times New Roman" w:eastAsia="Malgun Gothic" w:hAnsi="Times New Roman" w:cs="Times New Roman"/>
          <w:i/>
          <w:lang w:val="en-NZ"/>
        </w:rPr>
        <w:t>SB</w:t>
      </w:r>
      <w:r w:rsidRPr="00EA7C95">
        <w:rPr>
          <w:rFonts w:ascii="Times New Roman" w:eastAsia="Malgun Gothic" w:hAnsi="Times New Roman" w:cs="Times New Roman"/>
          <w:lang w:val="en-NZ"/>
        </w:rPr>
        <w:t xml:space="preserve"> over 2012-2015</w:t>
      </w:r>
      <w:r w:rsidRPr="00EA7C95">
        <w:rPr>
          <w:rFonts w:ascii="Times New Roman" w:eastAsia="Malgun Gothic" w:hAnsi="Times New Roman" w:cs="Times New Roman"/>
          <w:b/>
          <w:lang w:val="en-NZ"/>
        </w:rPr>
        <w:t xml:space="preserve"> </w:t>
      </w:r>
      <w:r w:rsidRPr="00EA7C95">
        <w:rPr>
          <w:rFonts w:ascii="Times New Roman" w:eastAsia="Malgun Gothic" w:hAnsi="Times New Roman" w:cs="Times New Roman"/>
          <w:lang w:val="en-NZ"/>
        </w:rPr>
        <w:t xml:space="preserve">instead of 2011-2014 (used in the stock assessment report), at the request of the Scientific Committee. </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570E6C" w:rsidRPr="00EA7C95" w14:paraId="47AA637B" w14:textId="77777777" w:rsidTr="00F27795">
        <w:trPr>
          <w:cantSplit/>
        </w:trPr>
        <w:tc>
          <w:tcPr>
            <w:tcW w:w="1732" w:type="dxa"/>
            <w:tcBorders>
              <w:top w:val="single" w:sz="4" w:space="0" w:color="auto"/>
              <w:left w:val="nil"/>
              <w:bottom w:val="single" w:sz="4" w:space="0" w:color="auto"/>
              <w:right w:val="nil"/>
            </w:tcBorders>
            <w:shd w:val="clear" w:color="auto" w:fill="auto"/>
          </w:tcPr>
          <w:p w14:paraId="0BB69BF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778B257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3029C11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4CE16E4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7F50EC0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5E7C2FB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5D3EA77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Max</w:t>
            </w:r>
          </w:p>
        </w:tc>
      </w:tr>
      <w:tr w:rsidR="00570E6C" w:rsidRPr="00EA7C95" w14:paraId="719DF6E7" w14:textId="77777777" w:rsidTr="00F27795">
        <w:trPr>
          <w:cantSplit/>
        </w:trPr>
        <w:tc>
          <w:tcPr>
            <w:tcW w:w="1732" w:type="dxa"/>
            <w:tcBorders>
              <w:top w:val="single" w:sz="4" w:space="0" w:color="auto"/>
              <w:left w:val="nil"/>
              <w:bottom w:val="nil"/>
              <w:right w:val="nil"/>
            </w:tcBorders>
            <w:shd w:val="clear" w:color="auto" w:fill="auto"/>
            <w:hideMark/>
          </w:tcPr>
          <w:p w14:paraId="6EB73FD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C</w:t>
            </w:r>
            <w:r w:rsidRPr="00EA7C95">
              <w:rPr>
                <w:rFonts w:ascii="Times New Roman" w:eastAsia="MS Mincho" w:hAnsi="Times New Roman" w:cs="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71848D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149,178</w:t>
            </w:r>
          </w:p>
        </w:tc>
        <w:tc>
          <w:tcPr>
            <w:tcW w:w="1265" w:type="dxa"/>
            <w:tcBorders>
              <w:top w:val="single" w:sz="4" w:space="0" w:color="auto"/>
              <w:left w:val="nil"/>
              <w:bottom w:val="nil"/>
              <w:right w:val="nil"/>
            </w:tcBorders>
            <w:shd w:val="clear" w:color="auto" w:fill="auto"/>
            <w:vAlign w:val="bottom"/>
            <w:hideMark/>
          </w:tcPr>
          <w:p w14:paraId="49AF02CC"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153,137</w:t>
            </w:r>
          </w:p>
        </w:tc>
        <w:tc>
          <w:tcPr>
            <w:tcW w:w="1265" w:type="dxa"/>
            <w:tcBorders>
              <w:top w:val="single" w:sz="4" w:space="0" w:color="auto"/>
              <w:left w:val="nil"/>
              <w:bottom w:val="nil"/>
              <w:right w:val="nil"/>
            </w:tcBorders>
            <w:shd w:val="clear" w:color="auto" w:fill="auto"/>
            <w:vAlign w:val="bottom"/>
            <w:hideMark/>
          </w:tcPr>
          <w:p w14:paraId="5A0B29C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130,903</w:t>
            </w:r>
          </w:p>
        </w:tc>
        <w:tc>
          <w:tcPr>
            <w:tcW w:w="1265" w:type="dxa"/>
            <w:tcBorders>
              <w:top w:val="single" w:sz="4" w:space="0" w:color="auto"/>
              <w:left w:val="nil"/>
              <w:bottom w:val="nil"/>
              <w:right w:val="nil"/>
            </w:tcBorders>
            <w:shd w:val="clear" w:color="auto" w:fill="auto"/>
            <w:vAlign w:val="bottom"/>
            <w:hideMark/>
          </w:tcPr>
          <w:p w14:paraId="794E465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131,597</w:t>
            </w:r>
          </w:p>
        </w:tc>
        <w:tc>
          <w:tcPr>
            <w:tcW w:w="1265" w:type="dxa"/>
            <w:tcBorders>
              <w:top w:val="single" w:sz="4" w:space="0" w:color="auto"/>
              <w:left w:val="nil"/>
              <w:bottom w:val="nil"/>
              <w:right w:val="nil"/>
            </w:tcBorders>
            <w:shd w:val="clear" w:color="auto" w:fill="auto"/>
            <w:vAlign w:val="bottom"/>
            <w:hideMark/>
          </w:tcPr>
          <w:p w14:paraId="4AEDD81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156,113</w:t>
            </w:r>
          </w:p>
        </w:tc>
        <w:tc>
          <w:tcPr>
            <w:tcW w:w="1265" w:type="dxa"/>
            <w:tcBorders>
              <w:top w:val="single" w:sz="4" w:space="0" w:color="auto"/>
              <w:left w:val="nil"/>
              <w:bottom w:val="nil"/>
              <w:right w:val="nil"/>
            </w:tcBorders>
            <w:shd w:val="clear" w:color="auto" w:fill="auto"/>
            <w:vAlign w:val="bottom"/>
            <w:hideMark/>
          </w:tcPr>
          <w:p w14:paraId="2187CBB1"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157,725</w:t>
            </w:r>
          </w:p>
        </w:tc>
      </w:tr>
      <w:tr w:rsidR="00570E6C" w:rsidRPr="00EA7C95" w14:paraId="5C7D70C9" w14:textId="77777777" w:rsidTr="00F27795">
        <w:trPr>
          <w:cantSplit/>
        </w:trPr>
        <w:tc>
          <w:tcPr>
            <w:tcW w:w="1732" w:type="dxa"/>
            <w:tcBorders>
              <w:top w:val="nil"/>
              <w:left w:val="nil"/>
              <w:bottom w:val="nil"/>
              <w:right w:val="nil"/>
            </w:tcBorders>
            <w:shd w:val="clear" w:color="auto" w:fill="auto"/>
            <w:hideMark/>
          </w:tcPr>
          <w:p w14:paraId="5415DF3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MSY</w:t>
            </w:r>
          </w:p>
        </w:tc>
        <w:tc>
          <w:tcPr>
            <w:tcW w:w="1264" w:type="dxa"/>
            <w:tcBorders>
              <w:top w:val="nil"/>
              <w:left w:val="nil"/>
              <w:bottom w:val="nil"/>
              <w:right w:val="nil"/>
            </w:tcBorders>
            <w:shd w:val="clear" w:color="auto" w:fill="auto"/>
            <w:vAlign w:val="bottom"/>
            <w:hideMark/>
          </w:tcPr>
          <w:p w14:paraId="662074E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156,765</w:t>
            </w:r>
          </w:p>
        </w:tc>
        <w:tc>
          <w:tcPr>
            <w:tcW w:w="1265" w:type="dxa"/>
            <w:tcBorders>
              <w:top w:val="nil"/>
              <w:left w:val="nil"/>
              <w:bottom w:val="nil"/>
              <w:right w:val="nil"/>
            </w:tcBorders>
            <w:shd w:val="clear" w:color="auto" w:fill="auto"/>
            <w:vAlign w:val="bottom"/>
            <w:hideMark/>
          </w:tcPr>
          <w:p w14:paraId="06329A4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158,040</w:t>
            </w:r>
          </w:p>
        </w:tc>
        <w:tc>
          <w:tcPr>
            <w:tcW w:w="1265" w:type="dxa"/>
            <w:tcBorders>
              <w:top w:val="nil"/>
              <w:left w:val="nil"/>
              <w:bottom w:val="nil"/>
              <w:right w:val="nil"/>
            </w:tcBorders>
            <w:shd w:val="clear" w:color="auto" w:fill="auto"/>
            <w:vAlign w:val="bottom"/>
            <w:hideMark/>
          </w:tcPr>
          <w:p w14:paraId="5E55DBD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124,120</w:t>
            </w:r>
          </w:p>
        </w:tc>
        <w:tc>
          <w:tcPr>
            <w:tcW w:w="1265" w:type="dxa"/>
            <w:tcBorders>
              <w:top w:val="nil"/>
              <w:left w:val="nil"/>
              <w:bottom w:val="nil"/>
              <w:right w:val="nil"/>
            </w:tcBorders>
            <w:shd w:val="clear" w:color="auto" w:fill="auto"/>
            <w:vAlign w:val="bottom"/>
            <w:hideMark/>
          </w:tcPr>
          <w:p w14:paraId="1EDF30C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137,644</w:t>
            </w:r>
          </w:p>
        </w:tc>
        <w:tc>
          <w:tcPr>
            <w:tcW w:w="1265" w:type="dxa"/>
            <w:tcBorders>
              <w:top w:val="nil"/>
              <w:left w:val="nil"/>
              <w:bottom w:val="nil"/>
              <w:right w:val="nil"/>
            </w:tcBorders>
            <w:shd w:val="clear" w:color="auto" w:fill="auto"/>
            <w:vAlign w:val="bottom"/>
            <w:hideMark/>
          </w:tcPr>
          <w:p w14:paraId="735F172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180,656</w:t>
            </w:r>
          </w:p>
        </w:tc>
        <w:tc>
          <w:tcPr>
            <w:tcW w:w="1265" w:type="dxa"/>
            <w:tcBorders>
              <w:top w:val="nil"/>
              <w:left w:val="nil"/>
              <w:bottom w:val="nil"/>
              <w:right w:val="nil"/>
            </w:tcBorders>
            <w:shd w:val="clear" w:color="auto" w:fill="auto"/>
            <w:vAlign w:val="bottom"/>
            <w:hideMark/>
          </w:tcPr>
          <w:p w14:paraId="22095E9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204,040</w:t>
            </w:r>
          </w:p>
        </w:tc>
      </w:tr>
      <w:tr w:rsidR="00570E6C" w:rsidRPr="00EA7C95" w14:paraId="5D4D2860" w14:textId="77777777" w:rsidTr="00F27795">
        <w:trPr>
          <w:cantSplit/>
        </w:trPr>
        <w:tc>
          <w:tcPr>
            <w:tcW w:w="1732" w:type="dxa"/>
            <w:tcBorders>
              <w:top w:val="nil"/>
              <w:left w:val="nil"/>
              <w:bottom w:val="nil"/>
              <w:right w:val="nil"/>
            </w:tcBorders>
            <w:shd w:val="clear" w:color="auto" w:fill="auto"/>
            <w:hideMark/>
          </w:tcPr>
          <w:p w14:paraId="535CAAE1"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Y</w:t>
            </w:r>
            <w:r w:rsidRPr="00EA7C95">
              <w:rPr>
                <w:rFonts w:ascii="Times New Roman" w:eastAsia="MS Mincho" w:hAnsi="Times New Roman" w:cs="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25146E1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150,382</w:t>
            </w:r>
          </w:p>
        </w:tc>
        <w:tc>
          <w:tcPr>
            <w:tcW w:w="1265" w:type="dxa"/>
            <w:tcBorders>
              <w:top w:val="nil"/>
              <w:left w:val="nil"/>
              <w:bottom w:val="nil"/>
              <w:right w:val="nil"/>
            </w:tcBorders>
            <w:shd w:val="clear" w:color="auto" w:fill="auto"/>
            <w:vAlign w:val="bottom"/>
            <w:hideMark/>
          </w:tcPr>
          <w:p w14:paraId="1BD0B8A9"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148,920</w:t>
            </w:r>
          </w:p>
        </w:tc>
        <w:tc>
          <w:tcPr>
            <w:tcW w:w="1265" w:type="dxa"/>
            <w:tcBorders>
              <w:top w:val="nil"/>
              <w:left w:val="nil"/>
              <w:bottom w:val="nil"/>
              <w:right w:val="nil"/>
            </w:tcBorders>
            <w:shd w:val="clear" w:color="auto" w:fill="auto"/>
            <w:vAlign w:val="bottom"/>
            <w:hideMark/>
          </w:tcPr>
          <w:p w14:paraId="3148DD5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118,000</w:t>
            </w:r>
          </w:p>
        </w:tc>
        <w:tc>
          <w:tcPr>
            <w:tcW w:w="1265" w:type="dxa"/>
            <w:tcBorders>
              <w:top w:val="nil"/>
              <w:left w:val="nil"/>
              <w:bottom w:val="nil"/>
              <w:right w:val="nil"/>
            </w:tcBorders>
            <w:shd w:val="clear" w:color="auto" w:fill="auto"/>
            <w:vAlign w:val="bottom"/>
            <w:hideMark/>
          </w:tcPr>
          <w:p w14:paraId="5361654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133,400</w:t>
            </w:r>
          </w:p>
        </w:tc>
        <w:tc>
          <w:tcPr>
            <w:tcW w:w="1265" w:type="dxa"/>
            <w:tcBorders>
              <w:top w:val="nil"/>
              <w:left w:val="nil"/>
              <w:bottom w:val="nil"/>
              <w:right w:val="nil"/>
            </w:tcBorders>
            <w:shd w:val="clear" w:color="auto" w:fill="auto"/>
            <w:vAlign w:val="bottom"/>
            <w:hideMark/>
          </w:tcPr>
          <w:p w14:paraId="5A76E72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168,656</w:t>
            </w:r>
          </w:p>
        </w:tc>
        <w:tc>
          <w:tcPr>
            <w:tcW w:w="1265" w:type="dxa"/>
            <w:tcBorders>
              <w:top w:val="nil"/>
              <w:left w:val="nil"/>
              <w:bottom w:val="nil"/>
              <w:right w:val="nil"/>
            </w:tcBorders>
            <w:shd w:val="clear" w:color="auto" w:fill="auto"/>
            <w:vAlign w:val="bottom"/>
            <w:hideMark/>
          </w:tcPr>
          <w:p w14:paraId="1E8E89E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187,240</w:t>
            </w:r>
          </w:p>
        </w:tc>
      </w:tr>
      <w:tr w:rsidR="00570E6C" w:rsidRPr="00EA7C95" w14:paraId="384C2E5F" w14:textId="77777777" w:rsidTr="00F27795">
        <w:trPr>
          <w:cantSplit/>
        </w:trPr>
        <w:tc>
          <w:tcPr>
            <w:tcW w:w="1732" w:type="dxa"/>
            <w:tcBorders>
              <w:top w:val="nil"/>
              <w:left w:val="nil"/>
              <w:bottom w:val="nil"/>
              <w:right w:val="nil"/>
            </w:tcBorders>
            <w:shd w:val="clear" w:color="auto" w:fill="auto"/>
            <w:hideMark/>
          </w:tcPr>
          <w:p w14:paraId="7412D35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F</w:t>
            </w:r>
            <w:r w:rsidRPr="00EA7C95">
              <w:rPr>
                <w:rFonts w:ascii="Times New Roman" w:eastAsia="MS Mincho" w:hAnsi="Times New Roman" w:cs="Times New Roman"/>
                <w:i/>
                <w:vertAlign w:val="subscript"/>
                <w:lang w:val="en-AU"/>
              </w:rPr>
              <w:t>mult</w:t>
            </w:r>
          </w:p>
        </w:tc>
        <w:tc>
          <w:tcPr>
            <w:tcW w:w="1264" w:type="dxa"/>
            <w:tcBorders>
              <w:top w:val="nil"/>
              <w:left w:val="nil"/>
              <w:bottom w:val="nil"/>
              <w:right w:val="nil"/>
            </w:tcBorders>
            <w:shd w:val="clear" w:color="auto" w:fill="auto"/>
            <w:vAlign w:val="bottom"/>
            <w:hideMark/>
          </w:tcPr>
          <w:p w14:paraId="1141F8F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1.21</w:t>
            </w:r>
          </w:p>
        </w:tc>
        <w:tc>
          <w:tcPr>
            <w:tcW w:w="1265" w:type="dxa"/>
            <w:tcBorders>
              <w:top w:val="nil"/>
              <w:left w:val="nil"/>
              <w:bottom w:val="nil"/>
              <w:right w:val="nil"/>
            </w:tcBorders>
            <w:shd w:val="clear" w:color="auto" w:fill="auto"/>
            <w:vAlign w:val="bottom"/>
            <w:hideMark/>
          </w:tcPr>
          <w:p w14:paraId="2AF7C45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1.20</w:t>
            </w:r>
          </w:p>
        </w:tc>
        <w:tc>
          <w:tcPr>
            <w:tcW w:w="1265" w:type="dxa"/>
            <w:tcBorders>
              <w:top w:val="nil"/>
              <w:left w:val="nil"/>
              <w:bottom w:val="nil"/>
              <w:right w:val="nil"/>
            </w:tcBorders>
            <w:shd w:val="clear" w:color="auto" w:fill="auto"/>
            <w:vAlign w:val="bottom"/>
            <w:hideMark/>
          </w:tcPr>
          <w:p w14:paraId="7E33029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0.57</w:t>
            </w:r>
          </w:p>
        </w:tc>
        <w:tc>
          <w:tcPr>
            <w:tcW w:w="1265" w:type="dxa"/>
            <w:tcBorders>
              <w:top w:val="nil"/>
              <w:left w:val="nil"/>
              <w:bottom w:val="nil"/>
              <w:right w:val="nil"/>
            </w:tcBorders>
            <w:shd w:val="clear" w:color="auto" w:fill="auto"/>
            <w:vAlign w:val="bottom"/>
            <w:hideMark/>
          </w:tcPr>
          <w:p w14:paraId="05F6FFF3"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0.76</w:t>
            </w:r>
          </w:p>
        </w:tc>
        <w:tc>
          <w:tcPr>
            <w:tcW w:w="1265" w:type="dxa"/>
            <w:tcBorders>
              <w:top w:val="nil"/>
              <w:left w:val="nil"/>
              <w:bottom w:val="nil"/>
              <w:right w:val="nil"/>
            </w:tcBorders>
            <w:shd w:val="clear" w:color="auto" w:fill="auto"/>
            <w:vAlign w:val="bottom"/>
            <w:hideMark/>
          </w:tcPr>
          <w:p w14:paraId="6FC5BD7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1.63</w:t>
            </w:r>
          </w:p>
        </w:tc>
        <w:tc>
          <w:tcPr>
            <w:tcW w:w="1265" w:type="dxa"/>
            <w:tcBorders>
              <w:top w:val="nil"/>
              <w:left w:val="nil"/>
              <w:bottom w:val="nil"/>
              <w:right w:val="nil"/>
            </w:tcBorders>
            <w:shd w:val="clear" w:color="auto" w:fill="auto"/>
            <w:vAlign w:val="bottom"/>
            <w:hideMark/>
          </w:tcPr>
          <w:p w14:paraId="1002037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1.85</w:t>
            </w:r>
          </w:p>
        </w:tc>
      </w:tr>
      <w:tr w:rsidR="00570E6C" w:rsidRPr="00EA7C95" w14:paraId="4837EC31" w14:textId="77777777" w:rsidTr="00F27795">
        <w:trPr>
          <w:cantSplit/>
        </w:trPr>
        <w:tc>
          <w:tcPr>
            <w:tcW w:w="1732" w:type="dxa"/>
            <w:tcBorders>
              <w:top w:val="nil"/>
              <w:left w:val="nil"/>
              <w:bottom w:val="nil"/>
              <w:right w:val="nil"/>
            </w:tcBorders>
            <w:shd w:val="clear" w:color="auto" w:fill="auto"/>
            <w:hideMark/>
          </w:tcPr>
          <w:p w14:paraId="5D9BBE3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F</w:t>
            </w:r>
            <w:r w:rsidRPr="00EA7C95">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3ADC22C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0.05</w:t>
            </w:r>
          </w:p>
        </w:tc>
        <w:tc>
          <w:tcPr>
            <w:tcW w:w="1265" w:type="dxa"/>
            <w:tcBorders>
              <w:top w:val="nil"/>
              <w:left w:val="nil"/>
              <w:bottom w:val="nil"/>
              <w:right w:val="nil"/>
            </w:tcBorders>
            <w:shd w:val="clear" w:color="auto" w:fill="auto"/>
            <w:vAlign w:val="bottom"/>
            <w:hideMark/>
          </w:tcPr>
          <w:p w14:paraId="2A30443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0.05</w:t>
            </w:r>
          </w:p>
        </w:tc>
        <w:tc>
          <w:tcPr>
            <w:tcW w:w="1265" w:type="dxa"/>
            <w:tcBorders>
              <w:top w:val="nil"/>
              <w:left w:val="nil"/>
              <w:bottom w:val="nil"/>
              <w:right w:val="nil"/>
            </w:tcBorders>
            <w:shd w:val="clear" w:color="auto" w:fill="auto"/>
            <w:vAlign w:val="bottom"/>
            <w:hideMark/>
          </w:tcPr>
          <w:p w14:paraId="18B5530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0.04</w:t>
            </w:r>
          </w:p>
        </w:tc>
        <w:tc>
          <w:tcPr>
            <w:tcW w:w="1265" w:type="dxa"/>
            <w:tcBorders>
              <w:top w:val="nil"/>
              <w:left w:val="nil"/>
              <w:bottom w:val="nil"/>
              <w:right w:val="nil"/>
            </w:tcBorders>
            <w:shd w:val="clear" w:color="auto" w:fill="auto"/>
            <w:vAlign w:val="bottom"/>
            <w:hideMark/>
          </w:tcPr>
          <w:p w14:paraId="7F3F596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0.04</w:t>
            </w:r>
          </w:p>
        </w:tc>
        <w:tc>
          <w:tcPr>
            <w:tcW w:w="1265" w:type="dxa"/>
            <w:tcBorders>
              <w:top w:val="nil"/>
              <w:left w:val="nil"/>
              <w:bottom w:val="nil"/>
              <w:right w:val="nil"/>
            </w:tcBorders>
            <w:shd w:val="clear" w:color="auto" w:fill="auto"/>
            <w:vAlign w:val="bottom"/>
            <w:hideMark/>
          </w:tcPr>
          <w:p w14:paraId="3C56D70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0.05</w:t>
            </w:r>
          </w:p>
        </w:tc>
        <w:tc>
          <w:tcPr>
            <w:tcW w:w="1265" w:type="dxa"/>
            <w:tcBorders>
              <w:top w:val="nil"/>
              <w:left w:val="nil"/>
              <w:bottom w:val="nil"/>
              <w:right w:val="nil"/>
            </w:tcBorders>
            <w:shd w:val="clear" w:color="auto" w:fill="auto"/>
            <w:vAlign w:val="bottom"/>
            <w:hideMark/>
          </w:tcPr>
          <w:p w14:paraId="6A833FE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0.06</w:t>
            </w:r>
          </w:p>
        </w:tc>
      </w:tr>
      <w:tr w:rsidR="00570E6C" w:rsidRPr="00EA7C95" w14:paraId="513ADE04" w14:textId="77777777" w:rsidTr="00F27795">
        <w:trPr>
          <w:cantSplit/>
        </w:trPr>
        <w:tc>
          <w:tcPr>
            <w:tcW w:w="1732" w:type="dxa"/>
            <w:tcBorders>
              <w:top w:val="nil"/>
              <w:left w:val="nil"/>
              <w:bottom w:val="nil"/>
              <w:right w:val="nil"/>
            </w:tcBorders>
            <w:shd w:val="clear" w:color="auto" w:fill="auto"/>
            <w:hideMark/>
          </w:tcPr>
          <w:p w14:paraId="246CFB21"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F</w:t>
            </w:r>
            <w:r w:rsidRPr="00EA7C95">
              <w:rPr>
                <w:rFonts w:ascii="Times New Roman" w:eastAsia="MS Mincho" w:hAnsi="Times New Roman" w:cs="Times New Roman"/>
                <w:i/>
                <w:vertAlign w:val="subscript"/>
                <w:lang w:val="en-AU"/>
              </w:rPr>
              <w:t>recent</w:t>
            </w:r>
            <w:r w:rsidRPr="00EA7C95">
              <w:rPr>
                <w:rFonts w:ascii="Times New Roman" w:eastAsia="MS Mincho" w:hAnsi="Times New Roman" w:cs="Times New Roman"/>
                <w:i/>
                <w:lang w:val="en-AU"/>
              </w:rPr>
              <w:t>/F</w:t>
            </w:r>
            <w:r w:rsidRPr="00EA7C95">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03EAE6F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0.89</w:t>
            </w:r>
          </w:p>
        </w:tc>
        <w:tc>
          <w:tcPr>
            <w:tcW w:w="1265" w:type="dxa"/>
            <w:tcBorders>
              <w:top w:val="nil"/>
              <w:left w:val="nil"/>
              <w:bottom w:val="nil"/>
              <w:right w:val="nil"/>
            </w:tcBorders>
            <w:shd w:val="clear" w:color="auto" w:fill="auto"/>
            <w:vAlign w:val="bottom"/>
            <w:hideMark/>
          </w:tcPr>
          <w:p w14:paraId="65ABAAF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0.83</w:t>
            </w:r>
          </w:p>
        </w:tc>
        <w:tc>
          <w:tcPr>
            <w:tcW w:w="1265" w:type="dxa"/>
            <w:tcBorders>
              <w:top w:val="nil"/>
              <w:left w:val="nil"/>
              <w:bottom w:val="nil"/>
              <w:right w:val="nil"/>
            </w:tcBorders>
            <w:shd w:val="clear" w:color="auto" w:fill="auto"/>
            <w:vAlign w:val="bottom"/>
            <w:hideMark/>
          </w:tcPr>
          <w:p w14:paraId="05CA644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0.54</w:t>
            </w:r>
          </w:p>
        </w:tc>
        <w:tc>
          <w:tcPr>
            <w:tcW w:w="1265" w:type="dxa"/>
            <w:tcBorders>
              <w:top w:val="nil"/>
              <w:left w:val="nil"/>
              <w:bottom w:val="nil"/>
              <w:right w:val="nil"/>
            </w:tcBorders>
            <w:shd w:val="clear" w:color="auto" w:fill="auto"/>
            <w:vAlign w:val="bottom"/>
            <w:hideMark/>
          </w:tcPr>
          <w:p w14:paraId="4076BC0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0.61</w:t>
            </w:r>
          </w:p>
        </w:tc>
        <w:tc>
          <w:tcPr>
            <w:tcW w:w="1265" w:type="dxa"/>
            <w:tcBorders>
              <w:top w:val="nil"/>
              <w:left w:val="nil"/>
              <w:bottom w:val="nil"/>
              <w:right w:val="nil"/>
            </w:tcBorders>
            <w:shd w:val="clear" w:color="auto" w:fill="auto"/>
            <w:vAlign w:val="bottom"/>
            <w:hideMark/>
          </w:tcPr>
          <w:p w14:paraId="261770F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1.32</w:t>
            </w:r>
          </w:p>
        </w:tc>
        <w:tc>
          <w:tcPr>
            <w:tcW w:w="1265" w:type="dxa"/>
            <w:tcBorders>
              <w:top w:val="nil"/>
              <w:left w:val="nil"/>
              <w:bottom w:val="nil"/>
              <w:right w:val="nil"/>
            </w:tcBorders>
            <w:shd w:val="clear" w:color="auto" w:fill="auto"/>
            <w:vAlign w:val="bottom"/>
            <w:hideMark/>
          </w:tcPr>
          <w:p w14:paraId="6C56991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1.76</w:t>
            </w:r>
          </w:p>
        </w:tc>
      </w:tr>
      <w:tr w:rsidR="00570E6C" w:rsidRPr="00EA7C95" w14:paraId="33E29E2E" w14:textId="77777777" w:rsidTr="00F27795">
        <w:trPr>
          <w:cantSplit/>
        </w:trPr>
        <w:tc>
          <w:tcPr>
            <w:tcW w:w="1732" w:type="dxa"/>
            <w:tcBorders>
              <w:top w:val="nil"/>
              <w:left w:val="nil"/>
              <w:bottom w:val="nil"/>
              <w:right w:val="nil"/>
            </w:tcBorders>
            <w:shd w:val="clear" w:color="auto" w:fill="auto"/>
            <w:hideMark/>
          </w:tcPr>
          <w:p w14:paraId="5A642C2C"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4FFF835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457,162</w:t>
            </w:r>
          </w:p>
        </w:tc>
        <w:tc>
          <w:tcPr>
            <w:tcW w:w="1265" w:type="dxa"/>
            <w:tcBorders>
              <w:top w:val="nil"/>
              <w:left w:val="nil"/>
              <w:bottom w:val="nil"/>
              <w:right w:val="nil"/>
            </w:tcBorders>
            <w:shd w:val="clear" w:color="auto" w:fill="auto"/>
            <w:vAlign w:val="bottom"/>
            <w:hideMark/>
          </w:tcPr>
          <w:p w14:paraId="185E043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454,100</w:t>
            </w:r>
          </w:p>
        </w:tc>
        <w:tc>
          <w:tcPr>
            <w:tcW w:w="1265" w:type="dxa"/>
            <w:tcBorders>
              <w:top w:val="nil"/>
              <w:left w:val="nil"/>
              <w:bottom w:val="nil"/>
              <w:right w:val="nil"/>
            </w:tcBorders>
            <w:shd w:val="clear" w:color="auto" w:fill="auto"/>
            <w:vAlign w:val="bottom"/>
            <w:hideMark/>
          </w:tcPr>
          <w:p w14:paraId="69D44529"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219,500</w:t>
            </w:r>
          </w:p>
        </w:tc>
        <w:tc>
          <w:tcPr>
            <w:tcW w:w="1265" w:type="dxa"/>
            <w:tcBorders>
              <w:top w:val="nil"/>
              <w:left w:val="nil"/>
              <w:bottom w:val="nil"/>
              <w:right w:val="nil"/>
            </w:tcBorders>
            <w:shd w:val="clear" w:color="auto" w:fill="auto"/>
            <w:vAlign w:val="bottom"/>
            <w:hideMark/>
          </w:tcPr>
          <w:p w14:paraId="0F6E22E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285,530</w:t>
            </w:r>
          </w:p>
        </w:tc>
        <w:tc>
          <w:tcPr>
            <w:tcW w:w="1265" w:type="dxa"/>
            <w:tcBorders>
              <w:top w:val="nil"/>
              <w:left w:val="nil"/>
              <w:bottom w:val="nil"/>
              <w:right w:val="nil"/>
            </w:tcBorders>
            <w:shd w:val="clear" w:color="auto" w:fill="auto"/>
            <w:vAlign w:val="bottom"/>
            <w:hideMark/>
          </w:tcPr>
          <w:p w14:paraId="0F3E4FD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598,210</w:t>
            </w:r>
          </w:p>
        </w:tc>
        <w:tc>
          <w:tcPr>
            <w:tcW w:w="1265" w:type="dxa"/>
            <w:tcBorders>
              <w:top w:val="nil"/>
              <w:left w:val="nil"/>
              <w:bottom w:val="nil"/>
              <w:right w:val="nil"/>
            </w:tcBorders>
            <w:shd w:val="clear" w:color="auto" w:fill="auto"/>
            <w:vAlign w:val="bottom"/>
            <w:hideMark/>
          </w:tcPr>
          <w:p w14:paraId="648A977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710,000</w:t>
            </w:r>
          </w:p>
        </w:tc>
      </w:tr>
      <w:tr w:rsidR="00570E6C" w:rsidRPr="00EA7C95" w14:paraId="3ADB9EBE" w14:textId="77777777" w:rsidTr="00F27795">
        <w:trPr>
          <w:cantSplit/>
        </w:trPr>
        <w:tc>
          <w:tcPr>
            <w:tcW w:w="1732" w:type="dxa"/>
            <w:tcBorders>
              <w:top w:val="nil"/>
              <w:left w:val="nil"/>
              <w:bottom w:val="nil"/>
              <w:right w:val="nil"/>
            </w:tcBorders>
            <w:shd w:val="clear" w:color="auto" w:fill="auto"/>
            <w:hideMark/>
          </w:tcPr>
          <w:p w14:paraId="17DB29A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4DD97E1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1,730,410</w:t>
            </w:r>
          </w:p>
        </w:tc>
        <w:tc>
          <w:tcPr>
            <w:tcW w:w="1265" w:type="dxa"/>
            <w:tcBorders>
              <w:top w:val="nil"/>
              <w:left w:val="nil"/>
              <w:bottom w:val="nil"/>
              <w:right w:val="nil"/>
            </w:tcBorders>
            <w:shd w:val="clear" w:color="auto" w:fill="auto"/>
            <w:vAlign w:val="bottom"/>
            <w:hideMark/>
          </w:tcPr>
          <w:p w14:paraId="2BC7792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1,763,000</w:t>
            </w:r>
          </w:p>
        </w:tc>
        <w:tc>
          <w:tcPr>
            <w:tcW w:w="1265" w:type="dxa"/>
            <w:tcBorders>
              <w:top w:val="nil"/>
              <w:left w:val="nil"/>
              <w:bottom w:val="nil"/>
              <w:right w:val="nil"/>
            </w:tcBorders>
            <w:shd w:val="clear" w:color="auto" w:fill="auto"/>
            <w:vAlign w:val="bottom"/>
            <w:hideMark/>
          </w:tcPr>
          <w:p w14:paraId="1E7F682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1,009,000</w:t>
            </w:r>
          </w:p>
        </w:tc>
        <w:tc>
          <w:tcPr>
            <w:tcW w:w="1265" w:type="dxa"/>
            <w:tcBorders>
              <w:top w:val="nil"/>
              <w:left w:val="nil"/>
              <w:bottom w:val="nil"/>
              <w:right w:val="nil"/>
            </w:tcBorders>
            <w:shd w:val="clear" w:color="auto" w:fill="auto"/>
            <w:vAlign w:val="bottom"/>
            <w:hideMark/>
          </w:tcPr>
          <w:p w14:paraId="18CB15E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1,279,300</w:t>
            </w:r>
          </w:p>
        </w:tc>
        <w:tc>
          <w:tcPr>
            <w:tcW w:w="1265" w:type="dxa"/>
            <w:tcBorders>
              <w:top w:val="nil"/>
              <w:left w:val="nil"/>
              <w:bottom w:val="nil"/>
              <w:right w:val="nil"/>
            </w:tcBorders>
            <w:shd w:val="clear" w:color="auto" w:fill="auto"/>
            <w:vAlign w:val="bottom"/>
            <w:hideMark/>
          </w:tcPr>
          <w:p w14:paraId="42141D2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2,148,200</w:t>
            </w:r>
          </w:p>
        </w:tc>
        <w:tc>
          <w:tcPr>
            <w:tcW w:w="1265" w:type="dxa"/>
            <w:tcBorders>
              <w:top w:val="nil"/>
              <w:left w:val="nil"/>
              <w:bottom w:val="nil"/>
              <w:right w:val="nil"/>
            </w:tcBorders>
            <w:shd w:val="clear" w:color="auto" w:fill="auto"/>
            <w:vAlign w:val="bottom"/>
            <w:hideMark/>
          </w:tcPr>
          <w:p w14:paraId="18B0348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2,509,000</w:t>
            </w:r>
          </w:p>
        </w:tc>
      </w:tr>
      <w:tr w:rsidR="00570E6C" w:rsidRPr="00EA7C95" w14:paraId="74671BC4" w14:textId="77777777" w:rsidTr="00F27795">
        <w:trPr>
          <w:cantSplit/>
        </w:trPr>
        <w:tc>
          <w:tcPr>
            <w:tcW w:w="1732" w:type="dxa"/>
            <w:tcBorders>
              <w:top w:val="nil"/>
              <w:left w:val="nil"/>
              <w:bottom w:val="nil"/>
              <w:right w:val="nil"/>
            </w:tcBorders>
            <w:shd w:val="clear" w:color="auto" w:fill="auto"/>
            <w:hideMark/>
          </w:tcPr>
          <w:p w14:paraId="1665C35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590435D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0.26</w:t>
            </w:r>
          </w:p>
        </w:tc>
        <w:tc>
          <w:tcPr>
            <w:tcW w:w="1265" w:type="dxa"/>
            <w:tcBorders>
              <w:top w:val="nil"/>
              <w:left w:val="nil"/>
              <w:bottom w:val="nil"/>
              <w:right w:val="nil"/>
            </w:tcBorders>
            <w:shd w:val="clear" w:color="auto" w:fill="auto"/>
            <w:vAlign w:val="bottom"/>
            <w:hideMark/>
          </w:tcPr>
          <w:p w14:paraId="1192C41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0.26</w:t>
            </w:r>
          </w:p>
        </w:tc>
        <w:tc>
          <w:tcPr>
            <w:tcW w:w="1265" w:type="dxa"/>
            <w:tcBorders>
              <w:top w:val="nil"/>
              <w:left w:val="nil"/>
              <w:bottom w:val="nil"/>
              <w:right w:val="nil"/>
            </w:tcBorders>
            <w:shd w:val="clear" w:color="auto" w:fill="auto"/>
            <w:vAlign w:val="bottom"/>
            <w:hideMark/>
          </w:tcPr>
          <w:p w14:paraId="46795C4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0.22</w:t>
            </w:r>
          </w:p>
        </w:tc>
        <w:tc>
          <w:tcPr>
            <w:tcW w:w="1265" w:type="dxa"/>
            <w:tcBorders>
              <w:top w:val="nil"/>
              <w:left w:val="nil"/>
              <w:bottom w:val="nil"/>
              <w:right w:val="nil"/>
            </w:tcBorders>
            <w:shd w:val="clear" w:color="auto" w:fill="auto"/>
            <w:vAlign w:val="bottom"/>
            <w:hideMark/>
          </w:tcPr>
          <w:p w14:paraId="38D6EDC9"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0.24</w:t>
            </w:r>
          </w:p>
        </w:tc>
        <w:tc>
          <w:tcPr>
            <w:tcW w:w="1265" w:type="dxa"/>
            <w:tcBorders>
              <w:top w:val="nil"/>
              <w:left w:val="nil"/>
              <w:bottom w:val="nil"/>
              <w:right w:val="nil"/>
            </w:tcBorders>
            <w:shd w:val="clear" w:color="auto" w:fill="auto"/>
            <w:vAlign w:val="bottom"/>
            <w:hideMark/>
          </w:tcPr>
          <w:p w14:paraId="286CFC81"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0.29</w:t>
            </w:r>
          </w:p>
        </w:tc>
        <w:tc>
          <w:tcPr>
            <w:tcW w:w="1265" w:type="dxa"/>
            <w:tcBorders>
              <w:top w:val="nil"/>
              <w:left w:val="nil"/>
              <w:bottom w:val="nil"/>
              <w:right w:val="nil"/>
            </w:tcBorders>
            <w:shd w:val="clear" w:color="auto" w:fill="auto"/>
            <w:vAlign w:val="bottom"/>
            <w:hideMark/>
          </w:tcPr>
          <w:p w14:paraId="781FBB73"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0.29</w:t>
            </w:r>
          </w:p>
        </w:tc>
      </w:tr>
      <w:tr w:rsidR="00570E6C" w:rsidRPr="00EA7C95" w14:paraId="3C22AA29" w14:textId="77777777" w:rsidTr="00F27795">
        <w:trPr>
          <w:cantSplit/>
        </w:trPr>
        <w:tc>
          <w:tcPr>
            <w:tcW w:w="1732" w:type="dxa"/>
            <w:tcBorders>
              <w:top w:val="nil"/>
              <w:left w:val="nil"/>
              <w:bottom w:val="nil"/>
              <w:right w:val="nil"/>
            </w:tcBorders>
            <w:shd w:val="clear" w:color="auto" w:fill="auto"/>
            <w:hideMark/>
          </w:tcPr>
          <w:p w14:paraId="32A12B1C"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algun Gothic" w:hAnsi="Times New Roman" w:cs="Times New Roman"/>
                <w:i/>
                <w:lang w:val="en-NZ"/>
              </w:rPr>
              <w:t>SB</w:t>
            </w:r>
            <w:r w:rsidRPr="00EA7C95">
              <w:rPr>
                <w:rFonts w:ascii="Times New Roman" w:eastAsia="Malgun Gothic" w:hAnsi="Times New Roman" w:cs="Times New Roman"/>
                <w:vertAlign w:val="subscript"/>
                <w:lang w:val="en-NZ"/>
              </w:rPr>
              <w:t>F=0</w:t>
            </w:r>
          </w:p>
        </w:tc>
        <w:tc>
          <w:tcPr>
            <w:tcW w:w="1264" w:type="dxa"/>
            <w:tcBorders>
              <w:top w:val="nil"/>
              <w:left w:val="nil"/>
              <w:bottom w:val="nil"/>
              <w:right w:val="nil"/>
            </w:tcBorders>
            <w:shd w:val="clear" w:color="auto" w:fill="auto"/>
            <w:vAlign w:val="bottom"/>
            <w:hideMark/>
          </w:tcPr>
          <w:p w14:paraId="6BFFA33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1,915,184</w:t>
            </w:r>
          </w:p>
        </w:tc>
        <w:tc>
          <w:tcPr>
            <w:tcW w:w="1265" w:type="dxa"/>
            <w:tcBorders>
              <w:top w:val="nil"/>
              <w:left w:val="nil"/>
              <w:bottom w:val="nil"/>
              <w:right w:val="nil"/>
            </w:tcBorders>
            <w:shd w:val="clear" w:color="auto" w:fill="auto"/>
            <w:vAlign w:val="bottom"/>
            <w:hideMark/>
          </w:tcPr>
          <w:p w14:paraId="4925713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1,953,841</w:t>
            </w:r>
          </w:p>
        </w:tc>
        <w:tc>
          <w:tcPr>
            <w:tcW w:w="1265" w:type="dxa"/>
            <w:tcBorders>
              <w:top w:val="nil"/>
              <w:left w:val="nil"/>
              <w:bottom w:val="nil"/>
              <w:right w:val="nil"/>
            </w:tcBorders>
            <w:shd w:val="clear" w:color="auto" w:fill="auto"/>
            <w:vAlign w:val="bottom"/>
            <w:hideMark/>
          </w:tcPr>
          <w:p w14:paraId="3C7504C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1,317,336</w:t>
            </w:r>
          </w:p>
        </w:tc>
        <w:tc>
          <w:tcPr>
            <w:tcW w:w="1265" w:type="dxa"/>
            <w:tcBorders>
              <w:top w:val="nil"/>
              <w:left w:val="nil"/>
              <w:bottom w:val="nil"/>
              <w:right w:val="nil"/>
            </w:tcBorders>
            <w:shd w:val="clear" w:color="auto" w:fill="auto"/>
            <w:vAlign w:val="bottom"/>
            <w:hideMark/>
          </w:tcPr>
          <w:p w14:paraId="7044154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1,584,593</w:t>
            </w:r>
          </w:p>
        </w:tc>
        <w:tc>
          <w:tcPr>
            <w:tcW w:w="1265" w:type="dxa"/>
            <w:tcBorders>
              <w:top w:val="nil"/>
              <w:left w:val="nil"/>
              <w:bottom w:val="nil"/>
              <w:right w:val="nil"/>
            </w:tcBorders>
            <w:shd w:val="clear" w:color="auto" w:fill="auto"/>
            <w:vAlign w:val="bottom"/>
            <w:hideMark/>
          </w:tcPr>
          <w:p w14:paraId="7EF2768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2,170,899</w:t>
            </w:r>
          </w:p>
        </w:tc>
        <w:tc>
          <w:tcPr>
            <w:tcW w:w="1265" w:type="dxa"/>
            <w:tcBorders>
              <w:top w:val="nil"/>
              <w:left w:val="nil"/>
              <w:bottom w:val="nil"/>
              <w:right w:val="nil"/>
            </w:tcBorders>
            <w:shd w:val="clear" w:color="auto" w:fill="auto"/>
            <w:vAlign w:val="bottom"/>
            <w:hideMark/>
          </w:tcPr>
          <w:p w14:paraId="36BAECF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2,460,411</w:t>
            </w:r>
          </w:p>
        </w:tc>
      </w:tr>
      <w:tr w:rsidR="00570E6C" w:rsidRPr="00EA7C95" w14:paraId="62AB2DBE" w14:textId="77777777" w:rsidTr="00F27795">
        <w:trPr>
          <w:cantSplit/>
        </w:trPr>
        <w:tc>
          <w:tcPr>
            <w:tcW w:w="1732" w:type="dxa"/>
            <w:tcBorders>
              <w:top w:val="nil"/>
              <w:left w:val="nil"/>
              <w:bottom w:val="nil"/>
              <w:right w:val="nil"/>
            </w:tcBorders>
            <w:shd w:val="clear" w:color="auto" w:fill="auto"/>
            <w:hideMark/>
          </w:tcPr>
          <w:p w14:paraId="18E6B13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algun Gothic" w:hAnsi="Times New Roman" w:cs="Times New Roman"/>
                <w:vertAlign w:val="subscript"/>
                <w:lang w:val="en-AU"/>
              </w:rPr>
              <w:t>MSY</w:t>
            </w: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6529B8B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0.24</w:t>
            </w:r>
          </w:p>
        </w:tc>
        <w:tc>
          <w:tcPr>
            <w:tcW w:w="1265" w:type="dxa"/>
            <w:tcBorders>
              <w:top w:val="nil"/>
              <w:left w:val="nil"/>
              <w:bottom w:val="nil"/>
              <w:right w:val="nil"/>
            </w:tcBorders>
            <w:shd w:val="clear" w:color="auto" w:fill="auto"/>
            <w:vAlign w:val="bottom"/>
            <w:hideMark/>
          </w:tcPr>
          <w:p w14:paraId="0CA10D1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0.24</w:t>
            </w:r>
          </w:p>
        </w:tc>
        <w:tc>
          <w:tcPr>
            <w:tcW w:w="1265" w:type="dxa"/>
            <w:tcBorders>
              <w:top w:val="nil"/>
              <w:left w:val="nil"/>
              <w:bottom w:val="nil"/>
              <w:right w:val="nil"/>
            </w:tcBorders>
            <w:shd w:val="clear" w:color="auto" w:fill="auto"/>
            <w:vAlign w:val="bottom"/>
            <w:hideMark/>
          </w:tcPr>
          <w:p w14:paraId="1981054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0.17</w:t>
            </w:r>
          </w:p>
        </w:tc>
        <w:tc>
          <w:tcPr>
            <w:tcW w:w="1265" w:type="dxa"/>
            <w:tcBorders>
              <w:top w:val="nil"/>
              <w:left w:val="nil"/>
              <w:bottom w:val="nil"/>
              <w:right w:val="nil"/>
            </w:tcBorders>
            <w:shd w:val="clear" w:color="auto" w:fill="auto"/>
            <w:vAlign w:val="bottom"/>
            <w:hideMark/>
          </w:tcPr>
          <w:p w14:paraId="05B526CE"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0.18</w:t>
            </w:r>
          </w:p>
        </w:tc>
        <w:tc>
          <w:tcPr>
            <w:tcW w:w="1265" w:type="dxa"/>
            <w:tcBorders>
              <w:top w:val="nil"/>
              <w:left w:val="nil"/>
              <w:bottom w:val="nil"/>
              <w:right w:val="nil"/>
            </w:tcBorders>
            <w:shd w:val="clear" w:color="auto" w:fill="auto"/>
            <w:vAlign w:val="bottom"/>
            <w:hideMark/>
          </w:tcPr>
          <w:p w14:paraId="119E596C"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0.27</w:t>
            </w:r>
          </w:p>
        </w:tc>
        <w:tc>
          <w:tcPr>
            <w:tcW w:w="1265" w:type="dxa"/>
            <w:tcBorders>
              <w:top w:val="nil"/>
              <w:left w:val="nil"/>
              <w:bottom w:val="nil"/>
              <w:right w:val="nil"/>
            </w:tcBorders>
            <w:shd w:val="clear" w:color="auto" w:fill="auto"/>
            <w:vAlign w:val="bottom"/>
            <w:hideMark/>
          </w:tcPr>
          <w:p w14:paraId="02D93AA3"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0.29</w:t>
            </w:r>
          </w:p>
        </w:tc>
      </w:tr>
      <w:tr w:rsidR="00570E6C" w:rsidRPr="00EA7C95" w14:paraId="4EF32E81" w14:textId="77777777" w:rsidTr="00F27795">
        <w:trPr>
          <w:cantSplit/>
        </w:trPr>
        <w:tc>
          <w:tcPr>
            <w:tcW w:w="1732" w:type="dxa"/>
            <w:tcBorders>
              <w:top w:val="nil"/>
              <w:left w:val="nil"/>
              <w:bottom w:val="nil"/>
              <w:right w:val="nil"/>
            </w:tcBorders>
            <w:shd w:val="clear" w:color="auto" w:fill="auto"/>
            <w:hideMark/>
          </w:tcPr>
          <w:p w14:paraId="5C06CA8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latest</w:t>
            </w:r>
            <w:r w:rsidRPr="00EA7C95" w:rsidDel="00300F08">
              <w:rPr>
                <w:rFonts w:ascii="Times New Roman" w:eastAsia="MS Mincho" w:hAnsi="Times New Roman" w:cs="Times New Roman"/>
                <w:i/>
                <w:lang w:val="en-AU"/>
              </w:rPr>
              <w:t xml:space="preserve"> </w:t>
            </w: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0B93D112"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0.37</w:t>
            </w:r>
          </w:p>
        </w:tc>
        <w:tc>
          <w:tcPr>
            <w:tcW w:w="1265" w:type="dxa"/>
            <w:tcBorders>
              <w:top w:val="nil"/>
              <w:left w:val="nil"/>
              <w:bottom w:val="nil"/>
              <w:right w:val="nil"/>
            </w:tcBorders>
            <w:shd w:val="clear" w:color="auto" w:fill="auto"/>
            <w:vAlign w:val="bottom"/>
            <w:hideMark/>
          </w:tcPr>
          <w:p w14:paraId="40C84BF9"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0.40</w:t>
            </w:r>
          </w:p>
        </w:tc>
        <w:tc>
          <w:tcPr>
            <w:tcW w:w="1265" w:type="dxa"/>
            <w:tcBorders>
              <w:top w:val="nil"/>
              <w:left w:val="nil"/>
              <w:bottom w:val="nil"/>
              <w:right w:val="nil"/>
            </w:tcBorders>
            <w:shd w:val="clear" w:color="auto" w:fill="auto"/>
            <w:vAlign w:val="bottom"/>
            <w:hideMark/>
          </w:tcPr>
          <w:p w14:paraId="5F175E4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0.11</w:t>
            </w:r>
          </w:p>
        </w:tc>
        <w:tc>
          <w:tcPr>
            <w:tcW w:w="1265" w:type="dxa"/>
            <w:tcBorders>
              <w:top w:val="nil"/>
              <w:left w:val="nil"/>
              <w:bottom w:val="nil"/>
              <w:right w:val="nil"/>
            </w:tcBorders>
            <w:shd w:val="clear" w:color="auto" w:fill="auto"/>
            <w:vAlign w:val="bottom"/>
            <w:hideMark/>
          </w:tcPr>
          <w:p w14:paraId="1E88CD4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0.19</w:t>
            </w:r>
          </w:p>
        </w:tc>
        <w:tc>
          <w:tcPr>
            <w:tcW w:w="1265" w:type="dxa"/>
            <w:tcBorders>
              <w:top w:val="nil"/>
              <w:left w:val="nil"/>
              <w:bottom w:val="nil"/>
              <w:right w:val="nil"/>
            </w:tcBorders>
            <w:shd w:val="clear" w:color="auto" w:fill="auto"/>
            <w:vAlign w:val="bottom"/>
            <w:hideMark/>
          </w:tcPr>
          <w:p w14:paraId="0138879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0.49</w:t>
            </w:r>
          </w:p>
        </w:tc>
        <w:tc>
          <w:tcPr>
            <w:tcW w:w="1265" w:type="dxa"/>
            <w:tcBorders>
              <w:top w:val="nil"/>
              <w:left w:val="nil"/>
              <w:bottom w:val="nil"/>
              <w:right w:val="nil"/>
            </w:tcBorders>
            <w:shd w:val="clear" w:color="auto" w:fill="auto"/>
            <w:vAlign w:val="bottom"/>
            <w:hideMark/>
          </w:tcPr>
          <w:p w14:paraId="70B79C4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0.53</w:t>
            </w:r>
          </w:p>
        </w:tc>
      </w:tr>
      <w:tr w:rsidR="00570E6C" w:rsidRPr="00EA7C95" w14:paraId="3507A2CE" w14:textId="77777777" w:rsidTr="00F27795">
        <w:trPr>
          <w:cantSplit/>
        </w:trPr>
        <w:tc>
          <w:tcPr>
            <w:tcW w:w="1732" w:type="dxa"/>
            <w:tcBorders>
              <w:top w:val="nil"/>
              <w:left w:val="nil"/>
              <w:bottom w:val="nil"/>
              <w:right w:val="nil"/>
            </w:tcBorders>
            <w:shd w:val="clear" w:color="auto" w:fill="auto"/>
            <w:hideMark/>
          </w:tcPr>
          <w:p w14:paraId="624BE0A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latest</w:t>
            </w:r>
            <w:r w:rsidRPr="00EA7C95" w:rsidDel="00300F08">
              <w:rPr>
                <w:rFonts w:ascii="Times New Roman" w:eastAsia="MS Mincho" w:hAnsi="Times New Roman" w:cs="Times New Roman"/>
                <w:i/>
                <w:lang w:val="en-AU"/>
              </w:rPr>
              <w:t xml:space="preserve"> </w:t>
            </w: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13F6660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0.34</w:t>
            </w:r>
          </w:p>
        </w:tc>
        <w:tc>
          <w:tcPr>
            <w:tcW w:w="1265" w:type="dxa"/>
            <w:tcBorders>
              <w:top w:val="nil"/>
              <w:left w:val="nil"/>
              <w:bottom w:val="nil"/>
              <w:right w:val="nil"/>
            </w:tcBorders>
            <w:shd w:val="clear" w:color="auto" w:fill="auto"/>
            <w:vAlign w:val="bottom"/>
            <w:hideMark/>
          </w:tcPr>
          <w:p w14:paraId="6EB5AC1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0.37</w:t>
            </w:r>
          </w:p>
        </w:tc>
        <w:tc>
          <w:tcPr>
            <w:tcW w:w="1265" w:type="dxa"/>
            <w:tcBorders>
              <w:top w:val="nil"/>
              <w:left w:val="nil"/>
              <w:bottom w:val="nil"/>
              <w:right w:val="nil"/>
            </w:tcBorders>
            <w:shd w:val="clear" w:color="auto" w:fill="auto"/>
            <w:vAlign w:val="bottom"/>
            <w:hideMark/>
          </w:tcPr>
          <w:p w14:paraId="4A98682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0.08</w:t>
            </w:r>
          </w:p>
        </w:tc>
        <w:tc>
          <w:tcPr>
            <w:tcW w:w="1265" w:type="dxa"/>
            <w:tcBorders>
              <w:top w:val="nil"/>
              <w:left w:val="nil"/>
              <w:bottom w:val="nil"/>
              <w:right w:val="nil"/>
            </w:tcBorders>
            <w:shd w:val="clear" w:color="auto" w:fill="auto"/>
            <w:vAlign w:val="bottom"/>
            <w:hideMark/>
          </w:tcPr>
          <w:p w14:paraId="53E103E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0.15</w:t>
            </w:r>
          </w:p>
        </w:tc>
        <w:tc>
          <w:tcPr>
            <w:tcW w:w="1265" w:type="dxa"/>
            <w:tcBorders>
              <w:top w:val="nil"/>
              <w:left w:val="nil"/>
              <w:bottom w:val="nil"/>
              <w:right w:val="nil"/>
            </w:tcBorders>
            <w:shd w:val="clear" w:color="auto" w:fill="auto"/>
            <w:vAlign w:val="bottom"/>
            <w:hideMark/>
          </w:tcPr>
          <w:p w14:paraId="7A5E827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0.46</w:t>
            </w:r>
          </w:p>
        </w:tc>
        <w:tc>
          <w:tcPr>
            <w:tcW w:w="1265" w:type="dxa"/>
            <w:tcBorders>
              <w:top w:val="nil"/>
              <w:left w:val="nil"/>
              <w:bottom w:val="nil"/>
              <w:right w:val="nil"/>
            </w:tcBorders>
            <w:shd w:val="clear" w:color="auto" w:fill="auto"/>
            <w:vAlign w:val="bottom"/>
            <w:hideMark/>
          </w:tcPr>
          <w:p w14:paraId="16BEE94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0.49</w:t>
            </w:r>
          </w:p>
        </w:tc>
      </w:tr>
      <w:tr w:rsidR="00570E6C" w:rsidRPr="00EA7C95" w14:paraId="2DB7249B" w14:textId="77777777" w:rsidTr="00F27795">
        <w:trPr>
          <w:cantSplit/>
        </w:trPr>
        <w:tc>
          <w:tcPr>
            <w:tcW w:w="1732" w:type="dxa"/>
            <w:tcBorders>
              <w:top w:val="nil"/>
              <w:left w:val="nil"/>
              <w:bottom w:val="nil"/>
              <w:right w:val="nil"/>
            </w:tcBorders>
            <w:shd w:val="clear" w:color="auto" w:fill="auto"/>
            <w:hideMark/>
          </w:tcPr>
          <w:p w14:paraId="00FD8F2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NZ"/>
              </w:rPr>
              <w:t>SB</w:t>
            </w:r>
            <w:r w:rsidRPr="00EA7C95">
              <w:rPr>
                <w:rFonts w:ascii="Times New Roman" w:eastAsia="MS Mincho" w:hAnsi="Times New Roman" w:cs="Times New Roman"/>
                <w:i/>
                <w:vertAlign w:val="subscript"/>
                <w:lang w:val="en-NZ"/>
              </w:rPr>
              <w:t>latest</w:t>
            </w:r>
            <w:r w:rsidRPr="00EA7C95" w:rsidDel="00300F08">
              <w:rPr>
                <w:rFonts w:ascii="Times New Roman" w:eastAsia="MS Mincho" w:hAnsi="Times New Roman" w:cs="Times New Roman"/>
                <w:i/>
                <w:lang w:val="en-AU"/>
              </w:rPr>
              <w:t xml:space="preserve"> </w:t>
            </w:r>
            <w:r w:rsidRPr="00EA7C95">
              <w:rPr>
                <w:rFonts w:ascii="Times New Roman" w:eastAsia="MS Mincho" w:hAnsi="Times New Roman" w:cs="Times New Roman"/>
                <w:i/>
                <w:lang w:val="en-AU"/>
              </w:rPr>
              <w:t>/SB</w:t>
            </w:r>
            <w:r w:rsidRPr="00EA7C95">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1A69AE9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1.42</w:t>
            </w:r>
          </w:p>
        </w:tc>
        <w:tc>
          <w:tcPr>
            <w:tcW w:w="1265" w:type="dxa"/>
            <w:tcBorders>
              <w:top w:val="nil"/>
              <w:left w:val="nil"/>
              <w:bottom w:val="nil"/>
              <w:right w:val="nil"/>
            </w:tcBorders>
            <w:shd w:val="clear" w:color="auto" w:fill="auto"/>
            <w:vAlign w:val="bottom"/>
            <w:hideMark/>
          </w:tcPr>
          <w:p w14:paraId="635BFED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1.45</w:t>
            </w:r>
          </w:p>
        </w:tc>
        <w:tc>
          <w:tcPr>
            <w:tcW w:w="1265" w:type="dxa"/>
            <w:tcBorders>
              <w:top w:val="nil"/>
              <w:left w:val="nil"/>
              <w:bottom w:val="nil"/>
              <w:right w:val="nil"/>
            </w:tcBorders>
            <w:shd w:val="clear" w:color="auto" w:fill="auto"/>
            <w:vAlign w:val="bottom"/>
            <w:hideMark/>
          </w:tcPr>
          <w:p w14:paraId="5B4C92F3"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0.42</w:t>
            </w:r>
          </w:p>
        </w:tc>
        <w:tc>
          <w:tcPr>
            <w:tcW w:w="1265" w:type="dxa"/>
            <w:tcBorders>
              <w:top w:val="nil"/>
              <w:left w:val="nil"/>
              <w:bottom w:val="nil"/>
              <w:right w:val="nil"/>
            </w:tcBorders>
            <w:shd w:val="clear" w:color="auto" w:fill="auto"/>
            <w:vAlign w:val="bottom"/>
            <w:hideMark/>
          </w:tcPr>
          <w:p w14:paraId="23AE5AC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0.86</w:t>
            </w:r>
          </w:p>
        </w:tc>
        <w:tc>
          <w:tcPr>
            <w:tcW w:w="1265" w:type="dxa"/>
            <w:tcBorders>
              <w:top w:val="nil"/>
              <w:left w:val="nil"/>
              <w:bottom w:val="nil"/>
              <w:right w:val="nil"/>
            </w:tcBorders>
            <w:shd w:val="clear" w:color="auto" w:fill="auto"/>
            <w:vAlign w:val="bottom"/>
            <w:hideMark/>
          </w:tcPr>
          <w:p w14:paraId="72DD70B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1.97</w:t>
            </w:r>
          </w:p>
        </w:tc>
        <w:tc>
          <w:tcPr>
            <w:tcW w:w="1265" w:type="dxa"/>
            <w:tcBorders>
              <w:top w:val="nil"/>
              <w:left w:val="nil"/>
              <w:bottom w:val="nil"/>
              <w:right w:val="nil"/>
            </w:tcBorders>
            <w:shd w:val="clear" w:color="auto" w:fill="auto"/>
            <w:vAlign w:val="bottom"/>
            <w:hideMark/>
          </w:tcPr>
          <w:p w14:paraId="3439EFF4"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2.12</w:t>
            </w:r>
          </w:p>
        </w:tc>
      </w:tr>
      <w:tr w:rsidR="00570E6C" w:rsidRPr="00EA7C95" w14:paraId="767131E6" w14:textId="77777777" w:rsidTr="00F27795">
        <w:trPr>
          <w:cantSplit/>
        </w:trPr>
        <w:tc>
          <w:tcPr>
            <w:tcW w:w="1732" w:type="dxa"/>
            <w:tcBorders>
              <w:top w:val="nil"/>
              <w:left w:val="nil"/>
              <w:bottom w:val="nil"/>
              <w:right w:val="nil"/>
            </w:tcBorders>
            <w:shd w:val="clear" w:color="auto" w:fill="auto"/>
            <w:hideMark/>
          </w:tcPr>
          <w:p w14:paraId="6604144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recent</w:t>
            </w: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458B4DB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0.30</w:t>
            </w:r>
          </w:p>
        </w:tc>
        <w:tc>
          <w:tcPr>
            <w:tcW w:w="1265" w:type="dxa"/>
            <w:tcBorders>
              <w:top w:val="nil"/>
              <w:left w:val="nil"/>
              <w:bottom w:val="nil"/>
              <w:right w:val="nil"/>
            </w:tcBorders>
            <w:shd w:val="clear" w:color="auto" w:fill="auto"/>
            <w:vAlign w:val="bottom"/>
            <w:hideMark/>
          </w:tcPr>
          <w:p w14:paraId="0C3283B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0.32</w:t>
            </w:r>
          </w:p>
        </w:tc>
        <w:tc>
          <w:tcPr>
            <w:tcW w:w="1265" w:type="dxa"/>
            <w:tcBorders>
              <w:top w:val="nil"/>
              <w:left w:val="nil"/>
              <w:bottom w:val="nil"/>
              <w:right w:val="nil"/>
            </w:tcBorders>
            <w:shd w:val="clear" w:color="auto" w:fill="auto"/>
            <w:vAlign w:val="bottom"/>
            <w:hideMark/>
          </w:tcPr>
          <w:p w14:paraId="08F2AE9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0.08</w:t>
            </w:r>
          </w:p>
        </w:tc>
        <w:tc>
          <w:tcPr>
            <w:tcW w:w="1265" w:type="dxa"/>
            <w:tcBorders>
              <w:top w:val="nil"/>
              <w:left w:val="nil"/>
              <w:bottom w:val="nil"/>
              <w:right w:val="nil"/>
            </w:tcBorders>
            <w:shd w:val="clear" w:color="auto" w:fill="auto"/>
            <w:vAlign w:val="bottom"/>
            <w:hideMark/>
          </w:tcPr>
          <w:p w14:paraId="61216EF0"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0.15</w:t>
            </w:r>
          </w:p>
        </w:tc>
        <w:tc>
          <w:tcPr>
            <w:tcW w:w="1265" w:type="dxa"/>
            <w:tcBorders>
              <w:top w:val="nil"/>
              <w:left w:val="nil"/>
              <w:bottom w:val="nil"/>
              <w:right w:val="nil"/>
            </w:tcBorders>
            <w:shd w:val="clear" w:color="auto" w:fill="auto"/>
            <w:vAlign w:val="bottom"/>
            <w:hideMark/>
          </w:tcPr>
          <w:p w14:paraId="5AA9C5FA"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0.41</w:t>
            </w:r>
          </w:p>
        </w:tc>
        <w:tc>
          <w:tcPr>
            <w:tcW w:w="1265" w:type="dxa"/>
            <w:tcBorders>
              <w:top w:val="nil"/>
              <w:left w:val="nil"/>
              <w:bottom w:val="nil"/>
              <w:right w:val="nil"/>
            </w:tcBorders>
            <w:shd w:val="clear" w:color="auto" w:fill="auto"/>
            <w:vAlign w:val="bottom"/>
            <w:hideMark/>
          </w:tcPr>
          <w:p w14:paraId="3E1CEB07"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0.44</w:t>
            </w:r>
          </w:p>
        </w:tc>
      </w:tr>
      <w:tr w:rsidR="00570E6C" w:rsidRPr="00EA7C95" w14:paraId="7B1A76E9" w14:textId="77777777" w:rsidTr="00F27795">
        <w:trPr>
          <w:cantSplit/>
        </w:trPr>
        <w:tc>
          <w:tcPr>
            <w:tcW w:w="1732" w:type="dxa"/>
            <w:tcBorders>
              <w:top w:val="nil"/>
              <w:left w:val="nil"/>
              <w:bottom w:val="single" w:sz="4" w:space="0" w:color="auto"/>
              <w:right w:val="nil"/>
            </w:tcBorders>
            <w:shd w:val="clear" w:color="auto" w:fill="auto"/>
            <w:hideMark/>
          </w:tcPr>
          <w:p w14:paraId="6F9433E5"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i/>
                <w:lang w:val="en-AU"/>
              </w:rPr>
            </w:pPr>
            <w:r w:rsidRPr="00EA7C95">
              <w:rPr>
                <w:rFonts w:ascii="Times New Roman" w:eastAsia="MS Mincho" w:hAnsi="Times New Roman" w:cs="Times New Roman"/>
                <w:i/>
                <w:lang w:val="en-AU"/>
              </w:rPr>
              <w:t>SB</w:t>
            </w:r>
            <w:r w:rsidRPr="00EA7C95">
              <w:rPr>
                <w:rFonts w:ascii="Times New Roman" w:eastAsia="MS Mincho" w:hAnsi="Times New Roman" w:cs="Times New Roman"/>
                <w:i/>
                <w:vertAlign w:val="subscript"/>
                <w:lang w:val="en-AU"/>
              </w:rPr>
              <w:t>recent</w:t>
            </w:r>
            <w:r w:rsidRPr="00EA7C95">
              <w:rPr>
                <w:rFonts w:ascii="Times New Roman" w:eastAsia="MS Mincho" w:hAnsi="Times New Roman" w:cs="Times New Roman"/>
                <w:i/>
                <w:lang w:val="en-AU"/>
              </w:rPr>
              <w:t>/SB</w:t>
            </w:r>
            <w:r w:rsidRPr="00EA7C95">
              <w:rPr>
                <w:rFonts w:ascii="Times New Roman" w:eastAsia="Malgun Gothic" w:hAnsi="Times New Roman" w:cs="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2397D566"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1.21</w:t>
            </w:r>
          </w:p>
        </w:tc>
        <w:tc>
          <w:tcPr>
            <w:tcW w:w="1265" w:type="dxa"/>
            <w:tcBorders>
              <w:top w:val="nil"/>
              <w:left w:val="nil"/>
              <w:bottom w:val="single" w:sz="4" w:space="0" w:color="auto"/>
              <w:right w:val="nil"/>
            </w:tcBorders>
            <w:shd w:val="clear" w:color="auto" w:fill="auto"/>
            <w:vAlign w:val="bottom"/>
            <w:hideMark/>
          </w:tcPr>
          <w:p w14:paraId="12E2719D"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1.23</w:t>
            </w:r>
          </w:p>
        </w:tc>
        <w:tc>
          <w:tcPr>
            <w:tcW w:w="1265" w:type="dxa"/>
            <w:tcBorders>
              <w:top w:val="nil"/>
              <w:left w:val="nil"/>
              <w:bottom w:val="single" w:sz="4" w:space="0" w:color="auto"/>
              <w:right w:val="nil"/>
            </w:tcBorders>
            <w:shd w:val="clear" w:color="auto" w:fill="auto"/>
            <w:vAlign w:val="bottom"/>
            <w:hideMark/>
          </w:tcPr>
          <w:p w14:paraId="142D596C"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0.32</w:t>
            </w:r>
          </w:p>
        </w:tc>
        <w:tc>
          <w:tcPr>
            <w:tcW w:w="1265" w:type="dxa"/>
            <w:tcBorders>
              <w:top w:val="nil"/>
              <w:left w:val="nil"/>
              <w:bottom w:val="single" w:sz="4" w:space="0" w:color="auto"/>
              <w:right w:val="nil"/>
            </w:tcBorders>
            <w:shd w:val="clear" w:color="auto" w:fill="auto"/>
            <w:vAlign w:val="bottom"/>
            <w:hideMark/>
          </w:tcPr>
          <w:p w14:paraId="2ACC3F5B"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0.63</w:t>
            </w:r>
          </w:p>
        </w:tc>
        <w:tc>
          <w:tcPr>
            <w:tcW w:w="1265" w:type="dxa"/>
            <w:tcBorders>
              <w:top w:val="nil"/>
              <w:left w:val="nil"/>
              <w:bottom w:val="single" w:sz="4" w:space="0" w:color="auto"/>
              <w:right w:val="nil"/>
            </w:tcBorders>
            <w:shd w:val="clear" w:color="auto" w:fill="auto"/>
            <w:vAlign w:val="bottom"/>
            <w:hideMark/>
          </w:tcPr>
          <w:p w14:paraId="78A74598"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1.66</w:t>
            </w:r>
          </w:p>
        </w:tc>
        <w:tc>
          <w:tcPr>
            <w:tcW w:w="1265" w:type="dxa"/>
            <w:tcBorders>
              <w:top w:val="nil"/>
              <w:left w:val="nil"/>
              <w:bottom w:val="single" w:sz="4" w:space="0" w:color="auto"/>
              <w:right w:val="nil"/>
            </w:tcBorders>
            <w:shd w:val="clear" w:color="auto" w:fill="auto"/>
            <w:vAlign w:val="bottom"/>
            <w:hideMark/>
          </w:tcPr>
          <w:p w14:paraId="4425D99F" w14:textId="77777777" w:rsidR="00570E6C" w:rsidRPr="00EA7C95" w:rsidRDefault="00570E6C" w:rsidP="00586C11">
            <w:pPr>
              <w:adjustRightInd w:val="0"/>
              <w:snapToGrid w:val="0"/>
              <w:spacing w:after="0" w:line="240" w:lineRule="auto"/>
              <w:jc w:val="both"/>
              <w:rPr>
                <w:rFonts w:ascii="Times New Roman" w:eastAsia="MS Mincho" w:hAnsi="Times New Roman" w:cs="Times New Roman"/>
                <w:lang w:val="en-AU"/>
              </w:rPr>
            </w:pPr>
            <w:r w:rsidRPr="00EA7C95">
              <w:rPr>
                <w:rFonts w:ascii="Times New Roman" w:eastAsia="MS Mincho" w:hAnsi="Times New Roman" w:cs="Times New Roman"/>
                <w:lang w:val="en-AU"/>
              </w:rPr>
              <w:t>1.86</w:t>
            </w:r>
          </w:p>
        </w:tc>
      </w:tr>
    </w:tbl>
    <w:p w14:paraId="4150B3CB" w14:textId="77777777" w:rsidR="00570E6C" w:rsidRPr="00EA7C95" w:rsidRDefault="00570E6C" w:rsidP="00586C11">
      <w:pPr>
        <w:adjustRightInd w:val="0"/>
        <w:snapToGrid w:val="0"/>
        <w:spacing w:after="0" w:line="240" w:lineRule="auto"/>
        <w:jc w:val="both"/>
        <w:rPr>
          <w:rFonts w:ascii="Times New Roman" w:eastAsia="Malgun Gothic" w:hAnsi="Times New Roman" w:cs="Times New Roman"/>
          <w:b/>
          <w:lang w:val="en-NZ"/>
        </w:rPr>
      </w:pPr>
    </w:p>
    <w:p w14:paraId="500E42FE"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noted that the central tendency of relative recent spawning biomass under the selected new and old growth curve model weightings was median</w:t>
      </w:r>
      <w:r w:rsidRPr="00EA7C95">
        <w:rPr>
          <w:rFonts w:ascii="Times New Roman" w:eastAsia="Malgun Gothic" w:hAnsi="Times New Roman" w:cs="Times New Roman"/>
          <w:bCs/>
          <w:lang w:val="en-AU"/>
        </w:rPr>
        <w:t xml:space="preserve">　</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 = 0.32 with a probable range of 0.15 to 0.41 (80% probability interval). This suggested that there was likely a buffer between recent spawning biomass and the LRP but that there was also some probability that recent spawning biomass was below the LRP.</w:t>
      </w:r>
    </w:p>
    <w:p w14:paraId="4E2CF8B8" w14:textId="77777777" w:rsidR="00570E6C" w:rsidRPr="00EA7C95" w:rsidRDefault="00570E6C" w:rsidP="00586C11">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2E4E7AA5"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also noted that there was a roughly 16% probability (23 out of 144 model weight units) that the recent spawning biomass had breached the adopted LRP with Prob((SB</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 &lt; 0.2) = 0.16. This suggested that there was a high probability (roughly 5 out of 6) that recent bigeye tuna spawning biomass had not breached the adopted spawning biomass limit reference point of 0.2*SB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w:t>
      </w:r>
    </w:p>
    <w:p w14:paraId="13C3D094"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5A257FED"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SC13 noted that the central tendency of relative recent fishing mortality under the selected new and old growth curve model weightings was </w:t>
      </w:r>
      <w:proofErr w:type="gramStart"/>
      <w:r w:rsidRPr="00EA7C95">
        <w:rPr>
          <w:rFonts w:ascii="Times New Roman" w:eastAsia="Malgun Gothic" w:hAnsi="Times New Roman" w:cs="Times New Roman"/>
          <w:bCs/>
          <w:lang w:val="en-AU"/>
        </w:rPr>
        <w:t>median(</w:t>
      </w:r>
      <w:proofErr w:type="gramEnd"/>
      <w:r w:rsidRPr="00EA7C95">
        <w:rPr>
          <w:rFonts w:ascii="Times New Roman" w:eastAsia="Malgun Gothic" w:hAnsi="Times New Roman" w:cs="Times New Roman"/>
          <w:bCs/>
          <w:lang w:val="en-AU"/>
        </w:rPr>
        <w:t>F</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 0.83 with an 80% probability interval of 0.61 to 1.31. While this suggested that there was likely a buffer between recent fishing mortality and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it also showed that there was some probability that recent fishing mortality was above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w:t>
      </w:r>
    </w:p>
    <w:p w14:paraId="6BA98FD8"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63004F1F"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also noted that there was a roughly 23% probability (33 out of 144 model weight units as described in para. 6) that the recent fishing mortality was above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xml:space="preserve"> with Prob((F</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&gt; 1) = 0.23. While this suggested that recent fishing mortality was likely below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there was also a moderate probability (~ 1 out of 4) that recent fishing mortality has exceeded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w:t>
      </w:r>
    </w:p>
    <w:p w14:paraId="1DE849A1"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735D7882"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noted that the best available information on the stock status of WCPO bigeye tuna has changed in two ways from the previous assessment under the selected weighting of the 2017 assessment uncertainty grid. First, the stock status condition is more positive with a higher central tendency for SB</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 xml:space="preserve"> in the 2017 assessment (median(SB</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 = 0.32) in comparison to the 2014 assessment ( (SB</w:t>
      </w:r>
      <w:r w:rsidRPr="00EA7C95">
        <w:rPr>
          <w:rFonts w:ascii="Times New Roman" w:eastAsia="Malgun Gothic" w:hAnsi="Times New Roman" w:cs="Times New Roman"/>
          <w:bCs/>
          <w:vertAlign w:val="subscript"/>
          <w:lang w:val="en-AU"/>
        </w:rPr>
        <w:t>current</w:t>
      </w:r>
      <w:r w:rsidRPr="00EA7C95">
        <w:rPr>
          <w:rFonts w:ascii="Times New Roman" w:eastAsia="Malgun Gothic" w:hAnsi="Times New Roman" w:cs="Times New Roman"/>
          <w:bCs/>
          <w:lang w:val="en-AU"/>
        </w:rPr>
        <w:t>/SB</w:t>
      </w:r>
      <w:r w:rsidRPr="00EA7C95">
        <w:rPr>
          <w:rFonts w:ascii="Times New Roman" w:eastAsia="Malgun Gothic" w:hAnsi="Times New Roman" w:cs="Times New Roman"/>
          <w:bCs/>
          <w:vertAlign w:val="subscript"/>
          <w:lang w:val="en-AU"/>
        </w:rPr>
        <w:t>F=0</w:t>
      </w:r>
      <w:r w:rsidRPr="00EA7C95">
        <w:rPr>
          <w:rFonts w:ascii="Times New Roman" w:eastAsia="Malgun Gothic" w:hAnsi="Times New Roman" w:cs="Times New Roman"/>
          <w:bCs/>
          <w:lang w:val="en-AU"/>
        </w:rPr>
        <w:t>) = 0.20) and a lower ratio of relative recent F in the 2017 assessment  ( median(F</w:t>
      </w:r>
      <w:r w:rsidRPr="00EA7C95">
        <w:rPr>
          <w:rFonts w:ascii="Times New Roman" w:eastAsia="Malgun Gothic" w:hAnsi="Times New Roman" w:cs="Times New Roman"/>
          <w:bCs/>
          <w:vertAlign w:val="subscript"/>
          <w:lang w:val="en-AU"/>
        </w:rPr>
        <w:t>recent</w:t>
      </w:r>
      <w:r w:rsidRPr="00EA7C95">
        <w:rPr>
          <w:rFonts w:ascii="Times New Roman" w:eastAsia="Malgun Gothic" w:hAnsi="Times New Roman" w:cs="Times New Roman"/>
          <w:bCs/>
          <w:lang w:val="en-AU"/>
        </w:rPr>
        <w:t>/F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 0.83 ) in comparison to the 2014 assessment  ( F</w:t>
      </w:r>
      <w:r w:rsidRPr="00EA7C95">
        <w:rPr>
          <w:rFonts w:ascii="Times New Roman" w:eastAsia="Malgun Gothic" w:hAnsi="Times New Roman" w:cs="Times New Roman"/>
          <w:bCs/>
          <w:vertAlign w:val="subscript"/>
          <w:lang w:val="en-AU"/>
        </w:rPr>
        <w:t>current</w:t>
      </w:r>
      <w:r w:rsidRPr="00EA7C95">
        <w:rPr>
          <w:rFonts w:ascii="Times New Roman" w:eastAsia="Malgun Gothic" w:hAnsi="Times New Roman" w:cs="Times New Roman"/>
          <w:bCs/>
          <w:lang w:val="en-AU"/>
        </w:rPr>
        <w:t>/F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xml:space="preserve"> = 1.57 ). Second, there is much greater uncertainty in the stock status of bigeye tuna in 2017 due to the fuller technical treatment of structural uncertainty through the use of the model uncertainty grid. </w:t>
      </w:r>
    </w:p>
    <w:p w14:paraId="63E4F6F4"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61E2E5DA"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SC13 noted that the positive changes for bigeye tuna stock status in the 2017 assessment are primarily due to three factors: the inclusion of the new growth curve information, the inclusion of the new regional assessment structure, and the estimated increases in recruitment in recent years. In terms of the cause of the recent increases in recruitment, SC13 commented that it was unclear whether the recent improvement was due to positive oceanographic conditions, effective management measures to conserve spawning biomass, some combination of both, </w:t>
      </w:r>
      <w:proofErr w:type="gramStart"/>
      <w:r w:rsidRPr="00EA7C95">
        <w:rPr>
          <w:rFonts w:ascii="Times New Roman" w:eastAsia="Malgun Gothic" w:hAnsi="Times New Roman" w:cs="Times New Roman"/>
          <w:bCs/>
          <w:lang w:val="en-AU"/>
        </w:rPr>
        <w:t>or</w:t>
      </w:r>
      <w:proofErr w:type="gramEnd"/>
      <w:r w:rsidRPr="00EA7C95">
        <w:rPr>
          <w:rFonts w:ascii="Times New Roman" w:eastAsia="Malgun Gothic" w:hAnsi="Times New Roman" w:cs="Times New Roman"/>
          <w:bCs/>
          <w:lang w:val="en-AU"/>
        </w:rPr>
        <w:t xml:space="preserve"> other factors. SC13 also noted the recent recruitment improvements for yellowfin and skipjack tunas.  SC13 also noted recent recruitment improvements for bigeye tuna in the Eastern Pacific Ocean. </w:t>
      </w:r>
    </w:p>
    <w:p w14:paraId="5898B5A9"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757DE996"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also noted that, regardless of the choice of uncertainty grid, the assessment results show that the stock has been continuously declining for about 60 years since the late 1950’s, except for the recent small increase suggested in the new growth curve model grid.</w:t>
      </w:r>
    </w:p>
    <w:p w14:paraId="7A770D7C"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444D40C3"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SC13 also noted the continued higher levels of depletion in the equatorial and western Pacific (specifically Regions 3, 4, </w:t>
      </w:r>
      <w:r w:rsidRPr="00EA7C95">
        <w:rPr>
          <w:rFonts w:ascii="Times New Roman" w:eastAsia="Malgun Gothic" w:hAnsi="Times New Roman" w:cs="Times New Roman"/>
          <w:bCs/>
          <w:lang w:val="en-AU" w:eastAsia="ko-KR"/>
        </w:rPr>
        <w:t xml:space="preserve">7 and </w:t>
      </w:r>
      <w:r w:rsidRPr="00EA7C95">
        <w:rPr>
          <w:rFonts w:ascii="Times New Roman" w:eastAsia="Malgun Gothic" w:hAnsi="Times New Roman" w:cs="Times New Roman"/>
          <w:bCs/>
          <w:lang w:val="en-AU"/>
        </w:rPr>
        <w:t>8</w:t>
      </w:r>
      <w:r w:rsidRPr="00EA7C95">
        <w:rPr>
          <w:rFonts w:ascii="Times New Roman" w:eastAsia="Malgun Gothic" w:hAnsi="Times New Roman" w:cs="Times New Roman"/>
          <w:bCs/>
          <w:lang w:val="en-AU" w:eastAsia="ko-KR"/>
        </w:rPr>
        <w:t xml:space="preserve"> </w:t>
      </w:r>
      <w:r w:rsidRPr="00EA7C95">
        <w:rPr>
          <w:rFonts w:ascii="Times New Roman" w:eastAsia="Malgun Gothic" w:hAnsi="Times New Roman" w:cs="Times New Roman"/>
          <w:bCs/>
          <w:lang w:val="en-AU"/>
        </w:rPr>
        <w:t>of the stock assessment) and the associated higher levels of impact, especially on juvenile bigeye tuna, in these regions due to the associated purse-seine fisheries and the ‘other’ fisheries within the western Pacific (as shown in Figures 35 and 46 of SC13-SA-WP-05).</w:t>
      </w:r>
    </w:p>
    <w:p w14:paraId="62BA5646"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218CA8AD"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SC13 noted that there has been a long-term increase in fishing mortality for both juvenile and adult bigeye tuna, consistent with previous assessments. </w:t>
      </w:r>
    </w:p>
    <w:p w14:paraId="2C2FC83F"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4021D2BB"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noted that there has been a long-term decrease in spawning biomass from the 1950s to the present for bigeye tuna and that this is consistent with previous assessments.</w:t>
      </w:r>
    </w:p>
    <w:p w14:paraId="6C9E3276"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0C02D39A" w14:textId="77777777" w:rsidR="00570E6C" w:rsidRPr="00EA7C95" w:rsidRDefault="00570E6C" w:rsidP="006779AF">
      <w:pPr>
        <w:numPr>
          <w:ilvl w:val="0"/>
          <w:numId w:val="3"/>
        </w:numPr>
        <w:adjustRightInd w:val="0"/>
        <w:snapToGrid w:val="0"/>
        <w:spacing w:after="0" w:line="240" w:lineRule="auto"/>
        <w:ind w:left="0" w:firstLine="0"/>
        <w:jc w:val="both"/>
        <w:rPr>
          <w:rFonts w:ascii="Times New Roman" w:eastAsia="Malgun Gothic" w:hAnsi="Times New Roman" w:cs="Times New Roman"/>
          <w:b/>
          <w:lang w:val="en-AU"/>
        </w:rPr>
      </w:pPr>
      <w:r w:rsidRPr="00EA7C95">
        <w:rPr>
          <w:rFonts w:ascii="Times New Roman" w:eastAsia="Malgun Gothic" w:hAnsi="Times New Roman" w:cs="Times New Roman"/>
          <w:b/>
          <w:lang w:val="en-AU"/>
        </w:rPr>
        <w:t xml:space="preserve">Management advice and implications </w:t>
      </w:r>
    </w:p>
    <w:p w14:paraId="637C82CD" w14:textId="77777777" w:rsidR="00570E6C" w:rsidRPr="00EA7C95" w:rsidRDefault="00570E6C" w:rsidP="00586C11">
      <w:pPr>
        <w:autoSpaceDE w:val="0"/>
        <w:autoSpaceDN w:val="0"/>
        <w:adjustRightInd w:val="0"/>
        <w:snapToGrid w:val="0"/>
        <w:spacing w:after="0" w:line="240" w:lineRule="auto"/>
        <w:ind w:left="720"/>
        <w:jc w:val="both"/>
        <w:rPr>
          <w:rFonts w:ascii="Times New Roman" w:eastAsia="Malgun Gothic" w:hAnsi="Times New Roman" w:cs="Times New Roman"/>
          <w:bCs/>
          <w:lang w:val="en-AU"/>
        </w:rPr>
      </w:pPr>
    </w:p>
    <w:p w14:paraId="3AB2D3BB"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Based on the uncertainty grid adopted by SC13, the WCPO bigeye tuna spawning biomass is likely above the biomass LRP and recent F is likely below F</w:t>
      </w:r>
      <w:r w:rsidRPr="00EA7C95">
        <w:rPr>
          <w:rFonts w:ascii="Times New Roman" w:eastAsia="Malgun Gothic" w:hAnsi="Times New Roman" w:cs="Times New Roman"/>
          <w:bCs/>
          <w:vertAlign w:val="subscript"/>
          <w:lang w:val="en-AU" w:eastAsia="ko-KR"/>
        </w:rPr>
        <w:t>MSY</w:t>
      </w:r>
      <w:r w:rsidRPr="00EA7C95">
        <w:rPr>
          <w:rFonts w:ascii="Times New Roman" w:eastAsia="Malgun Gothic" w:hAnsi="Times New Roman" w:cs="Times New Roman"/>
          <w:bCs/>
          <w:lang w:val="en-AU"/>
        </w:rPr>
        <w:t xml:space="preserve">, and therefore noting the level of uncertainties in the current assessment it appears that the stock is not experiencing overfishing (77% probability) and it appears that the stock is not in an overfished condition (84% probability).  </w:t>
      </w:r>
    </w:p>
    <w:p w14:paraId="79717DEE" w14:textId="77777777" w:rsidR="00570E6C" w:rsidRPr="00EA7C95" w:rsidRDefault="00570E6C" w:rsidP="00586C11">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11F8FADD"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Although SC13 considers that the new assessment is a significant improvement in relation to the previous one, SC13 advises that the amount of uncertainty in the stock status results for the 2017 assessment is higher than for the previous assessment due to the inclusion of new information on bigeye tuna growth and regional structures. </w:t>
      </w:r>
    </w:p>
    <w:p w14:paraId="17BCBD3D"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3EB4958B"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SC13 also noted that levels of fishing mortality and depletion differ between regions, and that fishery impact was higher in the tropical region (Regions 3, 4, 7 and 8 in the stock assessment model), with particularly high fishing mortality on juvenile bigeye tuna in these regions.  SC13 therefore recommends that WCPFC14 could continue to consider measures to reduce fishing mortality from fisheries that take juveniles, with the goal to increase bigeye fishery yields and reduce any further impacts on the spawning potential for this stock in the tropical regions. </w:t>
      </w:r>
    </w:p>
    <w:p w14:paraId="30D9BACE" w14:textId="77777777" w:rsidR="00570E6C" w:rsidRPr="00EA7C95" w:rsidRDefault="00570E6C" w:rsidP="006779AF">
      <w:pPr>
        <w:adjustRightInd w:val="0"/>
        <w:snapToGrid w:val="0"/>
        <w:spacing w:after="0" w:line="240" w:lineRule="auto"/>
        <w:jc w:val="both"/>
        <w:rPr>
          <w:rFonts w:ascii="Times New Roman" w:eastAsia="Malgun Gothic" w:hAnsi="Times New Roman" w:cs="Times New Roman"/>
          <w:bCs/>
          <w:lang w:val="en-AU"/>
        </w:rPr>
      </w:pPr>
    </w:p>
    <w:p w14:paraId="2BE04B5A"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Based on those results, SC13 recommends as a precautionary approach that the fishing mortality on bigeye tuna stock should not be increased from current level to maintain current or increased spawning biomass until the Commission can agree on an appropriate target reference point (TRP).</w:t>
      </w:r>
    </w:p>
    <w:p w14:paraId="56B77F5B"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589DA0B8" w14:textId="77777777" w:rsidR="00570E6C" w:rsidRPr="00EA7C95" w:rsidRDefault="00570E6C" w:rsidP="006779AF">
      <w:pPr>
        <w:numPr>
          <w:ilvl w:val="0"/>
          <w:numId w:val="19"/>
        </w:numPr>
        <w:adjustRightInd w:val="0"/>
        <w:snapToGrid w:val="0"/>
        <w:spacing w:after="0" w:line="240" w:lineRule="auto"/>
        <w:ind w:left="0" w:firstLine="0"/>
        <w:jc w:val="both"/>
        <w:rPr>
          <w:rFonts w:ascii="Times New Roman" w:eastAsia="Malgun Gothic" w:hAnsi="Times New Roman" w:cs="Times New Roman"/>
          <w:b/>
          <w:lang w:val="en-NZ" w:eastAsia="en-NZ"/>
        </w:rPr>
      </w:pPr>
      <w:r w:rsidRPr="00EA7C95">
        <w:rPr>
          <w:rFonts w:ascii="Times New Roman" w:eastAsia="Malgun Gothic" w:hAnsi="Times New Roman" w:cs="Times New Roman"/>
          <w:b/>
          <w:lang w:val="en-NZ" w:eastAsia="en-NZ"/>
        </w:rPr>
        <w:t>Research Recommendations</w:t>
      </w:r>
    </w:p>
    <w:p w14:paraId="322BAACE" w14:textId="77777777" w:rsidR="00570E6C" w:rsidRPr="00EA7C95" w:rsidRDefault="00570E6C" w:rsidP="00586C11">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50447342"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lastRenderedPageBreak/>
        <w:t xml:space="preserve">SC13 recognized that future work is required to improve the assessment and to reduce uncertainty. Future research should concentrate on the two axes (e.g. growth, regional structure) of uncertainty which are the most influential. The growth analysis should continue with the emphasis on providing length at age estimates for larger fish between 130 and 180 cm FL. Additional research is also required for the regional structure uncertainty to consider options in addition to the structures used in the 2014 and 2017 assessments, for example, by using statistical approaches (e.g. tree models). </w:t>
      </w:r>
    </w:p>
    <w:p w14:paraId="6D067D52" w14:textId="77777777" w:rsidR="00570E6C" w:rsidRPr="00EA7C95" w:rsidRDefault="00570E6C" w:rsidP="00586C11">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2D02A488"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 xml:space="preserve">In addition, SC13 considers that the model ensemble or weighting will be increasingly important as SC moves to uncertainty grid approaches in stock assessments and requests the Scientific Services Provider to study those methods further. </w:t>
      </w:r>
    </w:p>
    <w:p w14:paraId="596EC50E" w14:textId="77777777" w:rsidR="00570E6C" w:rsidRPr="00EA7C95" w:rsidRDefault="00570E6C" w:rsidP="00586C11">
      <w:pPr>
        <w:adjustRightInd w:val="0"/>
        <w:snapToGrid w:val="0"/>
        <w:spacing w:after="0" w:line="240" w:lineRule="auto"/>
        <w:ind w:left="720" w:hanging="720"/>
        <w:jc w:val="both"/>
        <w:rPr>
          <w:rFonts w:ascii="Times New Roman" w:eastAsia="Malgun Gothic" w:hAnsi="Times New Roman" w:cs="Times New Roman"/>
          <w:bCs/>
          <w:lang w:val="en-AU"/>
        </w:rPr>
      </w:pPr>
    </w:p>
    <w:p w14:paraId="098A8727" w14:textId="77777777" w:rsidR="00570E6C" w:rsidRPr="00EA7C95" w:rsidRDefault="00570E6C" w:rsidP="00586C11">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EA7C95">
        <w:rPr>
          <w:rFonts w:ascii="Times New Roman" w:eastAsia="Malgun Gothic" w:hAnsi="Times New Roman" w:cs="Times New Roman"/>
          <w:bCs/>
          <w:lang w:val="en-AU"/>
        </w:rPr>
        <w:t>SC13 requested that SPC undertake projections of potential changes in spawning biomass in the future under current levels of fishing mortality.  This would be similar to the projections delivered in SC13-SA-IP-22, but would be based on the weighted uncertainty grid as described above.</w:t>
      </w:r>
    </w:p>
    <w:p w14:paraId="226F8736" w14:textId="77777777" w:rsidR="005C2B8D" w:rsidRPr="00EA7C95" w:rsidRDefault="005C2B8D" w:rsidP="00586C11">
      <w:pPr>
        <w:adjustRightInd w:val="0"/>
        <w:snapToGrid w:val="0"/>
        <w:spacing w:after="0" w:line="240" w:lineRule="auto"/>
        <w:rPr>
          <w:rFonts w:ascii="Times New Roman" w:hAnsi="Times New Roman" w:cs="Times New Roman"/>
          <w:bCs/>
        </w:rPr>
      </w:pPr>
    </w:p>
    <w:p w14:paraId="60E534BC" w14:textId="77777777" w:rsidR="00487246" w:rsidRPr="00EA7C95" w:rsidRDefault="00487246" w:rsidP="00586C11">
      <w:pPr>
        <w:pStyle w:val="Heading1"/>
        <w:adjustRightInd w:val="0"/>
        <w:snapToGrid w:val="0"/>
        <w:spacing w:before="0" w:line="240" w:lineRule="auto"/>
        <w:rPr>
          <w:rFonts w:ascii="Times New Roman" w:eastAsia="MS Mincho" w:hAnsi="Times New Roman" w:cs="Times New Roman"/>
          <w:b/>
          <w:bCs/>
          <w:caps/>
          <w:sz w:val="22"/>
          <w:szCs w:val="22"/>
          <w:lang w:val="en-NZ" w:eastAsia="en-NZ"/>
        </w:rPr>
      </w:pPr>
      <w:bookmarkStart w:id="17" w:name="_Toc495323856"/>
      <w:bookmarkStart w:id="18" w:name="_Toc495391344"/>
    </w:p>
    <w:p w14:paraId="2725D32A" w14:textId="77777777" w:rsidR="00487246" w:rsidRPr="00EA7C95" w:rsidRDefault="00487246">
      <w:pPr>
        <w:rPr>
          <w:rFonts w:ascii="Times New Roman" w:eastAsia="MS Mincho" w:hAnsi="Times New Roman" w:cs="Times New Roman"/>
          <w:b/>
          <w:bCs/>
          <w:caps/>
          <w:color w:val="2F5496" w:themeColor="accent1" w:themeShade="BF"/>
          <w:lang w:val="en-NZ" w:eastAsia="en-NZ"/>
        </w:rPr>
      </w:pPr>
      <w:r w:rsidRPr="00EA7C95">
        <w:rPr>
          <w:rFonts w:ascii="Times New Roman" w:eastAsia="MS Mincho" w:hAnsi="Times New Roman" w:cs="Times New Roman"/>
          <w:b/>
          <w:bCs/>
          <w:caps/>
          <w:lang w:val="en-NZ" w:eastAsia="en-NZ"/>
        </w:rPr>
        <w:br w:type="page"/>
      </w:r>
    </w:p>
    <w:p w14:paraId="2BA2E442" w14:textId="285E571A" w:rsidR="007C0132" w:rsidRPr="00EA7C95" w:rsidRDefault="007C0132" w:rsidP="00586C11">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19" w:name="_Toc64388043"/>
      <w:r w:rsidRPr="00EA7C95">
        <w:rPr>
          <w:rFonts w:ascii="Times New Roman" w:eastAsia="MS Mincho" w:hAnsi="Times New Roman" w:cs="Times New Roman"/>
          <w:b/>
          <w:bCs/>
          <w:caps/>
          <w:sz w:val="28"/>
          <w:szCs w:val="28"/>
          <w:lang w:val="en-NZ" w:eastAsia="en-NZ"/>
        </w:rPr>
        <w:lastRenderedPageBreak/>
        <w:t>References</w:t>
      </w:r>
      <w:bookmarkEnd w:id="17"/>
      <w:bookmarkEnd w:id="18"/>
      <w:bookmarkEnd w:id="19"/>
    </w:p>
    <w:p w14:paraId="231B6FF3" w14:textId="31FDAC7C" w:rsidR="007C0132" w:rsidRDefault="007C0132" w:rsidP="00586C11">
      <w:pPr>
        <w:adjustRightInd w:val="0"/>
        <w:snapToGrid w:val="0"/>
        <w:spacing w:after="0" w:line="240" w:lineRule="auto"/>
        <w:rPr>
          <w:rFonts w:ascii="Times New Roman" w:hAnsi="Times New Roman" w:cs="Times New Roman"/>
        </w:rPr>
      </w:pPr>
    </w:p>
    <w:p w14:paraId="1547748A" w14:textId="77777777" w:rsidR="00EC68DD" w:rsidRPr="00871505" w:rsidRDefault="00EC68DD" w:rsidP="00EC68DD">
      <w:pPr>
        <w:adjustRightInd w:val="0"/>
        <w:snapToGrid w:val="0"/>
        <w:spacing w:after="0" w:line="240" w:lineRule="auto"/>
        <w:rPr>
          <w:rFonts w:ascii="Times New Roman" w:hAnsi="Times New Roman" w:cs="Times New Roman"/>
        </w:rPr>
      </w:pPr>
      <w:r w:rsidRPr="00871505">
        <w:rPr>
          <w:rFonts w:ascii="Times New Roman" w:hAnsi="Times New Roman" w:cs="Times New Roman"/>
          <w:color w:val="666666"/>
        </w:rPr>
        <w:t xml:space="preserve">SC16-SA-WP-02 </w:t>
      </w:r>
      <w:r w:rsidRPr="00EC68DD">
        <w:rPr>
          <w:rFonts w:ascii="Times New Roman" w:hAnsi="Times New Roman" w:cs="Times New Roman"/>
        </w:rPr>
        <w:t>Age and growth of yellowfin and bigeye tuna in the western and central Pacific Ocean from otoliths</w:t>
      </w:r>
      <w:r w:rsidRPr="00871505">
        <w:rPr>
          <w:rFonts w:ascii="Times New Roman" w:hAnsi="Times New Roman" w:cs="Times New Roman"/>
        </w:rPr>
        <w:t xml:space="preserve"> </w:t>
      </w:r>
      <w:hyperlink r:id="rId53" w:history="1">
        <w:r w:rsidRPr="00871505">
          <w:rPr>
            <w:rStyle w:val="Hyperlink"/>
            <w:rFonts w:ascii="Times New Roman" w:hAnsi="Times New Roman" w:cs="Times New Roman"/>
          </w:rPr>
          <w:t>https://www.wcpfc.int/node/46609</w:t>
        </w:r>
      </w:hyperlink>
    </w:p>
    <w:p w14:paraId="714E87C7" w14:textId="77777777" w:rsidR="00EC68DD" w:rsidRPr="00871505" w:rsidRDefault="00EC68DD" w:rsidP="00EC68DD">
      <w:pPr>
        <w:pStyle w:val="Heading1"/>
        <w:spacing w:before="0" w:line="240" w:lineRule="auto"/>
        <w:jc w:val="both"/>
        <w:rPr>
          <w:rFonts w:ascii="Times New Roman" w:hAnsi="Times New Roman" w:cs="Times New Roman"/>
          <w:color w:val="666666"/>
          <w:sz w:val="22"/>
          <w:szCs w:val="22"/>
        </w:rPr>
      </w:pPr>
    </w:p>
    <w:p w14:paraId="6CBBDF97" w14:textId="77777777" w:rsidR="00EC68DD" w:rsidRPr="00871505" w:rsidRDefault="00EC68DD" w:rsidP="00EC68DD">
      <w:pPr>
        <w:pStyle w:val="Heading1"/>
        <w:spacing w:before="0" w:line="240" w:lineRule="auto"/>
        <w:jc w:val="both"/>
        <w:rPr>
          <w:rFonts w:ascii="Times New Roman" w:hAnsi="Times New Roman" w:cs="Times New Roman"/>
          <w:color w:val="000000"/>
          <w:sz w:val="22"/>
          <w:szCs w:val="22"/>
        </w:rPr>
      </w:pPr>
      <w:bookmarkStart w:id="20" w:name="_Toc64388044"/>
      <w:r w:rsidRPr="00871505">
        <w:rPr>
          <w:rFonts w:ascii="Times New Roman" w:hAnsi="Times New Roman" w:cs="Times New Roman"/>
          <w:color w:val="666666"/>
          <w:sz w:val="22"/>
          <w:szCs w:val="22"/>
        </w:rPr>
        <w:t xml:space="preserve">SC16-SA-WP-03 </w:t>
      </w:r>
      <w:r w:rsidRPr="00871505">
        <w:rPr>
          <w:rFonts w:ascii="Times New Roman" w:hAnsi="Times New Roman" w:cs="Times New Roman"/>
          <w:color w:val="000000"/>
          <w:sz w:val="22"/>
          <w:szCs w:val="22"/>
        </w:rPr>
        <w:t xml:space="preserve">Stock assessment of bigeye tuna in the western and central Pacific Ocean (30July) - Rev.03 </w:t>
      </w:r>
      <w:hyperlink r:id="rId54" w:history="1">
        <w:r w:rsidRPr="00871505">
          <w:rPr>
            <w:rStyle w:val="Hyperlink"/>
            <w:rFonts w:ascii="Times New Roman" w:hAnsi="Times New Roman" w:cs="Times New Roman"/>
            <w:sz w:val="22"/>
            <w:szCs w:val="22"/>
          </w:rPr>
          <w:t>https://www.wcpfc.int/node/46610</w:t>
        </w:r>
        <w:bookmarkEnd w:id="20"/>
      </w:hyperlink>
    </w:p>
    <w:p w14:paraId="7E7D9F42" w14:textId="77777777" w:rsidR="00EC68DD" w:rsidRPr="00871505" w:rsidRDefault="00EC68DD" w:rsidP="00EC68DD">
      <w:pPr>
        <w:spacing w:after="0" w:line="240" w:lineRule="auto"/>
        <w:rPr>
          <w:rFonts w:ascii="Times New Roman" w:hAnsi="Times New Roman" w:cs="Times New Roman"/>
        </w:rPr>
      </w:pPr>
    </w:p>
    <w:p w14:paraId="3453AD79" w14:textId="77777777" w:rsidR="00EC68DD" w:rsidRPr="00871505" w:rsidRDefault="00EC68DD" w:rsidP="00EC68DD">
      <w:pPr>
        <w:spacing w:after="0" w:line="240" w:lineRule="auto"/>
        <w:rPr>
          <w:rFonts w:ascii="Times New Roman" w:hAnsi="Times New Roman" w:cs="Times New Roman"/>
        </w:rPr>
      </w:pPr>
      <w:r w:rsidRPr="00871505">
        <w:rPr>
          <w:rFonts w:ascii="Times New Roman" w:hAnsi="Times New Roman" w:cs="Times New Roman"/>
          <w:color w:val="666666"/>
        </w:rPr>
        <w:t>SC16-SA-IP-0</w:t>
      </w:r>
      <w:r w:rsidRPr="00567907">
        <w:rPr>
          <w:rFonts w:ascii="Times New Roman" w:hAnsi="Times New Roman" w:cs="Times New Roman"/>
          <w:color w:val="666666"/>
        </w:rPr>
        <w:t>6</w:t>
      </w:r>
      <w:r w:rsidRPr="00871505">
        <w:rPr>
          <w:rFonts w:ascii="Times New Roman" w:hAnsi="Times New Roman" w:cs="Times New Roman"/>
          <w:color w:val="666666"/>
        </w:rPr>
        <w:t xml:space="preserve"> </w:t>
      </w:r>
      <w:r w:rsidRPr="00EC68DD">
        <w:rPr>
          <w:rFonts w:ascii="Times New Roman" w:hAnsi="Times New Roman" w:cs="Times New Roman"/>
        </w:rPr>
        <w:t>Background analyses for the 2020 stock assessments of bigeye and yellowfin tuna</w:t>
      </w:r>
      <w:r w:rsidRPr="00871505">
        <w:rPr>
          <w:rFonts w:ascii="Times New Roman" w:hAnsi="Times New Roman" w:cs="Times New Roman"/>
        </w:rPr>
        <w:t xml:space="preserve"> https://www.wcpfc.int/node/46620</w:t>
      </w:r>
    </w:p>
    <w:p w14:paraId="0932D699" w14:textId="77777777" w:rsidR="00EC68DD" w:rsidRPr="00871505" w:rsidRDefault="00EC68DD" w:rsidP="00EC68DD">
      <w:pPr>
        <w:pStyle w:val="Heading1"/>
        <w:spacing w:before="0" w:line="240" w:lineRule="auto"/>
        <w:jc w:val="both"/>
        <w:rPr>
          <w:rFonts w:ascii="Times New Roman" w:hAnsi="Times New Roman" w:cs="Times New Roman"/>
          <w:color w:val="000000"/>
          <w:sz w:val="22"/>
          <w:szCs w:val="22"/>
        </w:rPr>
      </w:pPr>
    </w:p>
    <w:p w14:paraId="7E5F64AD" w14:textId="77777777" w:rsidR="00EC68DD" w:rsidRPr="00871505" w:rsidRDefault="00EC68DD" w:rsidP="00EC68DD">
      <w:pPr>
        <w:adjustRightInd w:val="0"/>
        <w:snapToGrid w:val="0"/>
        <w:spacing w:after="0" w:line="240" w:lineRule="auto"/>
        <w:rPr>
          <w:rFonts w:ascii="Times New Roman" w:hAnsi="Times New Roman" w:cs="Times New Roman"/>
        </w:rPr>
      </w:pPr>
      <w:r w:rsidRPr="00871505">
        <w:rPr>
          <w:rFonts w:ascii="Times New Roman" w:hAnsi="Times New Roman" w:cs="Times New Roman"/>
        </w:rPr>
        <w:t>SC15-</w:t>
      </w:r>
      <w:r w:rsidRPr="00871505">
        <w:rPr>
          <w:rFonts w:ascii="Times New Roman" w:hAnsi="Times New Roman" w:cs="Times New Roman"/>
          <w:lang w:val="en-NZ"/>
        </w:rPr>
        <w:t xml:space="preserve"> SA-WP-01 </w:t>
      </w:r>
      <w:r w:rsidRPr="00871505">
        <w:rPr>
          <w:rFonts w:ascii="Times New Roman" w:hAnsi="Times New Roman" w:cs="Times New Roman"/>
        </w:rPr>
        <w:t xml:space="preserve">A compendium of fisheries indicators for tuna stocks. </w:t>
      </w:r>
      <w:hyperlink r:id="rId55" w:history="1">
        <w:r w:rsidRPr="00871505">
          <w:rPr>
            <w:rStyle w:val="Hyperlink"/>
            <w:rFonts w:ascii="Times New Roman" w:hAnsi="Times New Roman" w:cs="Times New Roman"/>
          </w:rPr>
          <w:t>https://www.wcpfc.int/node/42927</w:t>
        </w:r>
      </w:hyperlink>
    </w:p>
    <w:p w14:paraId="2CA62A6C" w14:textId="77777777" w:rsidR="00EC68DD" w:rsidRPr="00871505" w:rsidRDefault="00EC68DD" w:rsidP="00EC68DD">
      <w:pPr>
        <w:adjustRightInd w:val="0"/>
        <w:snapToGrid w:val="0"/>
        <w:spacing w:after="0" w:line="240" w:lineRule="auto"/>
        <w:rPr>
          <w:rFonts w:ascii="Times New Roman" w:hAnsi="Times New Roman" w:cs="Times New Roman"/>
        </w:rPr>
      </w:pPr>
    </w:p>
    <w:p w14:paraId="7DB64886" w14:textId="77777777" w:rsidR="00EC68DD" w:rsidRPr="00216714" w:rsidRDefault="00EC68DD" w:rsidP="00EC68DD">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SA-WP-02 </w:t>
      </w:r>
      <w:r w:rsidRPr="00216714">
        <w:rPr>
          <w:rFonts w:ascii="Times New Roman" w:hAnsi="Times New Roman" w:cs="Times New Roman"/>
        </w:rPr>
        <w:t xml:space="preserve">Project 94: Workshop on yellowfin and bigeye age and growth. </w:t>
      </w:r>
      <w:hyperlink r:id="rId56" w:history="1">
        <w:r w:rsidRPr="00216714">
          <w:rPr>
            <w:rStyle w:val="Hyperlink"/>
            <w:rFonts w:ascii="Times New Roman" w:hAnsi="Times New Roman" w:cs="Times New Roman"/>
          </w:rPr>
          <w:t>https://www.wcpfc.int/node/42928</w:t>
        </w:r>
      </w:hyperlink>
    </w:p>
    <w:p w14:paraId="55092DF8" w14:textId="77777777" w:rsidR="00EC68DD" w:rsidRPr="00216714" w:rsidRDefault="00EC68DD" w:rsidP="00EC68DD">
      <w:pPr>
        <w:adjustRightInd w:val="0"/>
        <w:snapToGrid w:val="0"/>
        <w:spacing w:after="0" w:line="240" w:lineRule="auto"/>
        <w:rPr>
          <w:rFonts w:ascii="Times New Roman" w:hAnsi="Times New Roman" w:cs="Times New Roman"/>
        </w:rPr>
      </w:pPr>
    </w:p>
    <w:p w14:paraId="5C357582" w14:textId="77777777" w:rsidR="00EC68DD" w:rsidRPr="00216714" w:rsidRDefault="00EC68DD" w:rsidP="00EC68DD">
      <w:pPr>
        <w:adjustRightInd w:val="0"/>
        <w:snapToGrid w:val="0"/>
        <w:spacing w:after="0" w:line="240" w:lineRule="auto"/>
        <w:rPr>
          <w:rFonts w:ascii="Times New Roman" w:hAnsi="Times New Roman" w:cs="Times New Roman"/>
          <w:lang w:val="en-NZ"/>
        </w:rPr>
      </w:pPr>
      <w:r w:rsidRPr="00216714">
        <w:rPr>
          <w:rFonts w:ascii="Times New Roman" w:hAnsi="Times New Roman" w:cs="Times New Roman"/>
        </w:rPr>
        <w:t>SC15-</w:t>
      </w:r>
      <w:r w:rsidRPr="00216714">
        <w:rPr>
          <w:rFonts w:ascii="Times New Roman" w:hAnsi="Times New Roman" w:cs="Times New Roman"/>
          <w:lang w:val="en-NZ"/>
        </w:rPr>
        <w:t xml:space="preserve"> SA-IP-19 </w:t>
      </w:r>
      <w:r w:rsidRPr="00216714">
        <w:rPr>
          <w:rFonts w:ascii="Times New Roman" w:hAnsi="Times New Roman" w:cs="Times New Roman"/>
          <w:color w:val="000000"/>
        </w:rPr>
        <w:t xml:space="preserve">Report of the Workshop on Age and Growth of Bigeye and Yellowfin Tunas in the Pacific Ocean. </w:t>
      </w:r>
      <w:hyperlink r:id="rId57" w:history="1">
        <w:r w:rsidRPr="00216714">
          <w:rPr>
            <w:rStyle w:val="Hyperlink"/>
            <w:rFonts w:ascii="Times New Roman" w:hAnsi="Times New Roman" w:cs="Times New Roman"/>
          </w:rPr>
          <w:t>https://www.wcpfc.int/node/43329</w:t>
        </w:r>
      </w:hyperlink>
    </w:p>
    <w:p w14:paraId="09E9E415" w14:textId="77777777" w:rsidR="00EC68DD" w:rsidRDefault="00EC68DD" w:rsidP="00EC68DD">
      <w:pPr>
        <w:adjustRightInd w:val="0"/>
        <w:snapToGrid w:val="0"/>
        <w:spacing w:after="0" w:line="240" w:lineRule="auto"/>
        <w:rPr>
          <w:b/>
          <w:lang w:val="en-NZ"/>
        </w:rPr>
      </w:pPr>
    </w:p>
    <w:p w14:paraId="6CDFA3A9" w14:textId="77777777" w:rsidR="00EC68DD" w:rsidRPr="00EA7C95" w:rsidRDefault="00EC68DD" w:rsidP="00EC68DD">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SC14-SA-WP-01 Update on age and growth of bigeye tuna in the WCPO WCPFC Project 81 Rev 1. </w:t>
      </w:r>
      <w:hyperlink r:id="rId58" w:history="1">
        <w:r w:rsidRPr="00EA7C95">
          <w:rPr>
            <w:rStyle w:val="Hyperlink"/>
            <w:rFonts w:ascii="Times New Roman" w:hAnsi="Times New Roman" w:cs="Times New Roman"/>
          </w:rPr>
          <w:t>https://www.wcpfc.int/node/31012</w:t>
        </w:r>
      </w:hyperlink>
      <w:r w:rsidRPr="00EA7C95">
        <w:rPr>
          <w:rFonts w:ascii="Times New Roman" w:hAnsi="Times New Roman" w:cs="Times New Roman"/>
        </w:rPr>
        <w:t xml:space="preserve"> </w:t>
      </w:r>
    </w:p>
    <w:p w14:paraId="5A9686C6" w14:textId="77777777" w:rsidR="00EC68DD" w:rsidRPr="00EA7C95" w:rsidRDefault="00EC68DD" w:rsidP="00EC68DD">
      <w:pPr>
        <w:adjustRightInd w:val="0"/>
        <w:snapToGrid w:val="0"/>
        <w:spacing w:after="0" w:line="240" w:lineRule="auto"/>
        <w:rPr>
          <w:rFonts w:ascii="Times New Roman" w:hAnsi="Times New Roman" w:cs="Times New Roman"/>
        </w:rPr>
      </w:pPr>
    </w:p>
    <w:p w14:paraId="5BBD47D9" w14:textId="77777777" w:rsidR="00EC68DD" w:rsidRPr="00EA7C95" w:rsidRDefault="00EC68DD" w:rsidP="00EC68DD">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SC14-SA-WP-03 Incorporation of updated growth information within the 2017 WCPO bigeye stock assessment grid, and examination of the sensitivity of estimates to alternative model spatial structures. </w:t>
      </w:r>
      <w:hyperlink r:id="rId59" w:history="1">
        <w:r w:rsidRPr="00EA7C95">
          <w:rPr>
            <w:rStyle w:val="Hyperlink"/>
            <w:rFonts w:ascii="Times New Roman" w:hAnsi="Times New Roman" w:cs="Times New Roman"/>
          </w:rPr>
          <w:t>https://www.wcpfc.int/node/31047</w:t>
        </w:r>
      </w:hyperlink>
      <w:r w:rsidRPr="00EA7C95">
        <w:rPr>
          <w:rFonts w:ascii="Times New Roman" w:hAnsi="Times New Roman" w:cs="Times New Roman"/>
        </w:rPr>
        <w:t xml:space="preserve"> </w:t>
      </w:r>
    </w:p>
    <w:p w14:paraId="077A3B95" w14:textId="77777777" w:rsidR="00EC68DD" w:rsidRPr="00EA7C95" w:rsidRDefault="00EC68DD" w:rsidP="00EC68DD">
      <w:pPr>
        <w:adjustRightInd w:val="0"/>
        <w:snapToGrid w:val="0"/>
        <w:spacing w:after="0" w:line="240" w:lineRule="auto"/>
        <w:rPr>
          <w:rFonts w:ascii="Times New Roman" w:hAnsi="Times New Roman" w:cs="Times New Roman"/>
        </w:rPr>
      </w:pPr>
    </w:p>
    <w:p w14:paraId="4E929880" w14:textId="3395078D" w:rsidR="004348DB" w:rsidRDefault="004348DB"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SC13-SA-WP-05 Stock assessment of bigeye tuna in the western and central Pacific Ocean Rev 1 (23 July 2017). </w:t>
      </w:r>
      <w:hyperlink r:id="rId60" w:history="1">
        <w:r w:rsidRPr="00EA7C95">
          <w:rPr>
            <w:rStyle w:val="Hyperlink"/>
            <w:rFonts w:ascii="Times New Roman" w:hAnsi="Times New Roman" w:cs="Times New Roman"/>
          </w:rPr>
          <w:t>https://www.wcpfc.int/node/29518</w:t>
        </w:r>
      </w:hyperlink>
    </w:p>
    <w:p w14:paraId="509D09FD" w14:textId="77777777" w:rsidR="004348DB" w:rsidRDefault="004348DB" w:rsidP="00586C11">
      <w:pPr>
        <w:adjustRightInd w:val="0"/>
        <w:snapToGrid w:val="0"/>
        <w:spacing w:after="0" w:line="240" w:lineRule="auto"/>
        <w:rPr>
          <w:rFonts w:ascii="Times New Roman" w:hAnsi="Times New Roman" w:cs="Times New Roman"/>
        </w:rPr>
      </w:pPr>
    </w:p>
    <w:p w14:paraId="694DFD87" w14:textId="5E53C3FD" w:rsidR="00751FEE" w:rsidRPr="00EA7C95" w:rsidRDefault="00751FEE"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SC10-SA-WP-00 Minor revisions to the bigeye, </w:t>
      </w:r>
      <w:proofErr w:type="gramStart"/>
      <w:r w:rsidRPr="00EA7C95">
        <w:rPr>
          <w:rFonts w:ascii="Times New Roman" w:hAnsi="Times New Roman" w:cs="Times New Roman"/>
        </w:rPr>
        <w:t>skipjack</w:t>
      </w:r>
      <w:proofErr w:type="gramEnd"/>
      <w:r w:rsidRPr="00EA7C95">
        <w:rPr>
          <w:rFonts w:ascii="Times New Roman" w:hAnsi="Times New Roman" w:cs="Times New Roman"/>
        </w:rPr>
        <w:t xml:space="preserve"> and yellowfin assessment reports (25 July). </w:t>
      </w:r>
      <w:hyperlink r:id="rId61" w:history="1">
        <w:r w:rsidRPr="00EA7C95">
          <w:rPr>
            <w:rStyle w:val="Hyperlink"/>
            <w:rFonts w:ascii="Times New Roman" w:hAnsi="Times New Roman" w:cs="Times New Roman"/>
          </w:rPr>
          <w:t>https://wcpfc.int/node/19146</w:t>
        </w:r>
      </w:hyperlink>
      <w:r w:rsidRPr="00EA7C95">
        <w:rPr>
          <w:rFonts w:ascii="Times New Roman" w:hAnsi="Times New Roman" w:cs="Times New Roman"/>
        </w:rPr>
        <w:t xml:space="preserve"> </w:t>
      </w:r>
    </w:p>
    <w:p w14:paraId="70041E19" w14:textId="77777777" w:rsidR="00751FEE" w:rsidRPr="00EA7C95" w:rsidRDefault="00751FEE" w:rsidP="00586C11">
      <w:pPr>
        <w:adjustRightInd w:val="0"/>
        <w:snapToGrid w:val="0"/>
        <w:spacing w:after="0" w:line="240" w:lineRule="auto"/>
        <w:rPr>
          <w:rFonts w:ascii="Times New Roman" w:hAnsi="Times New Roman" w:cs="Times New Roman"/>
        </w:rPr>
      </w:pPr>
    </w:p>
    <w:p w14:paraId="6903A129" w14:textId="77777777" w:rsidR="00751FEE" w:rsidRPr="00EA7C95" w:rsidRDefault="00751FEE"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SC10-SA-WP-01 Stock assessment of bigeye tuna in the western and central Pacific Ocean Rev 1 (25 July 2014). </w:t>
      </w:r>
      <w:hyperlink r:id="rId62" w:history="1">
        <w:r w:rsidRPr="00EA7C95">
          <w:rPr>
            <w:rStyle w:val="Hyperlink"/>
            <w:rFonts w:ascii="Times New Roman" w:hAnsi="Times New Roman" w:cs="Times New Roman"/>
          </w:rPr>
          <w:t>https://wcpfc.int/node/18975</w:t>
        </w:r>
      </w:hyperlink>
      <w:r w:rsidRPr="00EA7C95">
        <w:rPr>
          <w:rFonts w:ascii="Times New Roman" w:hAnsi="Times New Roman" w:cs="Times New Roman"/>
        </w:rPr>
        <w:t xml:space="preserve"> </w:t>
      </w:r>
    </w:p>
    <w:p w14:paraId="4B4A9A4E" w14:textId="77777777" w:rsidR="00A50E59" w:rsidRPr="00EA7C95" w:rsidRDefault="00A50E59" w:rsidP="00586C11">
      <w:pPr>
        <w:adjustRightInd w:val="0"/>
        <w:snapToGrid w:val="0"/>
        <w:spacing w:after="0" w:line="240" w:lineRule="auto"/>
        <w:rPr>
          <w:rFonts w:ascii="Times New Roman" w:hAnsi="Times New Roman" w:cs="Times New Roman"/>
        </w:rPr>
      </w:pPr>
    </w:p>
    <w:p w14:paraId="66ED82B0" w14:textId="77777777" w:rsidR="00EC68DD" w:rsidRPr="00EA7C95" w:rsidRDefault="00EC68DD" w:rsidP="00EC68DD">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SC8-SA-WP-01 Independent (Peer) Review of 2011 WCPO Bigeye Tuna Assessment. </w:t>
      </w:r>
      <w:hyperlink r:id="rId63" w:history="1">
        <w:r w:rsidRPr="00EA7C95">
          <w:rPr>
            <w:rStyle w:val="Hyperlink"/>
            <w:rFonts w:ascii="Times New Roman" w:hAnsi="Times New Roman" w:cs="Times New Roman"/>
          </w:rPr>
          <w:t>https://wcpfc.int/node/3131</w:t>
        </w:r>
      </w:hyperlink>
      <w:r w:rsidRPr="00EA7C95">
        <w:rPr>
          <w:rFonts w:ascii="Times New Roman" w:hAnsi="Times New Roman" w:cs="Times New Roman"/>
        </w:rPr>
        <w:t xml:space="preserve"> </w:t>
      </w:r>
    </w:p>
    <w:p w14:paraId="40BB7786" w14:textId="77777777" w:rsidR="00EC68DD" w:rsidRPr="00EA7C95" w:rsidRDefault="00EC68DD" w:rsidP="00EC68DD">
      <w:pPr>
        <w:adjustRightInd w:val="0"/>
        <w:snapToGrid w:val="0"/>
        <w:spacing w:after="0" w:line="240" w:lineRule="auto"/>
        <w:rPr>
          <w:rFonts w:ascii="Times New Roman" w:hAnsi="Times New Roman" w:cs="Times New Roman"/>
        </w:rPr>
      </w:pPr>
    </w:p>
    <w:p w14:paraId="080E7835" w14:textId="77777777" w:rsidR="00A50E59" w:rsidRPr="00EA7C95" w:rsidRDefault="00A50E59"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SC7-SA-WP-02 Stock assessment of bigeye tuna in the western and central Pacific Ocean. </w:t>
      </w:r>
      <w:hyperlink r:id="rId64" w:history="1">
        <w:r w:rsidRPr="00EA7C95">
          <w:rPr>
            <w:rStyle w:val="Hyperlink"/>
            <w:rFonts w:ascii="Times New Roman" w:hAnsi="Times New Roman" w:cs="Times New Roman"/>
          </w:rPr>
          <w:t>https://wcpfc.int/node/2785</w:t>
        </w:r>
      </w:hyperlink>
      <w:r w:rsidRPr="00EA7C95">
        <w:rPr>
          <w:rFonts w:ascii="Times New Roman" w:hAnsi="Times New Roman" w:cs="Times New Roman"/>
        </w:rPr>
        <w:t xml:space="preserve"> </w:t>
      </w:r>
    </w:p>
    <w:p w14:paraId="2E2642E0" w14:textId="77777777" w:rsidR="00715DA9" w:rsidRPr="00EA7C95" w:rsidRDefault="00715DA9" w:rsidP="00586C11">
      <w:pPr>
        <w:adjustRightInd w:val="0"/>
        <w:snapToGrid w:val="0"/>
        <w:spacing w:after="0" w:line="240" w:lineRule="auto"/>
        <w:rPr>
          <w:rFonts w:ascii="Times New Roman" w:hAnsi="Times New Roman" w:cs="Times New Roman"/>
        </w:rPr>
      </w:pPr>
    </w:p>
    <w:p w14:paraId="0CE05901" w14:textId="77777777" w:rsidR="00715DA9" w:rsidRPr="00EA7C95" w:rsidRDefault="00715DA9"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SC6-SA-WP-04 Stock assessment of bigeye tuna in the western and central Pacific Ocean. </w:t>
      </w:r>
      <w:hyperlink r:id="rId65" w:history="1">
        <w:r w:rsidRPr="00EA7C95">
          <w:rPr>
            <w:rStyle w:val="Hyperlink"/>
            <w:rFonts w:ascii="Times New Roman" w:hAnsi="Times New Roman" w:cs="Times New Roman"/>
          </w:rPr>
          <w:t>https://wcpfc.int/node/2467</w:t>
        </w:r>
      </w:hyperlink>
      <w:r w:rsidRPr="00EA7C95">
        <w:rPr>
          <w:rFonts w:ascii="Times New Roman" w:hAnsi="Times New Roman" w:cs="Times New Roman"/>
        </w:rPr>
        <w:t xml:space="preserve"> </w:t>
      </w:r>
    </w:p>
    <w:p w14:paraId="15C335BC" w14:textId="77777777" w:rsidR="00E920FA" w:rsidRPr="00EA7C95" w:rsidRDefault="00E920FA" w:rsidP="00586C11">
      <w:pPr>
        <w:adjustRightInd w:val="0"/>
        <w:snapToGrid w:val="0"/>
        <w:spacing w:after="0" w:line="240" w:lineRule="auto"/>
        <w:rPr>
          <w:rFonts w:ascii="Times New Roman" w:hAnsi="Times New Roman" w:cs="Times New Roman"/>
        </w:rPr>
      </w:pPr>
    </w:p>
    <w:p w14:paraId="7CF133E0" w14:textId="77777777" w:rsidR="00E920FA" w:rsidRPr="00EA7C95" w:rsidRDefault="00E920FA"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SC5-SA-WP-04 Stock assessment of bigeye tuna in the western and central Pacific Ocean. </w:t>
      </w:r>
      <w:hyperlink r:id="rId66" w:history="1">
        <w:r w:rsidRPr="00EA7C95">
          <w:rPr>
            <w:rStyle w:val="Hyperlink"/>
            <w:rFonts w:ascii="Times New Roman" w:hAnsi="Times New Roman" w:cs="Times New Roman"/>
          </w:rPr>
          <w:t>https://wcpfc.int/node/2157</w:t>
        </w:r>
      </w:hyperlink>
      <w:r w:rsidRPr="00EA7C95">
        <w:rPr>
          <w:rFonts w:ascii="Times New Roman" w:hAnsi="Times New Roman" w:cs="Times New Roman"/>
        </w:rPr>
        <w:t xml:space="preserve"> </w:t>
      </w:r>
    </w:p>
    <w:p w14:paraId="4C601C9F" w14:textId="77777777" w:rsidR="00D14454" w:rsidRPr="00EA7C95" w:rsidRDefault="00D14454" w:rsidP="00586C11">
      <w:pPr>
        <w:adjustRightInd w:val="0"/>
        <w:snapToGrid w:val="0"/>
        <w:spacing w:after="0" w:line="240" w:lineRule="auto"/>
        <w:rPr>
          <w:rFonts w:ascii="Times New Roman" w:hAnsi="Times New Roman" w:cs="Times New Roman"/>
        </w:rPr>
      </w:pPr>
    </w:p>
    <w:p w14:paraId="1E36F088" w14:textId="77777777" w:rsidR="00D14454" w:rsidRPr="00EA7C95" w:rsidRDefault="00D14454"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SC4-SA-WP-01 Stock assessment of bigeye tuna in the western and central Pacific Ocean, including an analysis of management options. </w:t>
      </w:r>
      <w:hyperlink r:id="rId67" w:history="1">
        <w:r w:rsidRPr="00EA7C95">
          <w:rPr>
            <w:rStyle w:val="Hyperlink"/>
            <w:rFonts w:ascii="Times New Roman" w:hAnsi="Times New Roman" w:cs="Times New Roman"/>
          </w:rPr>
          <w:t>https://wcpfc.int/node/1219</w:t>
        </w:r>
      </w:hyperlink>
      <w:r w:rsidRPr="00EA7C95">
        <w:rPr>
          <w:rFonts w:ascii="Times New Roman" w:hAnsi="Times New Roman" w:cs="Times New Roman"/>
        </w:rPr>
        <w:t xml:space="preserve"> </w:t>
      </w:r>
    </w:p>
    <w:p w14:paraId="3CB6530B" w14:textId="77777777" w:rsidR="001304EA" w:rsidRPr="00EA7C95" w:rsidRDefault="001304EA" w:rsidP="00586C11">
      <w:pPr>
        <w:adjustRightInd w:val="0"/>
        <w:snapToGrid w:val="0"/>
        <w:spacing w:after="0" w:line="240" w:lineRule="auto"/>
        <w:rPr>
          <w:rFonts w:ascii="Times New Roman" w:hAnsi="Times New Roman" w:cs="Times New Roman"/>
        </w:rPr>
      </w:pPr>
    </w:p>
    <w:p w14:paraId="399CAB55" w14:textId="77777777" w:rsidR="001304EA" w:rsidRPr="00EA7C95" w:rsidRDefault="001304EA"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SC4-SA-WP-02 A preliminary stock assessment of bigeye tuna in the western and central Pacific Ocean using stock synthesis 3 (SS3); A comparison with MULTIFAN-CL. </w:t>
      </w:r>
      <w:hyperlink r:id="rId68" w:history="1">
        <w:r w:rsidRPr="00EA7C95">
          <w:rPr>
            <w:rStyle w:val="Hyperlink"/>
            <w:rFonts w:ascii="Times New Roman" w:hAnsi="Times New Roman" w:cs="Times New Roman"/>
          </w:rPr>
          <w:t>https://wcpfc.int/node/1220</w:t>
        </w:r>
      </w:hyperlink>
      <w:r w:rsidRPr="00EA7C95">
        <w:rPr>
          <w:rFonts w:ascii="Times New Roman" w:hAnsi="Times New Roman" w:cs="Times New Roman"/>
        </w:rPr>
        <w:t xml:space="preserve"> </w:t>
      </w:r>
    </w:p>
    <w:p w14:paraId="4A65A9A7" w14:textId="77777777" w:rsidR="001E6C3A" w:rsidRPr="00EA7C95" w:rsidRDefault="001E6C3A" w:rsidP="00586C11">
      <w:pPr>
        <w:adjustRightInd w:val="0"/>
        <w:snapToGrid w:val="0"/>
        <w:spacing w:after="0" w:line="240" w:lineRule="auto"/>
        <w:rPr>
          <w:rFonts w:ascii="Times New Roman" w:hAnsi="Times New Roman" w:cs="Times New Roman"/>
        </w:rPr>
      </w:pPr>
    </w:p>
    <w:p w14:paraId="392A5A56" w14:textId="77777777" w:rsidR="001E6C3A" w:rsidRPr="00EA7C95" w:rsidRDefault="001E6C3A"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SC2-SA-WP-02 Stock assessment of bigeye tuna in the western and central Pacific Ocean, including an analysis of management options. </w:t>
      </w:r>
      <w:hyperlink r:id="rId69" w:history="1">
        <w:r w:rsidRPr="00EA7C95">
          <w:rPr>
            <w:rStyle w:val="Hyperlink"/>
            <w:rFonts w:ascii="Times New Roman" w:hAnsi="Times New Roman" w:cs="Times New Roman"/>
          </w:rPr>
          <w:t>https://wcpfc.int/node/1747</w:t>
        </w:r>
      </w:hyperlink>
      <w:r w:rsidRPr="00EA7C95">
        <w:rPr>
          <w:rFonts w:ascii="Times New Roman" w:hAnsi="Times New Roman" w:cs="Times New Roman"/>
        </w:rPr>
        <w:t xml:space="preserve">  </w:t>
      </w:r>
    </w:p>
    <w:p w14:paraId="28D879F3" w14:textId="77777777" w:rsidR="003347F1" w:rsidRPr="00EA7C95" w:rsidRDefault="003347F1" w:rsidP="00586C11">
      <w:pPr>
        <w:adjustRightInd w:val="0"/>
        <w:snapToGrid w:val="0"/>
        <w:spacing w:after="0" w:line="240" w:lineRule="auto"/>
        <w:rPr>
          <w:rFonts w:ascii="Times New Roman" w:hAnsi="Times New Roman" w:cs="Times New Roman"/>
        </w:rPr>
      </w:pPr>
    </w:p>
    <w:p w14:paraId="13CB178D" w14:textId="77777777" w:rsidR="003347F1" w:rsidRPr="00EA7C95" w:rsidRDefault="003347F1" w:rsidP="00586C11">
      <w:pPr>
        <w:adjustRightInd w:val="0"/>
        <w:snapToGrid w:val="0"/>
        <w:spacing w:after="0" w:line="240" w:lineRule="auto"/>
        <w:rPr>
          <w:rFonts w:ascii="Times New Roman" w:hAnsi="Times New Roman" w:cs="Times New Roman"/>
        </w:rPr>
      </w:pPr>
      <w:r w:rsidRPr="00EA7C95">
        <w:rPr>
          <w:rFonts w:ascii="Times New Roman" w:hAnsi="Times New Roman" w:cs="Times New Roman"/>
        </w:rPr>
        <w:t xml:space="preserve">SC1-SA-WP-02 Stock assessment of bigeye tuna in the Western and Central Pacific Ocean. </w:t>
      </w:r>
      <w:hyperlink r:id="rId70" w:history="1">
        <w:r w:rsidRPr="00EA7C95">
          <w:rPr>
            <w:rStyle w:val="Hyperlink"/>
            <w:rFonts w:ascii="Times New Roman" w:hAnsi="Times New Roman" w:cs="Times New Roman"/>
          </w:rPr>
          <w:t>https://wcpfc.int/node/1883</w:t>
        </w:r>
      </w:hyperlink>
      <w:r w:rsidRPr="00EA7C95">
        <w:rPr>
          <w:rFonts w:ascii="Times New Roman" w:hAnsi="Times New Roman" w:cs="Times New Roman"/>
        </w:rPr>
        <w:t xml:space="preserve"> </w:t>
      </w:r>
    </w:p>
    <w:p w14:paraId="21B83C6A" w14:textId="77777777" w:rsidR="00A50E59" w:rsidRPr="00586C11" w:rsidRDefault="00A50E59" w:rsidP="00586C11">
      <w:pPr>
        <w:adjustRightInd w:val="0"/>
        <w:snapToGrid w:val="0"/>
        <w:spacing w:after="0" w:line="240" w:lineRule="auto"/>
        <w:rPr>
          <w:rFonts w:ascii="Times New Roman" w:hAnsi="Times New Roman" w:cs="Times New Roman"/>
        </w:rPr>
      </w:pPr>
    </w:p>
    <w:sectPr w:rsidR="00A50E59" w:rsidRPr="00586C11" w:rsidSect="0024312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95FBF" w14:textId="77777777" w:rsidR="0060074A" w:rsidRDefault="0060074A" w:rsidP="005C2B8D">
      <w:pPr>
        <w:spacing w:after="0" w:line="240" w:lineRule="auto"/>
      </w:pPr>
      <w:r>
        <w:separator/>
      </w:r>
    </w:p>
  </w:endnote>
  <w:endnote w:type="continuationSeparator" w:id="0">
    <w:p w14:paraId="3D785621" w14:textId="77777777" w:rsidR="0060074A" w:rsidRDefault="0060074A"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784145"/>
      <w:docPartObj>
        <w:docPartGallery w:val="Page Numbers (Bottom of Page)"/>
        <w:docPartUnique/>
      </w:docPartObj>
    </w:sdtPr>
    <w:sdtEndPr>
      <w:rPr>
        <w:noProof/>
      </w:rPr>
    </w:sdtEndPr>
    <w:sdtContent>
      <w:p w14:paraId="71EA4754" w14:textId="77777777" w:rsidR="0024312A" w:rsidRDefault="0024312A">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43BF61A5" w14:textId="77777777" w:rsidR="0024312A" w:rsidRDefault="00243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62B48" w14:textId="77777777" w:rsidR="0060074A" w:rsidRDefault="0060074A" w:rsidP="005C2B8D">
      <w:pPr>
        <w:spacing w:after="0" w:line="240" w:lineRule="auto"/>
      </w:pPr>
      <w:r>
        <w:separator/>
      </w:r>
    </w:p>
  </w:footnote>
  <w:footnote w:type="continuationSeparator" w:id="0">
    <w:p w14:paraId="17E9C41F" w14:textId="77777777" w:rsidR="0060074A" w:rsidRDefault="0060074A"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A38A2"/>
    <w:multiLevelType w:val="hybridMultilevel"/>
    <w:tmpl w:val="A6AEF7F0"/>
    <w:lvl w:ilvl="0" w:tplc="5BF2EAE6">
      <w:start w:val="223"/>
      <w:numFmt w:val="decimal"/>
      <w:lvlText w:val="%1."/>
      <w:lvlJc w:val="left"/>
      <w:pPr>
        <w:ind w:left="120" w:hanging="720"/>
      </w:pPr>
      <w:rPr>
        <w:rFonts w:ascii="Times New Roman" w:eastAsia="Times New Roman" w:hAnsi="Times New Roman" w:cs="Times New Roman" w:hint="default"/>
        <w:w w:val="100"/>
        <w:sz w:val="22"/>
        <w:szCs w:val="22"/>
      </w:rPr>
    </w:lvl>
    <w:lvl w:ilvl="1" w:tplc="1196FD64">
      <w:numFmt w:val="bullet"/>
      <w:lvlText w:val="•"/>
      <w:lvlJc w:val="left"/>
      <w:pPr>
        <w:ind w:left="1068" w:hanging="720"/>
      </w:pPr>
      <w:rPr>
        <w:rFonts w:hint="default"/>
      </w:rPr>
    </w:lvl>
    <w:lvl w:ilvl="2" w:tplc="7548AABA">
      <w:numFmt w:val="bullet"/>
      <w:lvlText w:val="•"/>
      <w:lvlJc w:val="left"/>
      <w:pPr>
        <w:ind w:left="2016" w:hanging="720"/>
      </w:pPr>
      <w:rPr>
        <w:rFonts w:hint="default"/>
      </w:rPr>
    </w:lvl>
    <w:lvl w:ilvl="3" w:tplc="41C0F090">
      <w:numFmt w:val="bullet"/>
      <w:lvlText w:val="•"/>
      <w:lvlJc w:val="left"/>
      <w:pPr>
        <w:ind w:left="2964" w:hanging="720"/>
      </w:pPr>
      <w:rPr>
        <w:rFonts w:hint="default"/>
      </w:rPr>
    </w:lvl>
    <w:lvl w:ilvl="4" w:tplc="567EA5D0">
      <w:numFmt w:val="bullet"/>
      <w:lvlText w:val="•"/>
      <w:lvlJc w:val="left"/>
      <w:pPr>
        <w:ind w:left="3912" w:hanging="720"/>
      </w:pPr>
      <w:rPr>
        <w:rFonts w:hint="default"/>
      </w:rPr>
    </w:lvl>
    <w:lvl w:ilvl="5" w:tplc="A7B8D8DA">
      <w:numFmt w:val="bullet"/>
      <w:lvlText w:val="•"/>
      <w:lvlJc w:val="left"/>
      <w:pPr>
        <w:ind w:left="4860" w:hanging="720"/>
      </w:pPr>
      <w:rPr>
        <w:rFonts w:hint="default"/>
      </w:rPr>
    </w:lvl>
    <w:lvl w:ilvl="6" w:tplc="AA5E87BC">
      <w:numFmt w:val="bullet"/>
      <w:lvlText w:val="•"/>
      <w:lvlJc w:val="left"/>
      <w:pPr>
        <w:ind w:left="5808" w:hanging="720"/>
      </w:pPr>
      <w:rPr>
        <w:rFonts w:hint="default"/>
      </w:rPr>
    </w:lvl>
    <w:lvl w:ilvl="7" w:tplc="9B8CC0FA">
      <w:numFmt w:val="bullet"/>
      <w:lvlText w:val="•"/>
      <w:lvlJc w:val="left"/>
      <w:pPr>
        <w:ind w:left="6756" w:hanging="720"/>
      </w:pPr>
      <w:rPr>
        <w:rFonts w:hint="default"/>
      </w:rPr>
    </w:lvl>
    <w:lvl w:ilvl="8" w:tplc="ABE6035C">
      <w:numFmt w:val="bullet"/>
      <w:lvlText w:val="•"/>
      <w:lvlJc w:val="left"/>
      <w:pPr>
        <w:ind w:left="7704" w:hanging="720"/>
      </w:pPr>
      <w:rPr>
        <w:rFonts w:hint="default"/>
      </w:rPr>
    </w:lvl>
  </w:abstractNum>
  <w:abstractNum w:abstractNumId="1" w15:restartNumberingAfterBreak="0">
    <w:nsid w:val="16B72634"/>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175402"/>
    <w:multiLevelType w:val="hybridMultilevel"/>
    <w:tmpl w:val="123E5B66"/>
    <w:lvl w:ilvl="0" w:tplc="3AF05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FC1566"/>
    <w:multiLevelType w:val="hybridMultilevel"/>
    <w:tmpl w:val="5210BA08"/>
    <w:lvl w:ilvl="0" w:tplc="7706A668">
      <w:start w:val="223"/>
      <w:numFmt w:val="decimal"/>
      <w:lvlText w:val="%1."/>
      <w:lvlJc w:val="left"/>
      <w:pPr>
        <w:ind w:left="120" w:hanging="720"/>
      </w:pPr>
      <w:rPr>
        <w:rFonts w:ascii="Times New Roman" w:eastAsia="Times New Roman" w:hAnsi="Times New Roman" w:cs="Times New Roman" w:hint="default"/>
        <w:w w:val="100"/>
        <w:sz w:val="22"/>
        <w:szCs w:val="22"/>
      </w:rPr>
    </w:lvl>
    <w:lvl w:ilvl="1" w:tplc="673A8B1E">
      <w:numFmt w:val="bullet"/>
      <w:lvlText w:val="•"/>
      <w:lvlJc w:val="left"/>
      <w:pPr>
        <w:ind w:left="1068" w:hanging="720"/>
      </w:pPr>
      <w:rPr>
        <w:rFonts w:hint="default"/>
      </w:rPr>
    </w:lvl>
    <w:lvl w:ilvl="2" w:tplc="9BCEB07C">
      <w:numFmt w:val="bullet"/>
      <w:lvlText w:val="•"/>
      <w:lvlJc w:val="left"/>
      <w:pPr>
        <w:ind w:left="2016" w:hanging="720"/>
      </w:pPr>
      <w:rPr>
        <w:rFonts w:hint="default"/>
      </w:rPr>
    </w:lvl>
    <w:lvl w:ilvl="3" w:tplc="F2148504">
      <w:numFmt w:val="bullet"/>
      <w:lvlText w:val="•"/>
      <w:lvlJc w:val="left"/>
      <w:pPr>
        <w:ind w:left="2964" w:hanging="720"/>
      </w:pPr>
      <w:rPr>
        <w:rFonts w:hint="default"/>
      </w:rPr>
    </w:lvl>
    <w:lvl w:ilvl="4" w:tplc="586A31B6">
      <w:numFmt w:val="bullet"/>
      <w:lvlText w:val="•"/>
      <w:lvlJc w:val="left"/>
      <w:pPr>
        <w:ind w:left="3912" w:hanging="720"/>
      </w:pPr>
      <w:rPr>
        <w:rFonts w:hint="default"/>
      </w:rPr>
    </w:lvl>
    <w:lvl w:ilvl="5" w:tplc="6FB4C228">
      <w:numFmt w:val="bullet"/>
      <w:lvlText w:val="•"/>
      <w:lvlJc w:val="left"/>
      <w:pPr>
        <w:ind w:left="4860" w:hanging="720"/>
      </w:pPr>
      <w:rPr>
        <w:rFonts w:hint="default"/>
      </w:rPr>
    </w:lvl>
    <w:lvl w:ilvl="6" w:tplc="08FCFA26">
      <w:numFmt w:val="bullet"/>
      <w:lvlText w:val="•"/>
      <w:lvlJc w:val="left"/>
      <w:pPr>
        <w:ind w:left="5808" w:hanging="720"/>
      </w:pPr>
      <w:rPr>
        <w:rFonts w:hint="default"/>
      </w:rPr>
    </w:lvl>
    <w:lvl w:ilvl="7" w:tplc="4DA41E36">
      <w:numFmt w:val="bullet"/>
      <w:lvlText w:val="•"/>
      <w:lvlJc w:val="left"/>
      <w:pPr>
        <w:ind w:left="6756" w:hanging="720"/>
      </w:pPr>
      <w:rPr>
        <w:rFonts w:hint="default"/>
      </w:rPr>
    </w:lvl>
    <w:lvl w:ilvl="8" w:tplc="6BECB312">
      <w:numFmt w:val="bullet"/>
      <w:lvlText w:val="•"/>
      <w:lvlJc w:val="left"/>
      <w:pPr>
        <w:ind w:left="7704" w:hanging="720"/>
      </w:pPr>
      <w:rPr>
        <w:rFonts w:hint="default"/>
      </w:rPr>
    </w:lvl>
  </w:abstractNum>
  <w:abstractNum w:abstractNumId="4" w15:restartNumberingAfterBreak="0">
    <w:nsid w:val="29D75C79"/>
    <w:multiLevelType w:val="hybridMultilevel"/>
    <w:tmpl w:val="29260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15885"/>
    <w:multiLevelType w:val="hybridMultilevel"/>
    <w:tmpl w:val="DCD43DC2"/>
    <w:lvl w:ilvl="0" w:tplc="8D4AF84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5617F5"/>
    <w:multiLevelType w:val="hybridMultilevel"/>
    <w:tmpl w:val="E6A609E2"/>
    <w:lvl w:ilvl="0" w:tplc="8B282182">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15:restartNumberingAfterBreak="0">
    <w:nsid w:val="31F77D21"/>
    <w:multiLevelType w:val="hybridMultilevel"/>
    <w:tmpl w:val="4F7A839E"/>
    <w:lvl w:ilvl="0" w:tplc="C182337E">
      <w:start w:val="1"/>
      <w:numFmt w:val="lowerLetter"/>
      <w:lvlText w:val="%1."/>
      <w:lvlJc w:val="left"/>
      <w:pPr>
        <w:ind w:left="840" w:hanging="360"/>
      </w:pPr>
      <w:rPr>
        <w:rFonts w:ascii="Times New Roman" w:eastAsia="Times New Roman" w:hAnsi="Times New Roman" w:cs="Times New Roman" w:hint="default"/>
        <w:b/>
        <w:bCs/>
        <w:w w:val="100"/>
        <w:sz w:val="22"/>
        <w:szCs w:val="22"/>
      </w:rPr>
    </w:lvl>
    <w:lvl w:ilvl="1" w:tplc="E33297A0">
      <w:numFmt w:val="bullet"/>
      <w:lvlText w:val="•"/>
      <w:lvlJc w:val="left"/>
      <w:pPr>
        <w:ind w:left="1716" w:hanging="360"/>
      </w:pPr>
      <w:rPr>
        <w:rFonts w:hint="default"/>
      </w:rPr>
    </w:lvl>
    <w:lvl w:ilvl="2" w:tplc="68E80B52">
      <w:numFmt w:val="bullet"/>
      <w:lvlText w:val="•"/>
      <w:lvlJc w:val="left"/>
      <w:pPr>
        <w:ind w:left="2592" w:hanging="360"/>
      </w:pPr>
      <w:rPr>
        <w:rFonts w:hint="default"/>
      </w:rPr>
    </w:lvl>
    <w:lvl w:ilvl="3" w:tplc="83AA7F7C">
      <w:numFmt w:val="bullet"/>
      <w:lvlText w:val="•"/>
      <w:lvlJc w:val="left"/>
      <w:pPr>
        <w:ind w:left="3468" w:hanging="360"/>
      </w:pPr>
      <w:rPr>
        <w:rFonts w:hint="default"/>
      </w:rPr>
    </w:lvl>
    <w:lvl w:ilvl="4" w:tplc="3B50DAC4">
      <w:numFmt w:val="bullet"/>
      <w:lvlText w:val="•"/>
      <w:lvlJc w:val="left"/>
      <w:pPr>
        <w:ind w:left="4344" w:hanging="360"/>
      </w:pPr>
      <w:rPr>
        <w:rFonts w:hint="default"/>
      </w:rPr>
    </w:lvl>
    <w:lvl w:ilvl="5" w:tplc="487ACC78">
      <w:numFmt w:val="bullet"/>
      <w:lvlText w:val="•"/>
      <w:lvlJc w:val="left"/>
      <w:pPr>
        <w:ind w:left="5220" w:hanging="360"/>
      </w:pPr>
      <w:rPr>
        <w:rFonts w:hint="default"/>
      </w:rPr>
    </w:lvl>
    <w:lvl w:ilvl="6" w:tplc="92CABC0C">
      <w:numFmt w:val="bullet"/>
      <w:lvlText w:val="•"/>
      <w:lvlJc w:val="left"/>
      <w:pPr>
        <w:ind w:left="6096" w:hanging="360"/>
      </w:pPr>
      <w:rPr>
        <w:rFonts w:hint="default"/>
      </w:rPr>
    </w:lvl>
    <w:lvl w:ilvl="7" w:tplc="C5F61D2A">
      <w:numFmt w:val="bullet"/>
      <w:lvlText w:val="•"/>
      <w:lvlJc w:val="left"/>
      <w:pPr>
        <w:ind w:left="6972" w:hanging="360"/>
      </w:pPr>
      <w:rPr>
        <w:rFonts w:hint="default"/>
      </w:rPr>
    </w:lvl>
    <w:lvl w:ilvl="8" w:tplc="3FF023EC">
      <w:numFmt w:val="bullet"/>
      <w:lvlText w:val="•"/>
      <w:lvlJc w:val="left"/>
      <w:pPr>
        <w:ind w:left="7848" w:hanging="360"/>
      </w:pPr>
      <w:rPr>
        <w:rFonts w:hint="default"/>
      </w:rPr>
    </w:lvl>
  </w:abstractNum>
  <w:abstractNum w:abstractNumId="8" w15:restartNumberingAfterBreak="0">
    <w:nsid w:val="359563F3"/>
    <w:multiLevelType w:val="hybridMultilevel"/>
    <w:tmpl w:val="67C6865A"/>
    <w:lvl w:ilvl="0" w:tplc="209C6ABC">
      <w:start w:val="1"/>
      <w:numFmt w:val="decimal"/>
      <w:lvlText w:val="%1)"/>
      <w:lvlJc w:val="left"/>
      <w:pPr>
        <w:ind w:left="1080" w:hanging="360"/>
      </w:pPr>
      <w:rPr>
        <w:rFonts w:hint="eastAsi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09250E"/>
    <w:multiLevelType w:val="hybridMultilevel"/>
    <w:tmpl w:val="622CA55E"/>
    <w:lvl w:ilvl="0" w:tplc="426A6D58">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7631A39"/>
    <w:multiLevelType w:val="hybridMultilevel"/>
    <w:tmpl w:val="5310FD90"/>
    <w:lvl w:ilvl="0" w:tplc="B8400822">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rPr>
        <w:rFonts w:hint="default"/>
      </w:rPr>
    </w:lvl>
    <w:lvl w:ilvl="2" w:tplc="61489D3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C5DDF"/>
    <w:multiLevelType w:val="hybridMultilevel"/>
    <w:tmpl w:val="EEC80EEC"/>
    <w:lvl w:ilvl="0" w:tplc="5F64F0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113D46"/>
    <w:multiLevelType w:val="hybridMultilevel"/>
    <w:tmpl w:val="9D764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21521"/>
    <w:multiLevelType w:val="hybridMultilevel"/>
    <w:tmpl w:val="314216F2"/>
    <w:lvl w:ilvl="0" w:tplc="90626218">
      <w:start w:val="1"/>
      <w:numFmt w:val="lowerLetter"/>
      <w:lvlText w:val="%1)"/>
      <w:lvlJc w:val="left"/>
      <w:pPr>
        <w:ind w:left="1080" w:hanging="360"/>
      </w:pPr>
      <w:rPr>
        <w:rFonts w:hint="default"/>
      </w:rPr>
    </w:lvl>
    <w:lvl w:ilvl="1" w:tplc="2070D07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4A28CD"/>
    <w:multiLevelType w:val="hybridMultilevel"/>
    <w:tmpl w:val="2918EA96"/>
    <w:lvl w:ilvl="0" w:tplc="EC5049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15:restartNumberingAfterBreak="0">
    <w:nsid w:val="4B88699B"/>
    <w:multiLevelType w:val="hybridMultilevel"/>
    <w:tmpl w:val="3FC4C30E"/>
    <w:lvl w:ilvl="0" w:tplc="8B282182">
      <w:start w:val="1"/>
      <w:numFmt w:val="lowerRoman"/>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6"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B4D3502"/>
    <w:multiLevelType w:val="hybridMultilevel"/>
    <w:tmpl w:val="4BA44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5407E5"/>
    <w:multiLevelType w:val="hybridMultilevel"/>
    <w:tmpl w:val="B89E2A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D94F1F"/>
    <w:multiLevelType w:val="hybridMultilevel"/>
    <w:tmpl w:val="0B74B8B4"/>
    <w:lvl w:ilvl="0" w:tplc="5EF8DE70">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9"/>
  </w:num>
  <w:num w:numId="3">
    <w:abstractNumId w:val="16"/>
  </w:num>
  <w:num w:numId="4">
    <w:abstractNumId w:val="0"/>
  </w:num>
  <w:num w:numId="5">
    <w:abstractNumId w:val="7"/>
  </w:num>
  <w:num w:numId="6">
    <w:abstractNumId w:val="3"/>
  </w:num>
  <w:num w:numId="7">
    <w:abstractNumId w:val="14"/>
  </w:num>
  <w:num w:numId="8">
    <w:abstractNumId w:val="6"/>
  </w:num>
  <w:num w:numId="9">
    <w:abstractNumId w:val="15"/>
  </w:num>
  <w:num w:numId="10">
    <w:abstractNumId w:val="19"/>
  </w:num>
  <w:num w:numId="11">
    <w:abstractNumId w:val="13"/>
  </w:num>
  <w:num w:numId="12">
    <w:abstractNumId w:val="10"/>
  </w:num>
  <w:num w:numId="13">
    <w:abstractNumId w:val="2"/>
  </w:num>
  <w:num w:numId="14">
    <w:abstractNumId w:val="20"/>
  </w:num>
  <w:num w:numId="15">
    <w:abstractNumId w:val="9"/>
    <w:lvlOverride w:ilvl="0">
      <w:startOverride w:val="1"/>
    </w:lvlOverride>
  </w:num>
  <w:num w:numId="16">
    <w:abstractNumId w:val="4"/>
  </w:num>
  <w:num w:numId="17">
    <w:abstractNumId w:val="8"/>
  </w:num>
  <w:num w:numId="18">
    <w:abstractNumId w:val="9"/>
    <w:lvlOverride w:ilvl="0">
      <w:startOverride w:val="1"/>
    </w:lvlOverride>
  </w:num>
  <w:num w:numId="19">
    <w:abstractNumId w:val="11"/>
  </w:num>
  <w:num w:numId="20">
    <w:abstractNumId w:val="5"/>
  </w:num>
  <w:num w:numId="21">
    <w:abstractNumId w:val="12"/>
  </w:num>
  <w:num w:numId="22">
    <w:abstractNumId w:val="1"/>
  </w:num>
  <w:num w:numId="23">
    <w:abstractNumId w:val="18"/>
  </w:num>
  <w:num w:numId="24">
    <w:abstractNumId w:val="9"/>
  </w:num>
  <w:num w:numId="25">
    <w:abstractNumId w:val="9"/>
  </w:num>
  <w:num w:numId="26">
    <w:abstractNumId w:val="9"/>
  </w:num>
  <w:num w:numId="27">
    <w:abstractNumId w:val="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DF"/>
    <w:rsid w:val="00091D6D"/>
    <w:rsid w:val="000D18D3"/>
    <w:rsid w:val="00114DAF"/>
    <w:rsid w:val="001304EA"/>
    <w:rsid w:val="00163867"/>
    <w:rsid w:val="00181CB2"/>
    <w:rsid w:val="00184236"/>
    <w:rsid w:val="00185763"/>
    <w:rsid w:val="001C1CF2"/>
    <w:rsid w:val="001E6C3A"/>
    <w:rsid w:val="001F72E6"/>
    <w:rsid w:val="00202FF3"/>
    <w:rsid w:val="00203A6F"/>
    <w:rsid w:val="00216714"/>
    <w:rsid w:val="0023671B"/>
    <w:rsid w:val="0024312A"/>
    <w:rsid w:val="00267C6A"/>
    <w:rsid w:val="00282A9D"/>
    <w:rsid w:val="00292D0D"/>
    <w:rsid w:val="002977B0"/>
    <w:rsid w:val="0032426C"/>
    <w:rsid w:val="003347F1"/>
    <w:rsid w:val="00350E72"/>
    <w:rsid w:val="00406E9C"/>
    <w:rsid w:val="00433609"/>
    <w:rsid w:val="004348DB"/>
    <w:rsid w:val="00487246"/>
    <w:rsid w:val="004B05DF"/>
    <w:rsid w:val="004C58D3"/>
    <w:rsid w:val="00501064"/>
    <w:rsid w:val="005168CF"/>
    <w:rsid w:val="005221F0"/>
    <w:rsid w:val="005374AB"/>
    <w:rsid w:val="00567907"/>
    <w:rsid w:val="00570E6C"/>
    <w:rsid w:val="005828AD"/>
    <w:rsid w:val="00586C11"/>
    <w:rsid w:val="005B29DB"/>
    <w:rsid w:val="005C2B8D"/>
    <w:rsid w:val="0060074A"/>
    <w:rsid w:val="006779AF"/>
    <w:rsid w:val="00681561"/>
    <w:rsid w:val="00702120"/>
    <w:rsid w:val="00715DA9"/>
    <w:rsid w:val="007212D3"/>
    <w:rsid w:val="007215D6"/>
    <w:rsid w:val="0073054D"/>
    <w:rsid w:val="007425D0"/>
    <w:rsid w:val="00751FEE"/>
    <w:rsid w:val="007C0132"/>
    <w:rsid w:val="007C7A25"/>
    <w:rsid w:val="007D675F"/>
    <w:rsid w:val="007E6DBE"/>
    <w:rsid w:val="007F084A"/>
    <w:rsid w:val="007F6AFE"/>
    <w:rsid w:val="008017E1"/>
    <w:rsid w:val="00805C42"/>
    <w:rsid w:val="00843C43"/>
    <w:rsid w:val="00853EB0"/>
    <w:rsid w:val="008649C0"/>
    <w:rsid w:val="00867480"/>
    <w:rsid w:val="00871505"/>
    <w:rsid w:val="008F5B6C"/>
    <w:rsid w:val="00934BC8"/>
    <w:rsid w:val="0097143D"/>
    <w:rsid w:val="009933A7"/>
    <w:rsid w:val="009C5B15"/>
    <w:rsid w:val="00A17A2A"/>
    <w:rsid w:val="00A23D3D"/>
    <w:rsid w:val="00A42D78"/>
    <w:rsid w:val="00A50E59"/>
    <w:rsid w:val="00B141DA"/>
    <w:rsid w:val="00B42F6C"/>
    <w:rsid w:val="00B54466"/>
    <w:rsid w:val="00B93350"/>
    <w:rsid w:val="00BB6E7A"/>
    <w:rsid w:val="00BD0310"/>
    <w:rsid w:val="00C1403E"/>
    <w:rsid w:val="00C578A4"/>
    <w:rsid w:val="00C64AF4"/>
    <w:rsid w:val="00C73552"/>
    <w:rsid w:val="00CC3DC6"/>
    <w:rsid w:val="00CC59BE"/>
    <w:rsid w:val="00CD5D04"/>
    <w:rsid w:val="00CE0564"/>
    <w:rsid w:val="00D14454"/>
    <w:rsid w:val="00DE36F6"/>
    <w:rsid w:val="00E22FD9"/>
    <w:rsid w:val="00E33C0B"/>
    <w:rsid w:val="00E465D9"/>
    <w:rsid w:val="00E920FA"/>
    <w:rsid w:val="00EA7C95"/>
    <w:rsid w:val="00EC68DD"/>
    <w:rsid w:val="00EF42E0"/>
    <w:rsid w:val="00F2719B"/>
    <w:rsid w:val="00F27795"/>
    <w:rsid w:val="00F62613"/>
    <w:rsid w:val="00FA3BCD"/>
    <w:rsid w:val="00FB657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BE6F4"/>
  <w15:docId w15:val="{58F439A1-525C-45B6-AD52-9FE8E33B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nhideWhenUsed/>
    <w:qFormat/>
    <w:rsid w:val="004B05DF"/>
    <w:pPr>
      <w:spacing w:after="200" w:line="240" w:lineRule="auto"/>
    </w:pPr>
    <w:rPr>
      <w:i/>
      <w:iCs/>
      <w:color w:val="44546A" w:themeColor="text2"/>
      <w:sz w:val="18"/>
      <w:szCs w:val="18"/>
    </w:rPr>
  </w:style>
  <w:style w:type="character" w:customStyle="1" w:styleId="Mention1">
    <w:name w:val="Mention1"/>
    <w:basedOn w:val="DefaultParagraphFont"/>
    <w:uiPriority w:val="99"/>
    <w:semiHidden/>
    <w:unhideWhenUsed/>
    <w:rsid w:val="005374AB"/>
    <w:rPr>
      <w:color w:val="2B579A"/>
      <w:shd w:val="clear" w:color="auto" w:fill="E6E6E6"/>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0132"/>
    <w:rPr>
      <w:color w:val="808080"/>
      <w:shd w:val="clear" w:color="auto" w:fill="E6E6E6"/>
    </w:rPr>
  </w:style>
  <w:style w:type="paragraph" w:styleId="BodyText">
    <w:name w:val="Body Text"/>
    <w:basedOn w:val="Normal"/>
    <w:link w:val="BodyTextChar"/>
    <w:uiPriority w:val="1"/>
    <w:qFormat/>
    <w:rsid w:val="00CD5D04"/>
    <w:pPr>
      <w:widowControl w:val="0"/>
      <w:autoSpaceDE w:val="0"/>
      <w:autoSpaceDN w:val="0"/>
      <w:spacing w:after="0" w:line="240" w:lineRule="auto"/>
    </w:pPr>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CD5D04"/>
    <w:rPr>
      <w:rFonts w:ascii="Times New Roman" w:eastAsia="Times New Roman" w:hAnsi="Times New Roman" w:cs="Times New Roman"/>
      <w:b/>
      <w:bCs/>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CD5D04"/>
    <w:pPr>
      <w:widowControl w:val="0"/>
      <w:autoSpaceDE w:val="0"/>
      <w:autoSpaceDN w:val="0"/>
      <w:spacing w:after="0" w:line="240" w:lineRule="auto"/>
      <w:ind w:left="100" w:right="116"/>
      <w:jc w:val="both"/>
    </w:pPr>
    <w:rPr>
      <w:rFonts w:ascii="Times New Roman" w:eastAsia="Times New Roman" w:hAnsi="Times New Roman" w:cs="Times New Roman"/>
    </w:rPr>
  </w:style>
  <w:style w:type="paragraph" w:customStyle="1" w:styleId="TableParagraph">
    <w:name w:val="Table Paragraph"/>
    <w:basedOn w:val="Normal"/>
    <w:uiPriority w:val="1"/>
    <w:qFormat/>
    <w:rsid w:val="00CD5D04"/>
    <w:pPr>
      <w:widowControl w:val="0"/>
      <w:autoSpaceDE w:val="0"/>
      <w:autoSpaceDN w:val="0"/>
      <w:spacing w:after="0" w:line="247" w:lineRule="exact"/>
      <w:ind w:left="191"/>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CD5D04"/>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CD5D04"/>
    <w:pPr>
      <w:spacing w:after="0" w:line="240" w:lineRule="auto"/>
    </w:pPr>
    <w:rPr>
      <w:rFonts w:ascii="Tahoma" w:eastAsiaTheme="minorEastAsia" w:hAnsi="Tahoma" w:cs="Tahoma"/>
      <w:sz w:val="16"/>
      <w:szCs w:val="16"/>
    </w:rPr>
  </w:style>
  <w:style w:type="character" w:customStyle="1" w:styleId="CommentTextChar">
    <w:name w:val="Comment Text Char"/>
    <w:basedOn w:val="DefaultParagraphFont"/>
    <w:link w:val="CommentText"/>
    <w:uiPriority w:val="99"/>
    <w:semiHidden/>
    <w:rsid w:val="00CD5D04"/>
    <w:rPr>
      <w:rFonts w:eastAsiaTheme="minorEastAsia"/>
    </w:rPr>
  </w:style>
  <w:style w:type="paragraph" w:styleId="CommentText">
    <w:name w:val="annotation text"/>
    <w:basedOn w:val="Normal"/>
    <w:link w:val="CommentTextChar"/>
    <w:uiPriority w:val="99"/>
    <w:semiHidden/>
    <w:unhideWhenUsed/>
    <w:rsid w:val="00CD5D04"/>
    <w:pPr>
      <w:spacing w:after="200" w:line="276" w:lineRule="auto"/>
    </w:pPr>
    <w:rPr>
      <w:rFonts w:eastAsiaTheme="minorEastAsia"/>
    </w:rPr>
  </w:style>
  <w:style w:type="character" w:customStyle="1" w:styleId="CommentSubjectChar">
    <w:name w:val="Comment Subject Char"/>
    <w:basedOn w:val="CommentTextChar"/>
    <w:link w:val="CommentSubject"/>
    <w:uiPriority w:val="99"/>
    <w:semiHidden/>
    <w:rsid w:val="00CD5D04"/>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CD5D04"/>
    <w:pPr>
      <w:spacing w:line="240" w:lineRule="auto"/>
    </w:pPr>
    <w:rPr>
      <w:b/>
      <w:bCs/>
      <w:sz w:val="20"/>
      <w:szCs w:val="20"/>
    </w:rPr>
  </w:style>
  <w:style w:type="paragraph" w:styleId="Header">
    <w:name w:val="header"/>
    <w:basedOn w:val="Normal"/>
    <w:link w:val="HeaderChar"/>
    <w:uiPriority w:val="99"/>
    <w:unhideWhenUsed/>
    <w:rsid w:val="00350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E72"/>
  </w:style>
  <w:style w:type="paragraph" w:styleId="Footer">
    <w:name w:val="footer"/>
    <w:basedOn w:val="Normal"/>
    <w:link w:val="FooterChar"/>
    <w:uiPriority w:val="99"/>
    <w:unhideWhenUsed/>
    <w:rsid w:val="00350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E72"/>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9933A7"/>
    <w:rPr>
      <w:rFonts w:ascii="Times New Roman" w:eastAsia="Times New Roman" w:hAnsi="Times New Roman" w:cs="Times New Roman"/>
    </w:rPr>
  </w:style>
  <w:style w:type="character" w:customStyle="1" w:styleId="WCPFCChar">
    <w:name w:val="WCPFC Char"/>
    <w:basedOn w:val="DefaultParagraphFont"/>
    <w:link w:val="WCPFC"/>
    <w:rsid w:val="008017E1"/>
    <w:rPr>
      <w:rFonts w:ascii="Times New Roman" w:eastAsia="Malgun Gothic" w:hAnsi="Times New Roman" w:cs="Times New Roman"/>
      <w:lang w:val="en-NZ" w:eastAsia="en-NZ"/>
    </w:rPr>
  </w:style>
  <w:style w:type="character" w:styleId="UnresolvedMention">
    <w:name w:val="Unresolved Mention"/>
    <w:basedOn w:val="DefaultParagraphFont"/>
    <w:uiPriority w:val="99"/>
    <w:semiHidden/>
    <w:unhideWhenUsed/>
    <w:rsid w:val="00871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526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4.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hyperlink" Target="https://www.wcpfc.int/node/42927" TargetMode="External"/><Relationship Id="rId63" Type="http://schemas.openxmlformats.org/officeDocument/2006/relationships/hyperlink" Target="https://wcpfc.int/node/3131" TargetMode="External"/><Relationship Id="rId68" Type="http://schemas.openxmlformats.org/officeDocument/2006/relationships/hyperlink" Target="https://wcpfc.int/node/122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cpfc.int/node/32155" TargetMode="External"/><Relationship Id="rId32" Type="http://schemas.openxmlformats.org/officeDocument/2006/relationships/footer" Target="footer1.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wcpfc.int/node/46609" TargetMode="External"/><Relationship Id="rId58" Type="http://schemas.openxmlformats.org/officeDocument/2006/relationships/hyperlink" Target="https://www.wcpfc.int/node/31012" TargetMode="External"/><Relationship Id="rId66" Type="http://schemas.openxmlformats.org/officeDocument/2006/relationships/hyperlink" Target="https://wcpfc.int/node/215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32155"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oleObject" Target="embeddings/oleObject1.bin"/><Relationship Id="rId57" Type="http://schemas.openxmlformats.org/officeDocument/2006/relationships/hyperlink" Target="https://www.wcpfc.int/node/43329" TargetMode="External"/><Relationship Id="rId61" Type="http://schemas.openxmlformats.org/officeDocument/2006/relationships/hyperlink" Target="https://wcpfc.int/node/1914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https://www.wcpfc.int/node/29518" TargetMode="External"/><Relationship Id="rId65" Type="http://schemas.openxmlformats.org/officeDocument/2006/relationships/hyperlink" Target="https://wcpfc.int/node/24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www.wcpfc.int/node/42928" TargetMode="External"/><Relationship Id="rId64" Type="http://schemas.openxmlformats.org/officeDocument/2006/relationships/hyperlink" Target="https://wcpfc.int/node/2785" TargetMode="External"/><Relationship Id="rId69" Type="http://schemas.openxmlformats.org/officeDocument/2006/relationships/hyperlink" Target="https://wcpfc.int/node/1747"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wcpfc.int/node/31047" TargetMode="External"/><Relationship Id="rId67" Type="http://schemas.openxmlformats.org/officeDocument/2006/relationships/hyperlink" Target="https://wcpfc.int/node/1219"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www.wcpfc.int/node/46610" TargetMode="External"/><Relationship Id="rId62" Type="http://schemas.openxmlformats.org/officeDocument/2006/relationships/hyperlink" Target="https://wcpfc.int/node/18975" TargetMode="External"/><Relationship Id="rId70" Type="http://schemas.openxmlformats.org/officeDocument/2006/relationships/hyperlink" Target="https://wcpfc.int/node/1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F38C-E027-483A-A909-4644180E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8197</Words>
  <Characters>46726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J. Beeching</dc:creator>
  <cp:lastModifiedBy>SungKwon Soh</cp:lastModifiedBy>
  <cp:revision>2</cp:revision>
  <dcterms:created xsi:type="dcterms:W3CDTF">2021-02-16T06:16:00Z</dcterms:created>
  <dcterms:modified xsi:type="dcterms:W3CDTF">2021-02-16T06:16:00Z</dcterms:modified>
</cp:coreProperties>
</file>