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77A2A" w14:textId="77777777" w:rsidR="00493657" w:rsidRPr="00CA3AFC" w:rsidRDefault="00493657" w:rsidP="00CA3AFC">
      <w:pPr>
        <w:autoSpaceDE w:val="0"/>
        <w:autoSpaceDN w:val="0"/>
        <w:adjustRightInd w:val="0"/>
        <w:snapToGrid w:val="0"/>
        <w:spacing w:after="0" w:line="240" w:lineRule="auto"/>
        <w:jc w:val="center"/>
        <w:rPr>
          <w:rFonts w:ascii="Times New Roman" w:hAnsi="Times New Roman" w:cs="Times New Roman"/>
          <w:b/>
          <w:bCs/>
          <w:lang w:val="en-AU" w:eastAsia="en-NZ"/>
        </w:rPr>
      </w:pPr>
    </w:p>
    <w:p w14:paraId="2EE6A0AF" w14:textId="77777777" w:rsidR="00493657" w:rsidRPr="00CA3AFC" w:rsidRDefault="00493657" w:rsidP="00CA3AFC">
      <w:pPr>
        <w:autoSpaceDE w:val="0"/>
        <w:autoSpaceDN w:val="0"/>
        <w:adjustRightInd w:val="0"/>
        <w:snapToGrid w:val="0"/>
        <w:spacing w:after="0" w:line="240" w:lineRule="auto"/>
        <w:jc w:val="center"/>
        <w:rPr>
          <w:rFonts w:ascii="Times New Roman" w:hAnsi="Times New Roman" w:cs="Times New Roman"/>
          <w:b/>
          <w:bCs/>
          <w:lang w:val="en-AU" w:eastAsia="en-NZ"/>
        </w:rPr>
      </w:pPr>
    </w:p>
    <w:p w14:paraId="60AF2420" w14:textId="77777777" w:rsidR="00493657" w:rsidRPr="00CA3AFC" w:rsidRDefault="00493657" w:rsidP="00CA3AFC">
      <w:pPr>
        <w:autoSpaceDE w:val="0"/>
        <w:autoSpaceDN w:val="0"/>
        <w:adjustRightInd w:val="0"/>
        <w:snapToGrid w:val="0"/>
        <w:spacing w:after="0" w:line="240" w:lineRule="auto"/>
        <w:jc w:val="center"/>
        <w:rPr>
          <w:rFonts w:ascii="Times New Roman" w:hAnsi="Times New Roman" w:cs="Times New Roman"/>
          <w:b/>
          <w:bCs/>
          <w:lang w:val="en-AU" w:eastAsia="en-NZ"/>
        </w:rPr>
      </w:pPr>
      <w:r w:rsidRPr="00CA3AFC">
        <w:rPr>
          <w:rFonts w:ascii="Times New Roman" w:hAnsi="Times New Roman" w:cs="Times New Roman"/>
          <w:noProof/>
          <w:lang w:eastAsia="zh-CN" w:bidi="mn-Mong-CN"/>
        </w:rPr>
        <w:drawing>
          <wp:inline distT="0" distB="0" distL="0" distR="0" wp14:anchorId="6252120F" wp14:editId="018BB2F4">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3A09D590" w14:textId="77777777" w:rsidR="00493657" w:rsidRPr="00CA3AFC" w:rsidRDefault="00493657" w:rsidP="00CA3AFC">
      <w:pPr>
        <w:autoSpaceDE w:val="0"/>
        <w:autoSpaceDN w:val="0"/>
        <w:adjustRightInd w:val="0"/>
        <w:snapToGrid w:val="0"/>
        <w:spacing w:after="0" w:line="240" w:lineRule="auto"/>
        <w:jc w:val="center"/>
        <w:rPr>
          <w:rFonts w:ascii="Times New Roman" w:hAnsi="Times New Roman" w:cs="Times New Roman"/>
          <w:b/>
          <w:bCs/>
          <w:lang w:val="en-AU" w:eastAsia="en-NZ"/>
        </w:rPr>
      </w:pPr>
    </w:p>
    <w:p w14:paraId="2652CB68" w14:textId="77777777" w:rsidR="00493657" w:rsidRPr="00CA3AFC" w:rsidRDefault="00493657" w:rsidP="00CA3AFC">
      <w:pPr>
        <w:autoSpaceDE w:val="0"/>
        <w:autoSpaceDN w:val="0"/>
        <w:adjustRightInd w:val="0"/>
        <w:snapToGrid w:val="0"/>
        <w:spacing w:after="0" w:line="240" w:lineRule="auto"/>
        <w:jc w:val="center"/>
        <w:rPr>
          <w:rFonts w:ascii="Times New Roman" w:hAnsi="Times New Roman" w:cs="Times New Roman"/>
          <w:b/>
          <w:bCs/>
          <w:lang w:val="en-AU" w:eastAsia="en-NZ"/>
        </w:rPr>
      </w:pPr>
    </w:p>
    <w:p w14:paraId="5152234E" w14:textId="77777777" w:rsidR="00493657" w:rsidRPr="00CA3AFC" w:rsidRDefault="00493657" w:rsidP="00CA3AFC">
      <w:pPr>
        <w:adjustRightInd w:val="0"/>
        <w:snapToGrid w:val="0"/>
        <w:spacing w:after="0" w:line="240" w:lineRule="auto"/>
        <w:jc w:val="center"/>
        <w:rPr>
          <w:rFonts w:ascii="Times New Roman" w:hAnsi="Times New Roman" w:cs="Times New Roman"/>
          <w:b/>
          <w:lang w:val="en-NZ"/>
        </w:rPr>
      </w:pPr>
      <w:r w:rsidRPr="00CA3AFC">
        <w:rPr>
          <w:rFonts w:ascii="Times New Roman" w:hAnsi="Times New Roman" w:cs="Times New Roman"/>
          <w:b/>
          <w:lang w:val="en-NZ"/>
        </w:rPr>
        <w:t xml:space="preserve">The Commission for the Conservation and Management of </w:t>
      </w:r>
    </w:p>
    <w:p w14:paraId="57214EF6" w14:textId="77777777" w:rsidR="00493657" w:rsidRPr="00CA3AFC" w:rsidRDefault="00493657" w:rsidP="00CA3AFC">
      <w:pPr>
        <w:adjustRightInd w:val="0"/>
        <w:snapToGrid w:val="0"/>
        <w:spacing w:after="0" w:line="240" w:lineRule="auto"/>
        <w:jc w:val="center"/>
        <w:rPr>
          <w:rFonts w:ascii="Times New Roman" w:hAnsi="Times New Roman" w:cs="Times New Roman"/>
          <w:b/>
          <w:lang w:val="en-NZ"/>
        </w:rPr>
      </w:pPr>
      <w:r w:rsidRPr="00CA3AFC">
        <w:rPr>
          <w:rFonts w:ascii="Times New Roman" w:hAnsi="Times New Roman" w:cs="Times New Roman"/>
          <w:b/>
          <w:lang w:val="en-NZ"/>
        </w:rPr>
        <w:t xml:space="preserve">Highly Migratory Fish Stocks in the Western and Central Pacific Ocean </w:t>
      </w:r>
    </w:p>
    <w:p w14:paraId="33DF1539" w14:textId="77777777" w:rsidR="00493657" w:rsidRPr="00CA3AFC" w:rsidRDefault="00493657" w:rsidP="00CA3AFC">
      <w:pPr>
        <w:adjustRightInd w:val="0"/>
        <w:snapToGrid w:val="0"/>
        <w:spacing w:after="0" w:line="240" w:lineRule="auto"/>
        <w:jc w:val="center"/>
        <w:rPr>
          <w:rFonts w:ascii="Times New Roman" w:hAnsi="Times New Roman" w:cs="Times New Roman"/>
          <w:b/>
          <w:lang w:val="en-NZ"/>
        </w:rPr>
      </w:pPr>
    </w:p>
    <w:p w14:paraId="103E0E17" w14:textId="77777777" w:rsidR="00493657" w:rsidRPr="00CA3AFC" w:rsidRDefault="00493657" w:rsidP="00CA3AFC">
      <w:pPr>
        <w:adjustRightInd w:val="0"/>
        <w:snapToGrid w:val="0"/>
        <w:spacing w:after="0" w:line="240" w:lineRule="auto"/>
        <w:jc w:val="center"/>
        <w:rPr>
          <w:rFonts w:ascii="Times New Roman" w:hAnsi="Times New Roman" w:cs="Times New Roman"/>
          <w:b/>
          <w:lang w:val="en-NZ"/>
        </w:rPr>
      </w:pPr>
    </w:p>
    <w:p w14:paraId="37AF4ECA" w14:textId="77777777" w:rsidR="00493657" w:rsidRPr="00CA3AFC" w:rsidRDefault="00493657" w:rsidP="00CA3AFC">
      <w:pPr>
        <w:adjustRightInd w:val="0"/>
        <w:snapToGrid w:val="0"/>
        <w:spacing w:after="0" w:line="240" w:lineRule="auto"/>
        <w:jc w:val="center"/>
        <w:rPr>
          <w:rFonts w:ascii="Times New Roman" w:hAnsi="Times New Roman" w:cs="Times New Roman"/>
          <w:b/>
          <w:lang w:val="en-NZ"/>
        </w:rPr>
      </w:pPr>
    </w:p>
    <w:p w14:paraId="5B6E6B54" w14:textId="77777777" w:rsidR="00493657" w:rsidRPr="00CA3AFC" w:rsidRDefault="00493657" w:rsidP="00CA3AFC">
      <w:pPr>
        <w:adjustRightInd w:val="0"/>
        <w:snapToGrid w:val="0"/>
        <w:spacing w:after="0" w:line="240" w:lineRule="auto"/>
        <w:jc w:val="center"/>
        <w:rPr>
          <w:rFonts w:ascii="Times New Roman" w:hAnsi="Times New Roman" w:cs="Times New Roman"/>
          <w:b/>
          <w:caps/>
          <w:lang w:val="en-NZ"/>
        </w:rPr>
      </w:pPr>
      <w:r w:rsidRPr="00CA3AFC">
        <w:rPr>
          <w:rFonts w:ascii="Times New Roman" w:hAnsi="Times New Roman" w:cs="Times New Roman"/>
          <w:b/>
          <w:caps/>
          <w:lang w:val="en-NZ"/>
        </w:rPr>
        <w:t>Scientific Committee</w:t>
      </w:r>
    </w:p>
    <w:p w14:paraId="36186E73" w14:textId="78B0D9FE" w:rsidR="00493657" w:rsidRPr="00CA3AFC" w:rsidRDefault="00493657" w:rsidP="00CA3AFC">
      <w:pPr>
        <w:adjustRightInd w:val="0"/>
        <w:snapToGrid w:val="0"/>
        <w:spacing w:after="0" w:line="240" w:lineRule="auto"/>
        <w:jc w:val="center"/>
        <w:rPr>
          <w:rFonts w:ascii="Times New Roman" w:hAnsi="Times New Roman" w:cs="Times New Roman"/>
          <w:b/>
          <w:lang w:val="en-NZ"/>
        </w:rPr>
      </w:pPr>
    </w:p>
    <w:p w14:paraId="33A7CF86" w14:textId="47D11109" w:rsidR="00493657" w:rsidRPr="00CA3AFC" w:rsidRDefault="00493657" w:rsidP="00CA3AFC">
      <w:pPr>
        <w:adjustRightInd w:val="0"/>
        <w:snapToGrid w:val="0"/>
        <w:spacing w:after="0" w:line="240" w:lineRule="auto"/>
        <w:jc w:val="center"/>
        <w:rPr>
          <w:rFonts w:ascii="Times New Roman" w:hAnsi="Times New Roman" w:cs="Times New Roman"/>
          <w:b/>
          <w:lang w:val="en-NZ"/>
        </w:rPr>
      </w:pPr>
    </w:p>
    <w:p w14:paraId="3A875971" w14:textId="77777777" w:rsidR="00493657" w:rsidRPr="00CA3AFC" w:rsidRDefault="00493657" w:rsidP="00CA3AFC">
      <w:pPr>
        <w:adjustRightInd w:val="0"/>
        <w:snapToGrid w:val="0"/>
        <w:spacing w:after="0" w:line="240" w:lineRule="auto"/>
        <w:jc w:val="center"/>
        <w:rPr>
          <w:rFonts w:ascii="Times New Roman" w:hAnsi="Times New Roman" w:cs="Times New Roman"/>
          <w:b/>
          <w:lang w:val="en-NZ"/>
        </w:rPr>
      </w:pPr>
    </w:p>
    <w:p w14:paraId="28658DCE" w14:textId="521D0BEA" w:rsidR="004B05DF" w:rsidRPr="00CA3AFC" w:rsidRDefault="00493657" w:rsidP="00CA3AFC">
      <w:pPr>
        <w:adjustRightInd w:val="0"/>
        <w:snapToGrid w:val="0"/>
        <w:spacing w:after="0" w:line="240" w:lineRule="auto"/>
        <w:jc w:val="center"/>
        <w:rPr>
          <w:rFonts w:ascii="Times New Roman" w:hAnsi="Times New Roman" w:cs="Times New Roman"/>
          <w:b/>
          <w:sz w:val="28"/>
          <w:szCs w:val="28"/>
        </w:rPr>
      </w:pPr>
      <w:r w:rsidRPr="00CA3AFC">
        <w:rPr>
          <w:rFonts w:ascii="Times New Roman" w:hAnsi="Times New Roman" w:cs="Times New Roman"/>
          <w:b/>
          <w:caps/>
          <w:sz w:val="28"/>
          <w:szCs w:val="28"/>
        </w:rPr>
        <w:t xml:space="preserve">WCPO </w:t>
      </w:r>
      <w:r w:rsidR="00091B95" w:rsidRPr="00CA3AFC">
        <w:rPr>
          <w:rFonts w:ascii="Times New Roman" w:hAnsi="Times New Roman" w:cs="Times New Roman"/>
          <w:b/>
          <w:caps/>
          <w:sz w:val="28"/>
          <w:szCs w:val="28"/>
        </w:rPr>
        <w:t>Yellowfin</w:t>
      </w:r>
      <w:r w:rsidR="00570E6C" w:rsidRPr="00CA3AFC">
        <w:rPr>
          <w:rFonts w:ascii="Times New Roman" w:hAnsi="Times New Roman" w:cs="Times New Roman"/>
          <w:b/>
          <w:caps/>
          <w:sz w:val="28"/>
          <w:szCs w:val="28"/>
        </w:rPr>
        <w:t xml:space="preserve"> Tuna</w:t>
      </w:r>
      <w:r w:rsidR="00570E6C" w:rsidRPr="00CA3AFC">
        <w:rPr>
          <w:rFonts w:ascii="Times New Roman" w:hAnsi="Times New Roman" w:cs="Times New Roman"/>
          <w:b/>
          <w:sz w:val="28"/>
          <w:szCs w:val="28"/>
        </w:rPr>
        <w:t xml:space="preserve"> </w:t>
      </w:r>
      <w:r w:rsidR="004B05DF" w:rsidRPr="00CA3AFC">
        <w:rPr>
          <w:rFonts w:ascii="Times New Roman" w:hAnsi="Times New Roman" w:cs="Times New Roman"/>
          <w:b/>
          <w:sz w:val="28"/>
          <w:szCs w:val="28"/>
        </w:rPr>
        <w:t>(</w:t>
      </w:r>
      <w:r w:rsidR="005828AD" w:rsidRPr="00CE0519">
        <w:rPr>
          <w:rFonts w:ascii="Times New Roman" w:hAnsi="Times New Roman" w:cs="Times New Roman"/>
          <w:b/>
          <w:i/>
          <w:iCs/>
          <w:sz w:val="28"/>
          <w:szCs w:val="28"/>
        </w:rPr>
        <w:t xml:space="preserve">Thunnus </w:t>
      </w:r>
      <w:r w:rsidR="00091B95" w:rsidRPr="00CE0519">
        <w:rPr>
          <w:rFonts w:ascii="Times New Roman" w:hAnsi="Times New Roman" w:cs="Times New Roman"/>
          <w:b/>
          <w:i/>
          <w:iCs/>
          <w:sz w:val="28"/>
          <w:szCs w:val="28"/>
        </w:rPr>
        <w:t>albacares</w:t>
      </w:r>
      <w:r w:rsidR="004B05DF" w:rsidRPr="00CA3AFC">
        <w:rPr>
          <w:rFonts w:ascii="Times New Roman" w:hAnsi="Times New Roman" w:cs="Times New Roman"/>
          <w:b/>
          <w:sz w:val="28"/>
          <w:szCs w:val="28"/>
        </w:rPr>
        <w:t>)</w:t>
      </w:r>
    </w:p>
    <w:p w14:paraId="5977026B" w14:textId="77777777" w:rsidR="00493657" w:rsidRPr="00CA3AFC" w:rsidRDefault="00493657" w:rsidP="00CA3AFC">
      <w:pPr>
        <w:adjustRightInd w:val="0"/>
        <w:snapToGrid w:val="0"/>
        <w:spacing w:after="0" w:line="240" w:lineRule="auto"/>
        <w:jc w:val="center"/>
        <w:rPr>
          <w:rFonts w:ascii="Times New Roman" w:hAnsi="Times New Roman" w:cs="Times New Roman"/>
          <w:b/>
        </w:rPr>
      </w:pPr>
    </w:p>
    <w:p w14:paraId="45A4AE05" w14:textId="77777777" w:rsidR="00493657" w:rsidRPr="00CA3AFC" w:rsidRDefault="00493657" w:rsidP="00CA3AFC">
      <w:pPr>
        <w:adjustRightInd w:val="0"/>
        <w:snapToGrid w:val="0"/>
        <w:spacing w:after="0" w:line="240" w:lineRule="auto"/>
        <w:jc w:val="center"/>
        <w:rPr>
          <w:rFonts w:ascii="Times New Roman" w:hAnsi="Times New Roman" w:cs="Times New Roman"/>
          <w:bCs/>
          <w:caps/>
        </w:rPr>
      </w:pPr>
      <w:r w:rsidRPr="00CA3AFC">
        <w:rPr>
          <w:rFonts w:ascii="Times New Roman" w:hAnsi="Times New Roman" w:cs="Times New Roman"/>
          <w:bCs/>
          <w:caps/>
        </w:rPr>
        <w:t>Stock Status and Management Advice</w:t>
      </w:r>
    </w:p>
    <w:p w14:paraId="56030702" w14:textId="70EC9946" w:rsidR="004B05DF" w:rsidRPr="00CA3AFC" w:rsidRDefault="004B05DF" w:rsidP="00CA3AFC">
      <w:pPr>
        <w:adjustRightInd w:val="0"/>
        <w:snapToGrid w:val="0"/>
        <w:spacing w:after="0" w:line="240" w:lineRule="auto"/>
        <w:rPr>
          <w:rFonts w:ascii="Times New Roman" w:hAnsi="Times New Roman" w:cs="Times New Roman"/>
          <w:b/>
        </w:rPr>
      </w:pPr>
    </w:p>
    <w:p w14:paraId="3FC0F975" w14:textId="79244E86" w:rsidR="00493657" w:rsidRPr="00CA3AFC" w:rsidRDefault="00493657" w:rsidP="00CA3AFC">
      <w:pPr>
        <w:adjustRightInd w:val="0"/>
        <w:snapToGrid w:val="0"/>
        <w:spacing w:after="0" w:line="240" w:lineRule="auto"/>
        <w:rPr>
          <w:rFonts w:ascii="Times New Roman" w:hAnsi="Times New Roman" w:cs="Times New Roman"/>
          <w:b/>
        </w:rPr>
      </w:pPr>
    </w:p>
    <w:p w14:paraId="00E5572E" w14:textId="794E33C8" w:rsidR="00493657" w:rsidRPr="00CA3AFC" w:rsidRDefault="00493657" w:rsidP="00CA3AFC">
      <w:pPr>
        <w:adjustRightInd w:val="0"/>
        <w:snapToGrid w:val="0"/>
        <w:spacing w:after="0" w:line="240" w:lineRule="auto"/>
        <w:rPr>
          <w:rFonts w:ascii="Times New Roman" w:hAnsi="Times New Roman" w:cs="Times New Roman"/>
          <w:b/>
        </w:rPr>
      </w:pPr>
    </w:p>
    <w:p w14:paraId="48258913" w14:textId="63088839" w:rsidR="00493657" w:rsidRPr="00CA3AFC" w:rsidRDefault="00493657" w:rsidP="00CA3AFC">
      <w:pPr>
        <w:adjustRightInd w:val="0"/>
        <w:snapToGrid w:val="0"/>
        <w:spacing w:after="0" w:line="240" w:lineRule="auto"/>
        <w:rPr>
          <w:rFonts w:ascii="Times New Roman" w:hAnsi="Times New Roman" w:cs="Times New Roman"/>
          <w:b/>
        </w:rPr>
      </w:pPr>
    </w:p>
    <w:p w14:paraId="595EE93E" w14:textId="2926D700" w:rsidR="00493657" w:rsidRPr="00CA3AFC" w:rsidRDefault="00493657" w:rsidP="00CA3AFC">
      <w:pPr>
        <w:adjustRightInd w:val="0"/>
        <w:snapToGrid w:val="0"/>
        <w:spacing w:after="0" w:line="240" w:lineRule="auto"/>
        <w:rPr>
          <w:rFonts w:ascii="Times New Roman" w:hAnsi="Times New Roman" w:cs="Times New Roman"/>
          <w:b/>
        </w:rPr>
      </w:pPr>
    </w:p>
    <w:p w14:paraId="5212EEEB" w14:textId="3B6497FF" w:rsidR="00493657" w:rsidRPr="00CA3AFC" w:rsidRDefault="00493657" w:rsidP="00CA3AFC">
      <w:pPr>
        <w:adjustRightInd w:val="0"/>
        <w:snapToGrid w:val="0"/>
        <w:spacing w:after="0" w:line="240" w:lineRule="auto"/>
        <w:rPr>
          <w:rFonts w:ascii="Times New Roman" w:hAnsi="Times New Roman" w:cs="Times New Roman"/>
          <w:b/>
        </w:rPr>
      </w:pPr>
    </w:p>
    <w:p w14:paraId="1D27D753" w14:textId="1C7C3BC9" w:rsidR="00493657" w:rsidRPr="00CA3AFC" w:rsidRDefault="00493657" w:rsidP="00CA3AFC">
      <w:pPr>
        <w:adjustRightInd w:val="0"/>
        <w:snapToGrid w:val="0"/>
        <w:spacing w:after="0" w:line="240" w:lineRule="auto"/>
        <w:rPr>
          <w:rFonts w:ascii="Times New Roman" w:hAnsi="Times New Roman" w:cs="Times New Roman"/>
          <w:b/>
        </w:rPr>
      </w:pPr>
    </w:p>
    <w:p w14:paraId="650E3D13" w14:textId="6E49DE70" w:rsidR="00493657" w:rsidRPr="00CA3AFC" w:rsidRDefault="00493657" w:rsidP="00CA3AFC">
      <w:pPr>
        <w:adjustRightInd w:val="0"/>
        <w:snapToGrid w:val="0"/>
        <w:spacing w:after="0" w:line="240" w:lineRule="auto"/>
        <w:rPr>
          <w:rFonts w:ascii="Times New Roman" w:hAnsi="Times New Roman" w:cs="Times New Roman"/>
          <w:b/>
        </w:rPr>
      </w:pPr>
    </w:p>
    <w:p w14:paraId="22E7550B" w14:textId="1FB63F45" w:rsidR="00493657" w:rsidRPr="00CA3AFC" w:rsidRDefault="00493657" w:rsidP="00CA3AFC">
      <w:pPr>
        <w:adjustRightInd w:val="0"/>
        <w:snapToGrid w:val="0"/>
        <w:spacing w:after="0" w:line="240" w:lineRule="auto"/>
        <w:rPr>
          <w:rFonts w:ascii="Times New Roman" w:hAnsi="Times New Roman" w:cs="Times New Roman"/>
          <w:b/>
        </w:rPr>
      </w:pPr>
    </w:p>
    <w:p w14:paraId="2DA5FD5A" w14:textId="77777777" w:rsidR="00493657" w:rsidRPr="00CA3AFC" w:rsidRDefault="00493657" w:rsidP="00CA3AFC">
      <w:pPr>
        <w:adjustRightInd w:val="0"/>
        <w:snapToGrid w:val="0"/>
        <w:spacing w:after="0" w:line="240" w:lineRule="auto"/>
        <w:rPr>
          <w:rFonts w:ascii="Times New Roman" w:hAnsi="Times New Roman" w:cs="Times New Roman"/>
          <w:b/>
        </w:rPr>
      </w:pPr>
    </w:p>
    <w:sdt>
      <w:sdtPr>
        <w:rPr>
          <w:rFonts w:ascii="Times New Roman" w:eastAsiaTheme="minorHAnsi" w:hAnsi="Times New Roman" w:cs="Times New Roman"/>
          <w:color w:val="auto"/>
          <w:sz w:val="22"/>
          <w:szCs w:val="22"/>
        </w:rPr>
        <w:id w:val="-1203621396"/>
        <w:docPartObj>
          <w:docPartGallery w:val="Table of Contents"/>
          <w:docPartUnique/>
        </w:docPartObj>
      </w:sdtPr>
      <w:sdtEndPr>
        <w:rPr>
          <w:b/>
          <w:bCs/>
          <w:noProof/>
        </w:rPr>
      </w:sdtEndPr>
      <w:sdtContent>
        <w:p w14:paraId="4D30C100" w14:textId="77777777" w:rsidR="004B05DF" w:rsidRPr="00CA3AFC" w:rsidRDefault="004B05DF" w:rsidP="00493657">
          <w:pPr>
            <w:pStyle w:val="TOCHeading"/>
            <w:spacing w:before="0" w:after="240" w:line="240" w:lineRule="auto"/>
            <w:rPr>
              <w:rFonts w:ascii="Times New Roman" w:hAnsi="Times New Roman" w:cs="Times New Roman"/>
              <w:b/>
              <w:bCs/>
              <w:sz w:val="28"/>
              <w:szCs w:val="28"/>
            </w:rPr>
          </w:pPr>
          <w:r w:rsidRPr="00CA3AFC">
            <w:rPr>
              <w:rFonts w:ascii="Times New Roman" w:hAnsi="Times New Roman" w:cs="Times New Roman"/>
              <w:b/>
              <w:bCs/>
              <w:sz w:val="28"/>
              <w:szCs w:val="28"/>
            </w:rPr>
            <w:t>Contents</w:t>
          </w:r>
        </w:p>
        <w:p w14:paraId="6E977078" w14:textId="6C4F7E85" w:rsidR="00F56124" w:rsidRDefault="004B05DF">
          <w:pPr>
            <w:pStyle w:val="TOC1"/>
            <w:tabs>
              <w:tab w:val="right" w:leader="dot" w:pos="9350"/>
            </w:tabs>
            <w:rPr>
              <w:rFonts w:eastAsiaTheme="minorEastAsia"/>
              <w:noProof/>
              <w:lang w:eastAsia="ko-KR"/>
            </w:rPr>
          </w:pPr>
          <w:r w:rsidRPr="00CA3AFC">
            <w:rPr>
              <w:rFonts w:ascii="Times New Roman" w:hAnsi="Times New Roman" w:cs="Times New Roman"/>
            </w:rPr>
            <w:fldChar w:fldCharType="begin"/>
          </w:r>
          <w:r w:rsidRPr="00CA3AFC">
            <w:rPr>
              <w:rFonts w:ascii="Times New Roman" w:hAnsi="Times New Roman" w:cs="Times New Roman"/>
            </w:rPr>
            <w:instrText xml:space="preserve"> TOC \o "1-3" \h \z \u </w:instrText>
          </w:r>
          <w:r w:rsidRPr="00CA3AFC">
            <w:rPr>
              <w:rFonts w:ascii="Times New Roman" w:hAnsi="Times New Roman" w:cs="Times New Roman"/>
            </w:rPr>
            <w:fldChar w:fldCharType="separate"/>
          </w:r>
          <w:hyperlink w:anchor="_Toc24966478" w:history="1">
            <w:r w:rsidR="00F56124" w:rsidRPr="008C55B1">
              <w:rPr>
                <w:rStyle w:val="Hyperlink"/>
                <w:rFonts w:ascii="Times New Roman" w:hAnsi="Times New Roman" w:cs="Times New Roman"/>
                <w:noProof/>
              </w:rPr>
              <w:t>SC15 2019 (FISHERY INDICATORS UPDATED)</w:t>
            </w:r>
            <w:r w:rsidR="00F56124">
              <w:rPr>
                <w:noProof/>
                <w:webHidden/>
              </w:rPr>
              <w:tab/>
            </w:r>
            <w:r w:rsidR="00F56124">
              <w:rPr>
                <w:noProof/>
                <w:webHidden/>
              </w:rPr>
              <w:fldChar w:fldCharType="begin"/>
            </w:r>
            <w:r w:rsidR="00F56124">
              <w:rPr>
                <w:noProof/>
                <w:webHidden/>
              </w:rPr>
              <w:instrText xml:space="preserve"> PAGEREF _Toc24966478 \h </w:instrText>
            </w:r>
            <w:r w:rsidR="00F56124">
              <w:rPr>
                <w:noProof/>
                <w:webHidden/>
              </w:rPr>
            </w:r>
            <w:r w:rsidR="00F56124">
              <w:rPr>
                <w:noProof/>
                <w:webHidden/>
              </w:rPr>
              <w:fldChar w:fldCharType="separate"/>
            </w:r>
            <w:r w:rsidR="00F56124">
              <w:rPr>
                <w:noProof/>
                <w:webHidden/>
              </w:rPr>
              <w:t>2</w:t>
            </w:r>
            <w:r w:rsidR="00F56124">
              <w:rPr>
                <w:noProof/>
                <w:webHidden/>
              </w:rPr>
              <w:fldChar w:fldCharType="end"/>
            </w:r>
          </w:hyperlink>
        </w:p>
        <w:p w14:paraId="42C291CC" w14:textId="5EAF52D5" w:rsidR="00F56124" w:rsidRDefault="000F33FB">
          <w:pPr>
            <w:pStyle w:val="TOC1"/>
            <w:tabs>
              <w:tab w:val="right" w:leader="dot" w:pos="9350"/>
            </w:tabs>
            <w:rPr>
              <w:rFonts w:eastAsiaTheme="minorEastAsia"/>
              <w:noProof/>
              <w:lang w:eastAsia="ko-KR"/>
            </w:rPr>
          </w:pPr>
          <w:hyperlink w:anchor="_Toc24966479" w:history="1">
            <w:r w:rsidR="00F56124" w:rsidRPr="008C55B1">
              <w:rPr>
                <w:rStyle w:val="Hyperlink"/>
                <w:rFonts w:ascii="Times New Roman" w:hAnsi="Times New Roman" w:cs="Times New Roman"/>
                <w:noProof/>
              </w:rPr>
              <w:t>SC14 2018 (FISHERY INDICATORS UPDATED)</w:t>
            </w:r>
            <w:r w:rsidR="00F56124">
              <w:rPr>
                <w:noProof/>
                <w:webHidden/>
              </w:rPr>
              <w:tab/>
            </w:r>
            <w:r w:rsidR="00F56124">
              <w:rPr>
                <w:noProof/>
                <w:webHidden/>
              </w:rPr>
              <w:fldChar w:fldCharType="begin"/>
            </w:r>
            <w:r w:rsidR="00F56124">
              <w:rPr>
                <w:noProof/>
                <w:webHidden/>
              </w:rPr>
              <w:instrText xml:space="preserve"> PAGEREF _Toc24966479 \h </w:instrText>
            </w:r>
            <w:r w:rsidR="00F56124">
              <w:rPr>
                <w:noProof/>
                <w:webHidden/>
              </w:rPr>
            </w:r>
            <w:r w:rsidR="00F56124">
              <w:rPr>
                <w:noProof/>
                <w:webHidden/>
              </w:rPr>
              <w:fldChar w:fldCharType="separate"/>
            </w:r>
            <w:r w:rsidR="00F56124">
              <w:rPr>
                <w:noProof/>
                <w:webHidden/>
              </w:rPr>
              <w:t>2</w:t>
            </w:r>
            <w:r w:rsidR="00F56124">
              <w:rPr>
                <w:noProof/>
                <w:webHidden/>
              </w:rPr>
              <w:fldChar w:fldCharType="end"/>
            </w:r>
          </w:hyperlink>
        </w:p>
        <w:p w14:paraId="3D600FA8" w14:textId="5A324EFE" w:rsidR="00F56124" w:rsidRDefault="000F33FB">
          <w:pPr>
            <w:pStyle w:val="TOC1"/>
            <w:tabs>
              <w:tab w:val="right" w:leader="dot" w:pos="9350"/>
            </w:tabs>
            <w:rPr>
              <w:rFonts w:eastAsiaTheme="minorEastAsia"/>
              <w:noProof/>
              <w:lang w:eastAsia="ko-KR"/>
            </w:rPr>
          </w:pPr>
          <w:hyperlink w:anchor="_Toc24966480" w:history="1">
            <w:r w:rsidR="00F56124" w:rsidRPr="008C55B1">
              <w:rPr>
                <w:rStyle w:val="Hyperlink"/>
                <w:rFonts w:ascii="Times New Roman" w:hAnsi="Times New Roman" w:cs="Times New Roman"/>
                <w:noProof/>
              </w:rPr>
              <w:t>SC13 2017 (STOCK ASSESSMENT CONDUCTED)</w:t>
            </w:r>
            <w:r w:rsidR="00F56124">
              <w:rPr>
                <w:noProof/>
                <w:webHidden/>
              </w:rPr>
              <w:tab/>
            </w:r>
            <w:r w:rsidR="00F56124">
              <w:rPr>
                <w:noProof/>
                <w:webHidden/>
              </w:rPr>
              <w:fldChar w:fldCharType="begin"/>
            </w:r>
            <w:r w:rsidR="00F56124">
              <w:rPr>
                <w:noProof/>
                <w:webHidden/>
              </w:rPr>
              <w:instrText xml:space="preserve"> PAGEREF _Toc24966480 \h </w:instrText>
            </w:r>
            <w:r w:rsidR="00F56124">
              <w:rPr>
                <w:noProof/>
                <w:webHidden/>
              </w:rPr>
            </w:r>
            <w:r w:rsidR="00F56124">
              <w:rPr>
                <w:noProof/>
                <w:webHidden/>
              </w:rPr>
              <w:fldChar w:fldCharType="separate"/>
            </w:r>
            <w:r w:rsidR="00F56124">
              <w:rPr>
                <w:noProof/>
                <w:webHidden/>
              </w:rPr>
              <w:t>3</w:t>
            </w:r>
            <w:r w:rsidR="00F56124">
              <w:rPr>
                <w:noProof/>
                <w:webHidden/>
              </w:rPr>
              <w:fldChar w:fldCharType="end"/>
            </w:r>
          </w:hyperlink>
        </w:p>
        <w:p w14:paraId="294583FD" w14:textId="0909A71F" w:rsidR="00F56124" w:rsidRDefault="000F33FB">
          <w:pPr>
            <w:pStyle w:val="TOC1"/>
            <w:tabs>
              <w:tab w:val="right" w:leader="dot" w:pos="9350"/>
            </w:tabs>
            <w:rPr>
              <w:rFonts w:eastAsiaTheme="minorEastAsia"/>
              <w:noProof/>
              <w:lang w:eastAsia="ko-KR"/>
            </w:rPr>
          </w:pPr>
          <w:hyperlink w:anchor="_Toc24966481" w:history="1">
            <w:r w:rsidR="00F56124" w:rsidRPr="008C55B1">
              <w:rPr>
                <w:rStyle w:val="Hyperlink"/>
                <w:rFonts w:ascii="Times New Roman" w:eastAsia="MS Mincho" w:hAnsi="Times New Roman" w:cs="Times New Roman"/>
                <w:b/>
                <w:bCs/>
                <w:caps/>
                <w:noProof/>
                <w:lang w:val="en-NZ" w:eastAsia="en-NZ"/>
              </w:rPr>
              <w:t>Useful References</w:t>
            </w:r>
            <w:r w:rsidR="00F56124">
              <w:rPr>
                <w:noProof/>
                <w:webHidden/>
              </w:rPr>
              <w:tab/>
            </w:r>
            <w:r w:rsidR="00F56124">
              <w:rPr>
                <w:noProof/>
                <w:webHidden/>
              </w:rPr>
              <w:fldChar w:fldCharType="begin"/>
            </w:r>
            <w:r w:rsidR="00F56124">
              <w:rPr>
                <w:noProof/>
                <w:webHidden/>
              </w:rPr>
              <w:instrText xml:space="preserve"> PAGEREF _Toc24966481 \h </w:instrText>
            </w:r>
            <w:r w:rsidR="00F56124">
              <w:rPr>
                <w:noProof/>
                <w:webHidden/>
              </w:rPr>
            </w:r>
            <w:r w:rsidR="00F56124">
              <w:rPr>
                <w:noProof/>
                <w:webHidden/>
              </w:rPr>
              <w:fldChar w:fldCharType="separate"/>
            </w:r>
            <w:r w:rsidR="00F56124">
              <w:rPr>
                <w:noProof/>
                <w:webHidden/>
              </w:rPr>
              <w:t>13</w:t>
            </w:r>
            <w:r w:rsidR="00F56124">
              <w:rPr>
                <w:noProof/>
                <w:webHidden/>
              </w:rPr>
              <w:fldChar w:fldCharType="end"/>
            </w:r>
          </w:hyperlink>
        </w:p>
        <w:p w14:paraId="6AE54039" w14:textId="0ECDB8C2" w:rsidR="00F56124" w:rsidRDefault="000F33FB">
          <w:pPr>
            <w:pStyle w:val="TOC1"/>
            <w:tabs>
              <w:tab w:val="right" w:leader="dot" w:pos="9350"/>
            </w:tabs>
            <w:rPr>
              <w:rFonts w:eastAsiaTheme="minorEastAsia"/>
              <w:noProof/>
              <w:lang w:eastAsia="ko-KR"/>
            </w:rPr>
          </w:pPr>
          <w:hyperlink w:anchor="_Toc24966482" w:history="1">
            <w:r w:rsidR="00F56124" w:rsidRPr="008C55B1">
              <w:rPr>
                <w:rStyle w:val="Hyperlink"/>
                <w:rFonts w:ascii="Times New Roman" w:eastAsia="MS Mincho" w:hAnsi="Times New Roman" w:cs="Times New Roman"/>
                <w:b/>
                <w:bCs/>
                <w:caps/>
                <w:noProof/>
                <w:lang w:val="en-NZ" w:eastAsia="en-NZ"/>
              </w:rPr>
              <w:t>Previous Assessments</w:t>
            </w:r>
            <w:r w:rsidR="00F56124">
              <w:rPr>
                <w:noProof/>
                <w:webHidden/>
              </w:rPr>
              <w:tab/>
            </w:r>
            <w:r w:rsidR="00F56124">
              <w:rPr>
                <w:noProof/>
                <w:webHidden/>
              </w:rPr>
              <w:fldChar w:fldCharType="begin"/>
            </w:r>
            <w:r w:rsidR="00F56124">
              <w:rPr>
                <w:noProof/>
                <w:webHidden/>
              </w:rPr>
              <w:instrText xml:space="preserve"> PAGEREF _Toc24966482 \h </w:instrText>
            </w:r>
            <w:r w:rsidR="00F56124">
              <w:rPr>
                <w:noProof/>
                <w:webHidden/>
              </w:rPr>
            </w:r>
            <w:r w:rsidR="00F56124">
              <w:rPr>
                <w:noProof/>
                <w:webHidden/>
              </w:rPr>
              <w:fldChar w:fldCharType="separate"/>
            </w:r>
            <w:r w:rsidR="00F56124">
              <w:rPr>
                <w:noProof/>
                <w:webHidden/>
              </w:rPr>
              <w:t>13</w:t>
            </w:r>
            <w:r w:rsidR="00F56124">
              <w:rPr>
                <w:noProof/>
                <w:webHidden/>
              </w:rPr>
              <w:fldChar w:fldCharType="end"/>
            </w:r>
          </w:hyperlink>
        </w:p>
        <w:p w14:paraId="59B46AB6" w14:textId="77DDB733" w:rsidR="004B05DF" w:rsidRPr="00CA3AFC" w:rsidRDefault="004B05DF" w:rsidP="00493657">
          <w:pPr>
            <w:spacing w:after="240" w:line="240" w:lineRule="auto"/>
            <w:rPr>
              <w:rFonts w:ascii="Times New Roman" w:hAnsi="Times New Roman" w:cs="Times New Roman"/>
            </w:rPr>
          </w:pPr>
          <w:r w:rsidRPr="00CA3AFC">
            <w:rPr>
              <w:rFonts w:ascii="Times New Roman" w:hAnsi="Times New Roman" w:cs="Times New Roman"/>
              <w:b/>
              <w:bCs/>
              <w:noProof/>
            </w:rPr>
            <w:fldChar w:fldCharType="end"/>
          </w:r>
        </w:p>
      </w:sdtContent>
    </w:sdt>
    <w:p w14:paraId="06CE4F99" w14:textId="77777777" w:rsidR="00493657" w:rsidRPr="00CA3AFC" w:rsidRDefault="00493657">
      <w:pPr>
        <w:rPr>
          <w:rFonts w:ascii="Times New Roman" w:eastAsiaTheme="majorEastAsia" w:hAnsi="Times New Roman" w:cs="Times New Roman"/>
          <w:color w:val="2F5496" w:themeColor="accent1" w:themeShade="BF"/>
          <w:sz w:val="32"/>
          <w:szCs w:val="32"/>
        </w:rPr>
      </w:pPr>
      <w:r w:rsidRPr="00CA3AFC">
        <w:rPr>
          <w:rFonts w:ascii="Times New Roman" w:hAnsi="Times New Roman" w:cs="Times New Roman"/>
        </w:rPr>
        <w:br w:type="page"/>
      </w:r>
    </w:p>
    <w:p w14:paraId="1507BFB1" w14:textId="7D4979B0" w:rsidR="00493657" w:rsidRPr="00CA3AFC" w:rsidRDefault="00493657" w:rsidP="00167819">
      <w:pPr>
        <w:pStyle w:val="Heading1"/>
        <w:adjustRightInd w:val="0"/>
        <w:snapToGrid w:val="0"/>
        <w:spacing w:before="0" w:line="240" w:lineRule="auto"/>
        <w:rPr>
          <w:rFonts w:ascii="Times New Roman" w:hAnsi="Times New Roman" w:cs="Times New Roman"/>
        </w:rPr>
      </w:pPr>
      <w:bookmarkStart w:id="0" w:name="_Toc24966478"/>
      <w:r w:rsidRPr="00CA3AFC">
        <w:rPr>
          <w:rFonts w:ascii="Times New Roman" w:hAnsi="Times New Roman" w:cs="Times New Roman"/>
        </w:rPr>
        <w:lastRenderedPageBreak/>
        <w:t>SC15 2019 (FISHERY INDICATORS UPDATED)</w:t>
      </w:r>
      <w:bookmarkEnd w:id="0"/>
    </w:p>
    <w:p w14:paraId="6551AA69" w14:textId="77777777" w:rsidR="00493657" w:rsidRPr="00167819" w:rsidRDefault="00493657" w:rsidP="00167819">
      <w:pPr>
        <w:tabs>
          <w:tab w:val="left" w:pos="820"/>
        </w:tabs>
        <w:adjustRightInd w:val="0"/>
        <w:snapToGrid w:val="0"/>
        <w:spacing w:after="0" w:line="240" w:lineRule="auto"/>
        <w:rPr>
          <w:rFonts w:ascii="Times New Roman" w:hAnsi="Times New Roman" w:cs="Times New Roman"/>
        </w:rPr>
      </w:pPr>
    </w:p>
    <w:p w14:paraId="60366D45" w14:textId="77777777" w:rsidR="00167819" w:rsidRPr="00167819" w:rsidRDefault="00167819" w:rsidP="00167819">
      <w:pPr>
        <w:pStyle w:val="ListParagraph"/>
        <w:widowControl/>
        <w:numPr>
          <w:ilvl w:val="0"/>
          <w:numId w:val="14"/>
        </w:numPr>
        <w:kinsoku w:val="0"/>
        <w:overflowPunct w:val="0"/>
        <w:adjustRightInd w:val="0"/>
        <w:snapToGrid w:val="0"/>
        <w:ind w:left="0" w:firstLine="0"/>
        <w:jc w:val="both"/>
        <w:rPr>
          <w:rFonts w:ascii="Times New Roman" w:hAnsi="Times New Roman" w:cs="Times New Roman"/>
          <w:b/>
          <w:bCs/>
        </w:rPr>
      </w:pPr>
      <w:r w:rsidRPr="00167819">
        <w:rPr>
          <w:rFonts w:ascii="Times New Roman" w:hAnsi="Times New Roman" w:cs="Times New Roman"/>
          <w:b/>
          <w:bCs/>
        </w:rPr>
        <w:t xml:space="preserve">Stock status and trends </w:t>
      </w:r>
    </w:p>
    <w:p w14:paraId="230AE4CF"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73F88C86" w14:textId="77777777" w:rsidR="00167819" w:rsidRPr="00167819" w:rsidRDefault="00167819" w:rsidP="00167819">
      <w:pPr>
        <w:pStyle w:val="WCPFC"/>
        <w:adjustRightInd w:val="0"/>
        <w:spacing w:after="0"/>
        <w:ind w:left="0" w:firstLine="0"/>
      </w:pPr>
      <w:r w:rsidRPr="00167819">
        <w:t xml:space="preserve">SC15 noted that no stock assessment was conducted for WCPO yellowfin tuna in 2019. Therefore, the stock status description from SC13 is still current. For further information on the stock status and trends from SC13, please see </w:t>
      </w:r>
      <w:hyperlink r:id="rId9" w:history="1">
        <w:r w:rsidRPr="00167819">
          <w:rPr>
            <w:rStyle w:val="Hyperlink"/>
          </w:rPr>
          <w:t>https://www.wcpfc.int/node/29904</w:t>
        </w:r>
      </w:hyperlink>
    </w:p>
    <w:p w14:paraId="2133DAC8" w14:textId="77777777" w:rsidR="00167819" w:rsidRPr="00167819" w:rsidRDefault="00167819" w:rsidP="00167819">
      <w:pPr>
        <w:pStyle w:val="ListParagraph"/>
        <w:kinsoku w:val="0"/>
        <w:overflowPunct w:val="0"/>
        <w:adjustRightInd w:val="0"/>
        <w:snapToGrid w:val="0"/>
        <w:ind w:left="0"/>
        <w:jc w:val="both"/>
        <w:rPr>
          <w:rFonts w:ascii="Times New Roman" w:hAnsi="Times New Roman" w:cs="Times New Roman"/>
        </w:rPr>
      </w:pPr>
    </w:p>
    <w:p w14:paraId="5D5CE5EC" w14:textId="77777777" w:rsidR="00167819" w:rsidRPr="00167819" w:rsidRDefault="00167819" w:rsidP="00167819">
      <w:pPr>
        <w:pStyle w:val="WCPFC"/>
        <w:adjustRightInd w:val="0"/>
        <w:spacing w:after="0"/>
        <w:ind w:left="0" w:firstLine="0"/>
      </w:pPr>
      <w:r w:rsidRPr="00167819">
        <w:t xml:space="preserve">SC15 noted that the total yellowfin </w:t>
      </w:r>
      <w:proofErr w:type="gramStart"/>
      <w:r w:rsidRPr="00167819">
        <w:t>catch</w:t>
      </w:r>
      <w:proofErr w:type="gramEnd"/>
      <w:r w:rsidRPr="00167819">
        <w:t xml:space="preserve"> in 2018 was 666,971 mt (the second highest catch on record), a 2% decrease from 2017 and a 9% increase from the average 2013-2017.</w:t>
      </w:r>
    </w:p>
    <w:p w14:paraId="4FED8293" w14:textId="77777777" w:rsidR="00167819" w:rsidRPr="00167819" w:rsidRDefault="00167819" w:rsidP="00167819">
      <w:pPr>
        <w:pStyle w:val="ListParagraph"/>
        <w:kinsoku w:val="0"/>
        <w:overflowPunct w:val="0"/>
        <w:adjustRightInd w:val="0"/>
        <w:snapToGrid w:val="0"/>
        <w:ind w:left="0"/>
        <w:jc w:val="both"/>
        <w:rPr>
          <w:rFonts w:ascii="Times New Roman" w:hAnsi="Times New Roman" w:cs="Times New Roman"/>
        </w:rPr>
      </w:pPr>
    </w:p>
    <w:p w14:paraId="65B71432" w14:textId="77777777" w:rsidR="00167819" w:rsidRPr="00167819" w:rsidRDefault="00167819" w:rsidP="00167819">
      <w:pPr>
        <w:pStyle w:val="WCPFC"/>
        <w:adjustRightInd w:val="0"/>
        <w:spacing w:after="0"/>
        <w:ind w:left="0" w:firstLine="0"/>
      </w:pPr>
      <w:r w:rsidRPr="00167819">
        <w:t xml:space="preserve">Purse seine catch in 2018 (374,062 mt) was a 22% decrease from 2017 and a 1% increase from the 2013-2017 average. Longline catch in 2018 (94,509 mt) was an 11% increase from 2017 and a 4% increase from the 2013-2017 average. Pole and line catch (12,201 mt) </w:t>
      </w:r>
      <w:proofErr w:type="gramStart"/>
      <w:r w:rsidRPr="00167819">
        <w:t>was</w:t>
      </w:r>
      <w:proofErr w:type="gramEnd"/>
      <w:r w:rsidRPr="00167819">
        <w:t xml:space="preserve"> a 1% decrease from 2017 and a 48% decrease from the average 2013-2017 catch. Catch by other gear (186,199 mt) was a 79% increase from 2017 and 51% increase from the average catch in 2013-2017.</w:t>
      </w:r>
    </w:p>
    <w:p w14:paraId="3B8EB75A"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6D1CD4D4" w14:textId="77777777" w:rsidR="00167819" w:rsidRPr="00167819" w:rsidRDefault="00167819" w:rsidP="00167819">
      <w:pPr>
        <w:pStyle w:val="WCPFC"/>
        <w:adjustRightInd w:val="0"/>
        <w:spacing w:after="0"/>
        <w:ind w:left="0" w:firstLine="0"/>
      </w:pPr>
      <w:r w:rsidRPr="00167819">
        <w:t>SC15 noted that under recent fishery conditions, the yellowfin stock is initially projected to increase as recent estimated recruitments support adult stock biomass. Adult stock biomass is then projected to decline slightly before again increasing. Projected fishing mortality is below F</w:t>
      </w:r>
      <w:r w:rsidRPr="00167819">
        <w:rPr>
          <w:vertAlign w:val="subscript"/>
        </w:rPr>
        <w:t>MSY</w:t>
      </w:r>
      <w:r w:rsidRPr="00167819">
        <w:t xml:space="preserve"> (median F</w:t>
      </w:r>
      <w:r w:rsidRPr="00167819">
        <w:rPr>
          <w:vertAlign w:val="subscript"/>
        </w:rPr>
        <w:t>2020</w:t>
      </w:r>
      <w:r w:rsidRPr="00167819">
        <w:t>/F</w:t>
      </w:r>
      <w:r w:rsidRPr="00167819">
        <w:rPr>
          <w:vertAlign w:val="subscript"/>
        </w:rPr>
        <w:t>MSY</w:t>
      </w:r>
      <w:r w:rsidRPr="00167819">
        <w:t xml:space="preserve"> = 0.74, the risk of F</w:t>
      </w:r>
      <w:r w:rsidRPr="00167819">
        <w:rPr>
          <w:vertAlign w:val="subscript"/>
        </w:rPr>
        <w:t>2020</w:t>
      </w:r>
      <w:r w:rsidRPr="00167819">
        <w:t xml:space="preserve"> &gt; F</w:t>
      </w:r>
      <w:r w:rsidRPr="00167819">
        <w:rPr>
          <w:vertAlign w:val="subscript"/>
        </w:rPr>
        <w:t>MSY</w:t>
      </w:r>
      <w:r w:rsidRPr="00167819">
        <w:t xml:space="preserve"> = 3%) and projected median spawning biomass is above the LRP (SB</w:t>
      </w:r>
      <w:r w:rsidRPr="00167819">
        <w:rPr>
          <w:vertAlign w:val="subscript"/>
        </w:rPr>
        <w:t>2020</w:t>
      </w:r>
      <w:r w:rsidRPr="00167819">
        <w:t>/SB</w:t>
      </w:r>
      <w:r w:rsidRPr="00167819">
        <w:rPr>
          <w:vertAlign w:val="subscript"/>
        </w:rPr>
        <w:t>F=0</w:t>
      </w:r>
      <w:r w:rsidRPr="00167819">
        <w:t xml:space="preserve"> = 0.2) (median SB</w:t>
      </w:r>
      <w:r w:rsidRPr="00167819">
        <w:rPr>
          <w:vertAlign w:val="subscript"/>
        </w:rPr>
        <w:t>2020</w:t>
      </w:r>
      <w:r w:rsidRPr="00167819">
        <w:t>/SB</w:t>
      </w:r>
      <w:r w:rsidRPr="00167819">
        <w:rPr>
          <w:vertAlign w:val="subscript"/>
        </w:rPr>
        <w:t>F=0</w:t>
      </w:r>
      <w:r w:rsidRPr="00167819">
        <w:t xml:space="preserve"> = 0.32; median SB</w:t>
      </w:r>
      <w:r w:rsidRPr="00167819">
        <w:rPr>
          <w:vertAlign w:val="subscript"/>
        </w:rPr>
        <w:t>2020</w:t>
      </w:r>
      <w:r w:rsidRPr="00167819">
        <w:t>/SB</w:t>
      </w:r>
      <w:r w:rsidRPr="00167819">
        <w:rPr>
          <w:vertAlign w:val="subscript"/>
        </w:rPr>
        <w:t>MSY</w:t>
      </w:r>
      <w:r w:rsidRPr="00167819">
        <w:t xml:space="preserve"> = 1.33. Risk that SB</w:t>
      </w:r>
      <w:r w:rsidRPr="00167819">
        <w:rPr>
          <w:vertAlign w:val="subscript"/>
        </w:rPr>
        <w:t>2020</w:t>
      </w:r>
      <w:r w:rsidRPr="00167819">
        <w:t xml:space="preserve"> &lt; LRP = 8%).</w:t>
      </w:r>
    </w:p>
    <w:p w14:paraId="061DC0C1"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3E7869C8" w14:textId="77777777" w:rsidR="00167819" w:rsidRPr="00167819" w:rsidRDefault="00167819" w:rsidP="00167819">
      <w:pPr>
        <w:pStyle w:val="ListParagraph"/>
        <w:widowControl/>
        <w:numPr>
          <w:ilvl w:val="0"/>
          <w:numId w:val="14"/>
        </w:numPr>
        <w:kinsoku w:val="0"/>
        <w:overflowPunct w:val="0"/>
        <w:adjustRightInd w:val="0"/>
        <w:snapToGrid w:val="0"/>
        <w:ind w:left="0" w:firstLine="0"/>
        <w:jc w:val="both"/>
        <w:rPr>
          <w:rFonts w:ascii="Times New Roman" w:hAnsi="Times New Roman" w:cs="Times New Roman"/>
          <w:b/>
          <w:bCs/>
        </w:rPr>
      </w:pPr>
      <w:r w:rsidRPr="00167819">
        <w:rPr>
          <w:rFonts w:ascii="Times New Roman" w:hAnsi="Times New Roman" w:cs="Times New Roman"/>
          <w:b/>
          <w:bCs/>
        </w:rPr>
        <w:t xml:space="preserve">Management advice and implications </w:t>
      </w:r>
    </w:p>
    <w:p w14:paraId="2C7EE3F1"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1AFB5691" w14:textId="77777777" w:rsidR="00167819" w:rsidRPr="00167819" w:rsidRDefault="00167819" w:rsidP="00167819">
      <w:pPr>
        <w:pStyle w:val="WCPFC"/>
        <w:adjustRightInd w:val="0"/>
        <w:spacing w:after="0"/>
        <w:ind w:left="0" w:firstLine="0"/>
      </w:pPr>
      <w:r w:rsidRPr="00167819">
        <w:t xml:space="preserve">SC15 noted that no stock assessment has been conducted since SC13. Therefore, the advice from SC13 should be maintained, pending a new assessment or other new information. For further information on the management advice and implications from SC13, please see </w:t>
      </w:r>
      <w:hyperlink r:id="rId10" w:history="1">
        <w:r w:rsidRPr="00167819">
          <w:rPr>
            <w:rStyle w:val="Hyperlink"/>
          </w:rPr>
          <w:t>https://www.wcpfc.int/node/29904</w:t>
        </w:r>
      </w:hyperlink>
    </w:p>
    <w:p w14:paraId="3734AD20"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7AE28428" w14:textId="77777777" w:rsidR="00167819" w:rsidRPr="00167819" w:rsidRDefault="00167819" w:rsidP="00167819">
      <w:pPr>
        <w:pStyle w:val="ListParagraph"/>
        <w:widowControl/>
        <w:numPr>
          <w:ilvl w:val="0"/>
          <w:numId w:val="14"/>
        </w:numPr>
        <w:kinsoku w:val="0"/>
        <w:overflowPunct w:val="0"/>
        <w:adjustRightInd w:val="0"/>
        <w:snapToGrid w:val="0"/>
        <w:ind w:left="0" w:firstLine="0"/>
        <w:jc w:val="both"/>
        <w:rPr>
          <w:rFonts w:ascii="Times New Roman" w:hAnsi="Times New Roman" w:cs="Times New Roman"/>
          <w:b/>
          <w:bCs/>
        </w:rPr>
      </w:pPr>
      <w:r w:rsidRPr="00167819">
        <w:rPr>
          <w:rFonts w:ascii="Times New Roman" w:hAnsi="Times New Roman" w:cs="Times New Roman"/>
          <w:b/>
          <w:bCs/>
        </w:rPr>
        <w:t>Research Recommendations</w:t>
      </w:r>
    </w:p>
    <w:p w14:paraId="5EF4E312"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73B82325" w14:textId="77777777" w:rsidR="00167819" w:rsidRPr="00167819" w:rsidRDefault="00167819" w:rsidP="00167819">
      <w:pPr>
        <w:pStyle w:val="WCPFC"/>
        <w:adjustRightInd w:val="0"/>
        <w:spacing w:after="0"/>
        <w:ind w:left="0" w:firstLine="0"/>
      </w:pPr>
      <w:r w:rsidRPr="00167819">
        <w:t>SC15 encouraged the continuation of project 82 on yellowfin tuna age and growth for the next stock assessment.</w:t>
      </w:r>
    </w:p>
    <w:p w14:paraId="7A293B13"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1ACC32D4" w14:textId="77777777" w:rsidR="00167819" w:rsidRPr="00167819" w:rsidRDefault="00167819" w:rsidP="00167819">
      <w:pPr>
        <w:pStyle w:val="WCPFC"/>
        <w:adjustRightInd w:val="0"/>
        <w:spacing w:after="0"/>
        <w:ind w:left="0" w:firstLine="0"/>
      </w:pPr>
      <w:r w:rsidRPr="00167819">
        <w:t>SC15 noted that the following research issues need to be addressed for yellowfin tuna after classifying these research items as short-term (preferably before SC16) and long-term (preferably before the scheduled 2023 stock assessment).</w:t>
      </w:r>
    </w:p>
    <w:p w14:paraId="26C6AA49" w14:textId="77777777" w:rsidR="00167819" w:rsidRPr="00167819" w:rsidRDefault="00167819" w:rsidP="00167819">
      <w:pPr>
        <w:pStyle w:val="ListParagraph"/>
        <w:widowControl/>
        <w:numPr>
          <w:ilvl w:val="4"/>
          <w:numId w:val="15"/>
        </w:numPr>
        <w:kinsoku w:val="0"/>
        <w:overflowPunct w:val="0"/>
        <w:adjustRightInd w:val="0"/>
        <w:snapToGrid w:val="0"/>
        <w:ind w:left="1080"/>
        <w:jc w:val="both"/>
        <w:rPr>
          <w:rFonts w:ascii="Times New Roman" w:hAnsi="Times New Roman" w:cs="Times New Roman"/>
        </w:rPr>
      </w:pPr>
      <w:r w:rsidRPr="00167819">
        <w:rPr>
          <w:rFonts w:ascii="Times New Roman" w:hAnsi="Times New Roman" w:cs="Times New Roman"/>
        </w:rPr>
        <w:t xml:space="preserve">Carry out further otolith age validation studies for yellowfin in the western and central Pacific such as applying radiocarbon age validation (short to long-term). </w:t>
      </w:r>
    </w:p>
    <w:p w14:paraId="2E7F7FFF" w14:textId="77777777" w:rsidR="00167819" w:rsidRPr="00167819" w:rsidRDefault="00167819" w:rsidP="00167819">
      <w:pPr>
        <w:pStyle w:val="ListParagraph"/>
        <w:widowControl/>
        <w:numPr>
          <w:ilvl w:val="4"/>
          <w:numId w:val="15"/>
        </w:numPr>
        <w:kinsoku w:val="0"/>
        <w:overflowPunct w:val="0"/>
        <w:adjustRightInd w:val="0"/>
        <w:snapToGrid w:val="0"/>
        <w:ind w:left="1080"/>
        <w:jc w:val="both"/>
        <w:rPr>
          <w:rFonts w:ascii="Times New Roman" w:hAnsi="Times New Roman" w:cs="Times New Roman"/>
        </w:rPr>
      </w:pPr>
      <w:r w:rsidRPr="00167819">
        <w:rPr>
          <w:rFonts w:ascii="Times New Roman" w:hAnsi="Times New Roman" w:cs="Times New Roman"/>
        </w:rPr>
        <w:t>Compile a high confidence tagging dataset for growth analysis and develop an integrated growth model incorporating the tagging data and the otolith data (short-term).</w:t>
      </w:r>
    </w:p>
    <w:p w14:paraId="6C5E2C6E" w14:textId="77777777" w:rsidR="00167819" w:rsidRPr="00167819" w:rsidRDefault="00167819" w:rsidP="00167819">
      <w:pPr>
        <w:pStyle w:val="ListParagraph"/>
        <w:widowControl/>
        <w:numPr>
          <w:ilvl w:val="4"/>
          <w:numId w:val="15"/>
        </w:numPr>
        <w:kinsoku w:val="0"/>
        <w:overflowPunct w:val="0"/>
        <w:adjustRightInd w:val="0"/>
        <w:snapToGrid w:val="0"/>
        <w:ind w:left="1080"/>
        <w:jc w:val="both"/>
        <w:rPr>
          <w:rFonts w:ascii="Times New Roman" w:hAnsi="Times New Roman" w:cs="Times New Roman"/>
        </w:rPr>
      </w:pPr>
      <w:r w:rsidRPr="00167819">
        <w:rPr>
          <w:rFonts w:ascii="Times New Roman" w:hAnsi="Times New Roman" w:cs="Times New Roman"/>
        </w:rPr>
        <w:t>Continue to develop and document protocols for daily and annual ageing by IATTC and WCPFC (short-term).</w:t>
      </w:r>
    </w:p>
    <w:p w14:paraId="73DB6D25"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652FD838" w14:textId="77777777" w:rsidR="00493657" w:rsidRPr="00167819" w:rsidRDefault="00493657" w:rsidP="00167819">
      <w:pPr>
        <w:tabs>
          <w:tab w:val="left" w:pos="820"/>
        </w:tabs>
        <w:adjustRightInd w:val="0"/>
        <w:snapToGrid w:val="0"/>
        <w:spacing w:after="0" w:line="240" w:lineRule="auto"/>
        <w:rPr>
          <w:rFonts w:ascii="Times New Roman" w:hAnsi="Times New Roman" w:cs="Times New Roman"/>
          <w:b/>
        </w:rPr>
      </w:pPr>
    </w:p>
    <w:p w14:paraId="796EA301" w14:textId="191BD70B" w:rsidR="00E52163" w:rsidRPr="00167819" w:rsidRDefault="00E52163" w:rsidP="00167819">
      <w:pPr>
        <w:pStyle w:val="Heading1"/>
        <w:adjustRightInd w:val="0"/>
        <w:snapToGrid w:val="0"/>
        <w:spacing w:before="0" w:line="240" w:lineRule="auto"/>
        <w:rPr>
          <w:rFonts w:ascii="Times New Roman" w:hAnsi="Times New Roman" w:cs="Times New Roman"/>
        </w:rPr>
      </w:pPr>
      <w:bookmarkStart w:id="1" w:name="_Toc24966479"/>
      <w:r w:rsidRPr="00167819">
        <w:rPr>
          <w:rFonts w:ascii="Times New Roman" w:hAnsi="Times New Roman" w:cs="Times New Roman"/>
        </w:rPr>
        <w:t>SC14 2018</w:t>
      </w:r>
      <w:r w:rsidR="00C8592D" w:rsidRPr="00167819">
        <w:rPr>
          <w:rFonts w:ascii="Times New Roman" w:hAnsi="Times New Roman" w:cs="Times New Roman"/>
        </w:rPr>
        <w:t xml:space="preserve"> (</w:t>
      </w:r>
      <w:r w:rsidR="00493657" w:rsidRPr="00167819">
        <w:rPr>
          <w:rFonts w:ascii="Times New Roman" w:hAnsi="Times New Roman" w:cs="Times New Roman"/>
        </w:rPr>
        <w:t xml:space="preserve">FISHERY </w:t>
      </w:r>
      <w:r w:rsidR="00C8592D" w:rsidRPr="00167819">
        <w:rPr>
          <w:rFonts w:ascii="Times New Roman" w:hAnsi="Times New Roman" w:cs="Times New Roman"/>
        </w:rPr>
        <w:t>INDICATOR</w:t>
      </w:r>
      <w:r w:rsidR="00493657" w:rsidRPr="00167819">
        <w:rPr>
          <w:rFonts w:ascii="Times New Roman" w:hAnsi="Times New Roman" w:cs="Times New Roman"/>
        </w:rPr>
        <w:t>S</w:t>
      </w:r>
      <w:r w:rsidR="00C8592D" w:rsidRPr="00167819">
        <w:rPr>
          <w:rFonts w:ascii="Times New Roman" w:hAnsi="Times New Roman" w:cs="Times New Roman"/>
        </w:rPr>
        <w:t xml:space="preserve"> </w:t>
      </w:r>
      <w:r w:rsidR="00493657" w:rsidRPr="00167819">
        <w:rPr>
          <w:rFonts w:ascii="Times New Roman" w:hAnsi="Times New Roman" w:cs="Times New Roman"/>
        </w:rPr>
        <w:t>UPDATED</w:t>
      </w:r>
      <w:r w:rsidR="00C8592D" w:rsidRPr="00167819">
        <w:rPr>
          <w:rFonts w:ascii="Times New Roman" w:hAnsi="Times New Roman" w:cs="Times New Roman"/>
        </w:rPr>
        <w:t>)</w:t>
      </w:r>
      <w:bookmarkEnd w:id="1"/>
    </w:p>
    <w:p w14:paraId="247043DE" w14:textId="77777777" w:rsidR="00D03F79" w:rsidRPr="00167819" w:rsidRDefault="00D03F79" w:rsidP="00167819">
      <w:pPr>
        <w:tabs>
          <w:tab w:val="left" w:pos="820"/>
        </w:tabs>
        <w:adjustRightInd w:val="0"/>
        <w:snapToGrid w:val="0"/>
        <w:spacing w:after="0" w:line="240" w:lineRule="auto"/>
        <w:rPr>
          <w:rFonts w:ascii="Times New Roman" w:hAnsi="Times New Roman" w:cs="Times New Roman"/>
        </w:rPr>
      </w:pPr>
    </w:p>
    <w:p w14:paraId="01E861B6" w14:textId="296FF154" w:rsidR="00E52163" w:rsidRPr="00167819" w:rsidRDefault="00E52163" w:rsidP="00167819">
      <w:pPr>
        <w:pStyle w:val="ListParagraph"/>
        <w:numPr>
          <w:ilvl w:val="0"/>
          <w:numId w:val="5"/>
        </w:numPr>
        <w:adjustRightInd w:val="0"/>
        <w:snapToGrid w:val="0"/>
        <w:ind w:left="0" w:firstLine="0"/>
        <w:rPr>
          <w:rFonts w:ascii="Times New Roman" w:hAnsi="Times New Roman" w:cs="Times New Roman"/>
          <w:b/>
          <w:sz w:val="24"/>
          <w:szCs w:val="24"/>
        </w:rPr>
      </w:pPr>
      <w:r w:rsidRPr="00167819">
        <w:rPr>
          <w:rFonts w:ascii="Times New Roman" w:hAnsi="Times New Roman" w:cs="Times New Roman"/>
          <w:b/>
          <w:sz w:val="24"/>
          <w:szCs w:val="24"/>
        </w:rPr>
        <w:t>Stock Status and trends</w:t>
      </w:r>
    </w:p>
    <w:p w14:paraId="4AF93039" w14:textId="77777777" w:rsidR="00D03F79" w:rsidRPr="00167819" w:rsidRDefault="00D03F79" w:rsidP="00167819">
      <w:pPr>
        <w:tabs>
          <w:tab w:val="left" w:pos="820"/>
        </w:tabs>
        <w:adjustRightInd w:val="0"/>
        <w:snapToGrid w:val="0"/>
        <w:spacing w:after="0" w:line="240" w:lineRule="auto"/>
        <w:rPr>
          <w:rFonts w:ascii="Times New Roman" w:hAnsi="Times New Roman" w:cs="Times New Roman"/>
          <w:b/>
        </w:rPr>
      </w:pPr>
    </w:p>
    <w:p w14:paraId="54BBE1E2" w14:textId="7F3A23A7" w:rsidR="00E52163" w:rsidRPr="00167819" w:rsidRDefault="00E52163" w:rsidP="00167819">
      <w:pPr>
        <w:pStyle w:val="WCPFC"/>
        <w:numPr>
          <w:ilvl w:val="0"/>
          <w:numId w:val="6"/>
        </w:numPr>
        <w:adjustRightInd w:val="0"/>
        <w:spacing w:after="0"/>
        <w:ind w:left="0" w:firstLine="0"/>
        <w:rPr>
          <w:bCs/>
        </w:rPr>
      </w:pPr>
      <w:r w:rsidRPr="00167819">
        <w:rPr>
          <w:bCs/>
        </w:rPr>
        <w:lastRenderedPageBreak/>
        <w:t>SC14 noted that no stock assessment was conducted for WCPO yellowfin tuna in 2018. Therefore, the stock status description from SC13 is still current. For further information on the stock status and trends from SC13, please see below.</w:t>
      </w:r>
    </w:p>
    <w:p w14:paraId="46D59084" w14:textId="77777777" w:rsidR="00E52163" w:rsidRPr="00167819" w:rsidRDefault="00E52163" w:rsidP="00167819">
      <w:pPr>
        <w:pStyle w:val="WCPFC"/>
        <w:numPr>
          <w:ilvl w:val="0"/>
          <w:numId w:val="0"/>
        </w:numPr>
        <w:adjustRightInd w:val="0"/>
        <w:spacing w:after="0"/>
        <w:rPr>
          <w:bCs/>
        </w:rPr>
      </w:pPr>
    </w:p>
    <w:p w14:paraId="0A15E3A2" w14:textId="77777777" w:rsidR="00E52163" w:rsidRPr="00CA3AFC" w:rsidRDefault="00E52163" w:rsidP="00167819">
      <w:pPr>
        <w:pStyle w:val="WCPFC"/>
        <w:numPr>
          <w:ilvl w:val="0"/>
          <w:numId w:val="6"/>
        </w:numPr>
        <w:adjustRightInd w:val="0"/>
        <w:spacing w:after="0"/>
        <w:ind w:left="0" w:firstLine="0"/>
        <w:rPr>
          <w:bCs/>
        </w:rPr>
      </w:pPr>
      <w:r w:rsidRPr="00CA3AFC">
        <w:rPr>
          <w:bCs/>
        </w:rPr>
        <w:t xml:space="preserve">SC14 noted that the total yellowfin </w:t>
      </w:r>
      <w:proofErr w:type="gramStart"/>
      <w:r w:rsidRPr="00CA3AFC">
        <w:rPr>
          <w:bCs/>
        </w:rPr>
        <w:t>catch</w:t>
      </w:r>
      <w:proofErr w:type="gramEnd"/>
      <w:r w:rsidRPr="00CA3AFC">
        <w:rPr>
          <w:bCs/>
        </w:rPr>
        <w:t xml:space="preserve"> in 2017 was a record 670,890 mt, a 4% increase from 2016 and a</w:t>
      </w:r>
      <w:r w:rsidRPr="00CA3AFC">
        <w:rPr>
          <w:bCs/>
          <w:lang w:eastAsia="ja-JP"/>
        </w:rPr>
        <w:t xml:space="preserve"> </w:t>
      </w:r>
      <w:r w:rsidRPr="00CA3AFC">
        <w:rPr>
          <w:bCs/>
        </w:rPr>
        <w:t>12% increase from the average 2012-2016.</w:t>
      </w:r>
    </w:p>
    <w:p w14:paraId="04CA82DD" w14:textId="77777777" w:rsidR="00D03F79" w:rsidRPr="00CA3AFC" w:rsidRDefault="00D03F79" w:rsidP="00167819">
      <w:pPr>
        <w:pStyle w:val="WCPFC"/>
        <w:numPr>
          <w:ilvl w:val="0"/>
          <w:numId w:val="0"/>
        </w:numPr>
        <w:adjustRightInd w:val="0"/>
        <w:spacing w:after="0"/>
        <w:rPr>
          <w:bCs/>
        </w:rPr>
      </w:pPr>
    </w:p>
    <w:p w14:paraId="680B16EC" w14:textId="77777777" w:rsidR="00E52163" w:rsidRPr="00CA3AFC" w:rsidRDefault="00E52163" w:rsidP="00167819">
      <w:pPr>
        <w:pStyle w:val="WCPFC"/>
        <w:numPr>
          <w:ilvl w:val="0"/>
          <w:numId w:val="6"/>
        </w:numPr>
        <w:adjustRightInd w:val="0"/>
        <w:spacing w:after="0"/>
        <w:ind w:left="0" w:firstLine="0"/>
        <w:rPr>
          <w:bCs/>
        </w:rPr>
      </w:pPr>
      <w:r w:rsidRPr="00CA3AFC">
        <w:rPr>
          <w:bCs/>
        </w:rPr>
        <w:t>Purse seine catch in 2017 (472,279mt) was a 22% increase from 2016 and a 33% increase</w:t>
      </w:r>
      <w:r w:rsidRPr="00CA3AFC">
        <w:rPr>
          <w:bCs/>
          <w:lang w:eastAsia="ja-JP"/>
        </w:rPr>
        <w:t xml:space="preserve"> </w:t>
      </w:r>
      <w:r w:rsidRPr="00CA3AFC">
        <w:rPr>
          <w:bCs/>
        </w:rPr>
        <w:t>from the 2012-2016 average. Longline catch in 2017 (83,399mt)</w:t>
      </w:r>
      <w:r w:rsidRPr="00CA3AFC">
        <w:rPr>
          <w:bCs/>
          <w:lang w:eastAsia="ja-JP"/>
        </w:rPr>
        <w:t xml:space="preserve"> </w:t>
      </w:r>
      <w:r w:rsidRPr="00CA3AFC">
        <w:rPr>
          <w:bCs/>
        </w:rPr>
        <w:t>was a 6% decrease from 2016 and a 9% decrease from the 2012-2016 average. Pole and line catch (12,219mt) was a 48% decrease</w:t>
      </w:r>
      <w:r w:rsidRPr="00CA3AFC">
        <w:rPr>
          <w:bCs/>
          <w:lang w:eastAsia="ja-JP"/>
        </w:rPr>
        <w:t xml:space="preserve"> </w:t>
      </w:r>
      <w:r w:rsidRPr="00CA3AFC">
        <w:rPr>
          <w:bCs/>
        </w:rPr>
        <w:t>from 2016 and a 56% decrease from the average 2012-2016 catch.</w:t>
      </w:r>
      <w:r w:rsidRPr="00CA3AFC">
        <w:rPr>
          <w:bCs/>
          <w:lang w:eastAsia="ja-JP"/>
        </w:rPr>
        <w:t xml:space="preserve"> </w:t>
      </w:r>
      <w:r w:rsidRPr="00CA3AFC">
        <w:rPr>
          <w:bCs/>
        </w:rPr>
        <w:t>Catch by other gear (102,993mt) was a 28% decrease from 2016</w:t>
      </w:r>
      <w:r w:rsidRPr="00CA3AFC">
        <w:rPr>
          <w:bCs/>
          <w:lang w:eastAsia="ja-JP"/>
        </w:rPr>
        <w:t xml:space="preserve"> </w:t>
      </w:r>
      <w:r w:rsidRPr="00CA3AFC">
        <w:rPr>
          <w:bCs/>
        </w:rPr>
        <w:t xml:space="preserve">and 17% decrease from the average catch in 2012-2016. </w:t>
      </w:r>
    </w:p>
    <w:p w14:paraId="0C7B563F" w14:textId="77777777" w:rsidR="00D03F79" w:rsidRPr="00CA3AFC" w:rsidRDefault="00D03F79" w:rsidP="00167819">
      <w:pPr>
        <w:pStyle w:val="WCPFC"/>
        <w:numPr>
          <w:ilvl w:val="0"/>
          <w:numId w:val="0"/>
        </w:numPr>
        <w:adjustRightInd w:val="0"/>
        <w:spacing w:after="0"/>
        <w:rPr>
          <w:bCs/>
        </w:rPr>
      </w:pPr>
    </w:p>
    <w:p w14:paraId="72A861AF" w14:textId="77777777" w:rsidR="00E52163" w:rsidRPr="00CA3AFC" w:rsidRDefault="00E52163" w:rsidP="00167819">
      <w:pPr>
        <w:pStyle w:val="WCPFC"/>
        <w:numPr>
          <w:ilvl w:val="0"/>
          <w:numId w:val="6"/>
        </w:numPr>
        <w:adjustRightInd w:val="0"/>
        <w:spacing w:after="0"/>
        <w:ind w:left="0" w:firstLine="0"/>
        <w:rPr>
          <w:bCs/>
        </w:rPr>
      </w:pPr>
      <w:r w:rsidRPr="00CA3AFC">
        <w:rPr>
          <w:bCs/>
        </w:rPr>
        <w:t>SC14 noted that under recent fishery conditions, the yellowfin stock was initially</w:t>
      </w:r>
      <w:r w:rsidRPr="00CA3AFC">
        <w:rPr>
          <w:bCs/>
          <w:lang w:eastAsia="ja-JP"/>
        </w:rPr>
        <w:t xml:space="preserve"> </w:t>
      </w:r>
      <w:r w:rsidRPr="00CA3AFC">
        <w:rPr>
          <w:bCs/>
        </w:rPr>
        <w:t>projected to increase as recent estimated relatively high recruitments support adult stock biomass, then decline slightly. Median</w:t>
      </w:r>
      <w:r w:rsidRPr="00CA3AFC">
        <w:rPr>
          <w:bCs/>
          <w:lang w:eastAsia="ja-JP"/>
        </w:rPr>
        <w:t xml:space="preserve"> </w:t>
      </w:r>
      <w:r w:rsidRPr="00CA3AFC">
        <w:rPr>
          <w:bCs/>
        </w:rPr>
        <w:t>F</w:t>
      </w:r>
      <w:r w:rsidRPr="00CA3AFC">
        <w:rPr>
          <w:bCs/>
          <w:vertAlign w:val="subscript"/>
        </w:rPr>
        <w:t>2019</w:t>
      </w:r>
      <w:r w:rsidRPr="00CA3AFC">
        <w:rPr>
          <w:bCs/>
        </w:rPr>
        <w:t>/F</w:t>
      </w:r>
      <w:r w:rsidRPr="00CA3AFC">
        <w:rPr>
          <w:bCs/>
          <w:vertAlign w:val="subscript"/>
        </w:rPr>
        <w:t>MSY</w:t>
      </w:r>
      <w:r w:rsidRPr="00CA3AFC">
        <w:rPr>
          <w:bCs/>
        </w:rPr>
        <w:t xml:space="preserve"> = 0.63; median SB</w:t>
      </w:r>
      <w:r w:rsidRPr="00CA3AFC">
        <w:rPr>
          <w:bCs/>
          <w:vertAlign w:val="subscript"/>
        </w:rPr>
        <w:t>2019</w:t>
      </w:r>
      <w:r w:rsidRPr="00CA3AFC">
        <w:rPr>
          <w:bCs/>
        </w:rPr>
        <w:t>/SB</w:t>
      </w:r>
      <w:r w:rsidRPr="00CA3AFC">
        <w:rPr>
          <w:bCs/>
          <w:vertAlign w:val="subscript"/>
        </w:rPr>
        <w:t>F=0</w:t>
      </w:r>
      <w:r w:rsidRPr="00CA3AFC">
        <w:rPr>
          <w:bCs/>
        </w:rPr>
        <w:t xml:space="preserve"> = 0.37; median</w:t>
      </w:r>
      <w:r w:rsidRPr="00CA3AFC">
        <w:rPr>
          <w:bCs/>
          <w:lang w:eastAsia="ja-JP"/>
        </w:rPr>
        <w:t xml:space="preserve"> </w:t>
      </w:r>
      <w:r w:rsidRPr="00CA3AFC">
        <w:rPr>
          <w:bCs/>
        </w:rPr>
        <w:t>SB</w:t>
      </w:r>
      <w:r w:rsidRPr="00CA3AFC">
        <w:rPr>
          <w:bCs/>
          <w:vertAlign w:val="subscript"/>
        </w:rPr>
        <w:t>2019</w:t>
      </w:r>
      <w:r w:rsidRPr="00CA3AFC">
        <w:rPr>
          <w:bCs/>
        </w:rPr>
        <w:t>/SB</w:t>
      </w:r>
      <w:r w:rsidRPr="00CA3AFC">
        <w:rPr>
          <w:bCs/>
          <w:vertAlign w:val="subscript"/>
        </w:rPr>
        <w:t>MSY</w:t>
      </w:r>
      <w:r w:rsidRPr="00CA3AFC">
        <w:rPr>
          <w:bCs/>
        </w:rPr>
        <w:t xml:space="preserve"> = 1.51. Risk that SB</w:t>
      </w:r>
      <w:r w:rsidRPr="00CA3AFC">
        <w:rPr>
          <w:bCs/>
          <w:vertAlign w:val="subscript"/>
        </w:rPr>
        <w:t>2019</w:t>
      </w:r>
      <w:r w:rsidRPr="00CA3AFC">
        <w:rPr>
          <w:bCs/>
        </w:rPr>
        <w:t xml:space="preserve"> &lt; LRP = 6%. </w:t>
      </w:r>
    </w:p>
    <w:p w14:paraId="40B87C9F" w14:textId="77777777" w:rsidR="00D03F79" w:rsidRPr="00CA3AFC" w:rsidRDefault="00D03F79" w:rsidP="00167819">
      <w:pPr>
        <w:pStyle w:val="WCPFC"/>
        <w:numPr>
          <w:ilvl w:val="0"/>
          <w:numId w:val="0"/>
        </w:numPr>
        <w:adjustRightInd w:val="0"/>
        <w:spacing w:after="0"/>
        <w:rPr>
          <w:b/>
        </w:rPr>
      </w:pPr>
    </w:p>
    <w:p w14:paraId="0091B7F5" w14:textId="2D029878" w:rsidR="00E52163" w:rsidRPr="00CA3AFC" w:rsidRDefault="00E52163" w:rsidP="00167819">
      <w:pPr>
        <w:pStyle w:val="ListParagraph"/>
        <w:numPr>
          <w:ilvl w:val="0"/>
          <w:numId w:val="5"/>
        </w:numPr>
        <w:adjustRightInd w:val="0"/>
        <w:snapToGrid w:val="0"/>
        <w:ind w:left="0" w:firstLine="0"/>
        <w:rPr>
          <w:rFonts w:ascii="Times New Roman" w:hAnsi="Times New Roman" w:cs="Times New Roman"/>
          <w:b/>
          <w:sz w:val="24"/>
          <w:szCs w:val="24"/>
        </w:rPr>
      </w:pPr>
      <w:r w:rsidRPr="00CA3AFC">
        <w:rPr>
          <w:rFonts w:ascii="Times New Roman" w:hAnsi="Times New Roman" w:cs="Times New Roman"/>
          <w:b/>
          <w:sz w:val="24"/>
          <w:szCs w:val="24"/>
        </w:rPr>
        <w:t>Management advice and implications</w:t>
      </w:r>
    </w:p>
    <w:p w14:paraId="714ADD76" w14:textId="77777777" w:rsidR="00D03F79" w:rsidRPr="00CA3AFC" w:rsidRDefault="00D03F79" w:rsidP="00167819">
      <w:pPr>
        <w:pStyle w:val="WCPFC"/>
        <w:numPr>
          <w:ilvl w:val="0"/>
          <w:numId w:val="0"/>
        </w:numPr>
        <w:adjustRightInd w:val="0"/>
        <w:spacing w:after="0"/>
        <w:rPr>
          <w:b/>
          <w:sz w:val="24"/>
          <w:szCs w:val="24"/>
        </w:rPr>
      </w:pPr>
    </w:p>
    <w:p w14:paraId="601EDF31" w14:textId="77777777" w:rsidR="00E52163" w:rsidRPr="00CA3AFC" w:rsidRDefault="00E52163" w:rsidP="00167819">
      <w:pPr>
        <w:pStyle w:val="WCPFC"/>
        <w:numPr>
          <w:ilvl w:val="0"/>
          <w:numId w:val="6"/>
        </w:numPr>
        <w:adjustRightInd w:val="0"/>
        <w:spacing w:after="0"/>
        <w:ind w:left="0" w:firstLine="0"/>
        <w:rPr>
          <w:rStyle w:val="Hyperlink"/>
          <w:color w:val="auto"/>
        </w:rPr>
      </w:pPr>
      <w:r w:rsidRPr="00CA3AFC">
        <w:rPr>
          <w:lang w:val="en-AU"/>
        </w:rPr>
        <w:t>SC14 noted that no stock assessment has been conducted since SC13. Therefore, the advice from SC13 should be maintained to achieve the objectives set in CMM-2017-01, pending a new assessment or other new information. For further information on the management advice and implications from SC13, please see</w:t>
      </w:r>
      <w:r w:rsidRPr="00CA3AFC">
        <w:rPr>
          <w:lang w:val="en-AU" w:eastAsia="ko-KR"/>
        </w:rPr>
        <w:t xml:space="preserve"> below.</w:t>
      </w:r>
    </w:p>
    <w:p w14:paraId="1B6552C3" w14:textId="77777777" w:rsidR="00E52163" w:rsidRPr="00CA3AFC" w:rsidRDefault="00E52163" w:rsidP="00167819">
      <w:pPr>
        <w:tabs>
          <w:tab w:val="left" w:pos="840"/>
        </w:tabs>
        <w:adjustRightInd w:val="0"/>
        <w:snapToGrid w:val="0"/>
        <w:spacing w:after="0" w:line="240" w:lineRule="auto"/>
        <w:ind w:right="114"/>
        <w:rPr>
          <w:rFonts w:ascii="Times New Roman" w:hAnsi="Times New Roman" w:cs="Times New Roman"/>
          <w:b/>
        </w:rPr>
      </w:pPr>
    </w:p>
    <w:p w14:paraId="653476EC" w14:textId="77777777" w:rsidR="00E52163" w:rsidRPr="00CA3AFC" w:rsidRDefault="00E52163" w:rsidP="00167819">
      <w:pPr>
        <w:pStyle w:val="ListParagraph"/>
        <w:numPr>
          <w:ilvl w:val="0"/>
          <w:numId w:val="5"/>
        </w:numPr>
        <w:adjustRightInd w:val="0"/>
        <w:snapToGrid w:val="0"/>
        <w:ind w:left="0" w:firstLine="0"/>
        <w:rPr>
          <w:rFonts w:ascii="Times New Roman" w:hAnsi="Times New Roman" w:cs="Times New Roman"/>
          <w:b/>
          <w:sz w:val="24"/>
          <w:szCs w:val="24"/>
        </w:rPr>
      </w:pPr>
      <w:r w:rsidRPr="00CA3AFC">
        <w:rPr>
          <w:rFonts w:ascii="Times New Roman" w:hAnsi="Times New Roman" w:cs="Times New Roman"/>
          <w:b/>
          <w:sz w:val="24"/>
          <w:szCs w:val="24"/>
        </w:rPr>
        <w:t>Research Recommendations</w:t>
      </w:r>
    </w:p>
    <w:p w14:paraId="28C33139" w14:textId="77777777" w:rsidR="00D03F79" w:rsidRPr="00CA3AFC" w:rsidRDefault="00D03F79" w:rsidP="00167819">
      <w:pPr>
        <w:tabs>
          <w:tab w:val="left" w:pos="840"/>
        </w:tabs>
        <w:adjustRightInd w:val="0"/>
        <w:snapToGrid w:val="0"/>
        <w:spacing w:after="0" w:line="240" w:lineRule="auto"/>
        <w:ind w:right="114"/>
        <w:rPr>
          <w:rFonts w:ascii="Times New Roman" w:hAnsi="Times New Roman" w:cs="Times New Roman"/>
          <w:b/>
          <w:sz w:val="24"/>
          <w:szCs w:val="24"/>
        </w:rPr>
      </w:pPr>
    </w:p>
    <w:p w14:paraId="63442A5A" w14:textId="77777777" w:rsidR="00E52163" w:rsidRPr="00CA3AFC" w:rsidRDefault="00E52163" w:rsidP="00167819">
      <w:pPr>
        <w:pStyle w:val="WCPFC"/>
        <w:numPr>
          <w:ilvl w:val="0"/>
          <w:numId w:val="6"/>
        </w:numPr>
        <w:adjustRightInd w:val="0"/>
        <w:spacing w:after="0"/>
        <w:ind w:left="0" w:firstLine="0"/>
        <w:rPr>
          <w:bCs/>
        </w:rPr>
      </w:pPr>
      <w:r w:rsidRPr="00CA3AFC">
        <w:rPr>
          <w:bCs/>
          <w:lang w:val="en-AU"/>
        </w:rPr>
        <w:t>SC14 reviewed the work on age and growth of yellowfin tuna presented in SA-WP-13 and noted that the final results of this projected will be presented to SC15. SC1</w:t>
      </w:r>
      <w:r w:rsidRPr="00CA3AFC">
        <w:rPr>
          <w:bCs/>
          <w:lang w:val="en-AU" w:eastAsia="ja-JP"/>
        </w:rPr>
        <w:t>4</w:t>
      </w:r>
      <w:r w:rsidRPr="00CA3AFC">
        <w:rPr>
          <w:bCs/>
          <w:lang w:val="en-AU"/>
        </w:rPr>
        <w:t xml:space="preserve"> encouraged analysis of </w:t>
      </w:r>
      <w:r w:rsidRPr="00CA3AFC">
        <w:rPr>
          <w:bCs/>
        </w:rPr>
        <w:t xml:space="preserve">the same otoliths by different laboratories, to build confidence in ageing estimates through </w:t>
      </w:r>
      <w:r w:rsidRPr="00CA3AFC">
        <w:rPr>
          <w:bCs/>
          <w:lang w:val="en-AU"/>
        </w:rPr>
        <w:t xml:space="preserve">inter laboratory </w:t>
      </w:r>
      <w:proofErr w:type="gramStart"/>
      <w:r w:rsidRPr="00CA3AFC">
        <w:rPr>
          <w:bCs/>
          <w:lang w:val="en-AU"/>
        </w:rPr>
        <w:t>daily-annual</w:t>
      </w:r>
      <w:proofErr w:type="gramEnd"/>
      <w:r w:rsidRPr="00CA3AFC">
        <w:rPr>
          <w:bCs/>
          <w:lang w:val="en-AU"/>
        </w:rPr>
        <w:t xml:space="preserve"> age workshop. </w:t>
      </w:r>
    </w:p>
    <w:p w14:paraId="4919A5F2" w14:textId="6343B5D8" w:rsidR="00E52163" w:rsidRPr="00167819" w:rsidRDefault="00E52163" w:rsidP="00167819">
      <w:pPr>
        <w:adjustRightInd w:val="0"/>
        <w:snapToGrid w:val="0"/>
        <w:spacing w:after="0" w:line="240" w:lineRule="auto"/>
        <w:rPr>
          <w:rFonts w:ascii="Times New Roman" w:eastAsiaTheme="majorEastAsia" w:hAnsi="Times New Roman" w:cs="Times New Roman"/>
          <w:color w:val="2F5496" w:themeColor="accent1" w:themeShade="BF"/>
        </w:rPr>
      </w:pPr>
    </w:p>
    <w:p w14:paraId="37A40A3E" w14:textId="77777777" w:rsidR="00167819" w:rsidRPr="00167819" w:rsidRDefault="00167819" w:rsidP="00167819">
      <w:pPr>
        <w:adjustRightInd w:val="0"/>
        <w:snapToGrid w:val="0"/>
        <w:spacing w:after="0" w:line="240" w:lineRule="auto"/>
        <w:rPr>
          <w:rFonts w:ascii="Times New Roman" w:eastAsiaTheme="majorEastAsia" w:hAnsi="Times New Roman" w:cs="Times New Roman"/>
          <w:color w:val="2F5496" w:themeColor="accent1" w:themeShade="BF"/>
        </w:rPr>
      </w:pPr>
    </w:p>
    <w:p w14:paraId="78001A4A" w14:textId="77777777" w:rsidR="004B05DF" w:rsidRPr="00CA3AFC" w:rsidRDefault="004B05DF" w:rsidP="00167819">
      <w:pPr>
        <w:pStyle w:val="Heading1"/>
        <w:adjustRightInd w:val="0"/>
        <w:snapToGrid w:val="0"/>
        <w:spacing w:before="0" w:line="240" w:lineRule="auto"/>
        <w:rPr>
          <w:rFonts w:ascii="Times New Roman" w:hAnsi="Times New Roman" w:cs="Times New Roman"/>
        </w:rPr>
      </w:pPr>
      <w:bookmarkStart w:id="2" w:name="_Toc24966480"/>
      <w:r w:rsidRPr="00CA3AFC">
        <w:rPr>
          <w:rFonts w:ascii="Times New Roman" w:hAnsi="Times New Roman" w:cs="Times New Roman"/>
        </w:rPr>
        <w:t xml:space="preserve">SC13 2017 </w:t>
      </w:r>
      <w:r w:rsidR="00C73552" w:rsidRPr="00CA3AFC">
        <w:rPr>
          <w:rFonts w:ascii="Times New Roman" w:hAnsi="Times New Roman" w:cs="Times New Roman"/>
        </w:rPr>
        <w:t>(STOCK ASSESSMENT CONDUCTED)</w:t>
      </w:r>
      <w:bookmarkEnd w:id="2"/>
    </w:p>
    <w:p w14:paraId="36FD7FDF" w14:textId="77777777" w:rsidR="004B05DF" w:rsidRPr="00CA3AFC" w:rsidRDefault="004B05DF" w:rsidP="00167819">
      <w:pPr>
        <w:adjustRightInd w:val="0"/>
        <w:snapToGrid w:val="0"/>
        <w:spacing w:after="0" w:line="240" w:lineRule="auto"/>
        <w:rPr>
          <w:rFonts w:ascii="Times New Roman" w:hAnsi="Times New Roman" w:cs="Times New Roman"/>
        </w:rPr>
      </w:pPr>
    </w:p>
    <w:p w14:paraId="361F5292" w14:textId="77777777" w:rsidR="00140D64" w:rsidRPr="00167819" w:rsidRDefault="00140D64" w:rsidP="00167819">
      <w:pPr>
        <w:pStyle w:val="WCPFC"/>
        <w:adjustRightInd w:val="0"/>
        <w:spacing w:after="0"/>
        <w:ind w:left="0" w:firstLine="0"/>
        <w:rPr>
          <w:bCs/>
        </w:rPr>
      </w:pPr>
      <w:r w:rsidRPr="00167819">
        <w:rPr>
          <w:bCs/>
        </w:rPr>
        <w:t xml:space="preserve">SC13 endorsed the 2017 WCPO yellowfin tuna stock assessment as the most advanced and comprehensive assessment yet conducted for this species. </w:t>
      </w:r>
    </w:p>
    <w:p w14:paraId="1340C429" w14:textId="77777777" w:rsidR="00167819" w:rsidRPr="00167819" w:rsidRDefault="00167819" w:rsidP="00167819">
      <w:pPr>
        <w:autoSpaceDE w:val="0"/>
        <w:autoSpaceDN w:val="0"/>
        <w:adjustRightInd w:val="0"/>
        <w:snapToGrid w:val="0"/>
        <w:spacing w:after="0" w:line="240" w:lineRule="auto"/>
        <w:jc w:val="both"/>
        <w:rPr>
          <w:rFonts w:ascii="Times New Roman" w:eastAsia="Malgun Gothic" w:hAnsi="Times New Roman" w:cs="Times New Roman"/>
          <w:bCs/>
          <w:lang w:val="en-AU"/>
        </w:rPr>
      </w:pPr>
    </w:p>
    <w:p w14:paraId="6AAF8C98" w14:textId="1D424AEA"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 xml:space="preserve">SC13 also endorsed the use of the assessment model uncertainty grid to characterize stock status and management advice and implications. </w:t>
      </w:r>
    </w:p>
    <w:p w14:paraId="6BB19016" w14:textId="77777777" w:rsidR="00140D64" w:rsidRPr="00167819" w:rsidRDefault="00140D64" w:rsidP="00167819">
      <w:pPr>
        <w:adjustRightInd w:val="0"/>
        <w:snapToGrid w:val="0"/>
        <w:spacing w:after="0" w:line="240" w:lineRule="auto"/>
        <w:ind w:left="720" w:hanging="720"/>
        <w:jc w:val="both"/>
        <w:rPr>
          <w:rFonts w:ascii="Times New Roman" w:eastAsia="Malgun Gothic" w:hAnsi="Times New Roman" w:cs="Times New Roman"/>
          <w:bCs/>
          <w:lang w:val="en-AU"/>
        </w:rPr>
      </w:pPr>
    </w:p>
    <w:p w14:paraId="15F19946"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reached consensus on the weighting of assessment models in the uncertainty grid for yellowfin tuna. The consensus weighting considered all options within five axes of uncertainty for steepness, tagging dispersion, tag mixing, size frequency (with two levels), and regional structure to be equally likely. The resulting uncertainty grid was used to characterize stock status, to summarize reference points as provided in the assessment document SC13-SA-WP-06, and to calculate the probability of breaching the adopted spawning biomass limit reference point (0.2*SB</w:t>
      </w:r>
      <w:r w:rsidRPr="00167819">
        <w:rPr>
          <w:rFonts w:ascii="Times New Roman" w:eastAsia="Malgun Gothic" w:hAnsi="Times New Roman" w:cs="Times New Roman"/>
          <w:bCs/>
          <w:vertAlign w:val="subscript"/>
          <w:lang w:val="en-AU"/>
        </w:rPr>
        <w:t>F=0</w:t>
      </w:r>
      <w:r w:rsidRPr="00167819">
        <w:rPr>
          <w:rFonts w:ascii="Times New Roman" w:eastAsia="Malgun Gothic" w:hAnsi="Times New Roman" w:cs="Times New Roman"/>
          <w:bCs/>
          <w:lang w:val="en-AU"/>
        </w:rPr>
        <w:t>) and the probability of F</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 xml:space="preserve"> being greater than 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w:t>
      </w:r>
    </w:p>
    <w:p w14:paraId="7091E0E1" w14:textId="77777777" w:rsidR="00140D64" w:rsidRPr="00CA3AFC" w:rsidRDefault="00140D64" w:rsidP="00167819">
      <w:pPr>
        <w:adjustRightInd w:val="0"/>
        <w:snapToGrid w:val="0"/>
        <w:spacing w:after="0" w:line="240" w:lineRule="auto"/>
        <w:ind w:left="720" w:hanging="720"/>
        <w:jc w:val="both"/>
        <w:rPr>
          <w:rFonts w:ascii="Times New Roman" w:eastAsia="Malgun Gothic" w:hAnsi="Times New Roman" w:cs="Times New Roman"/>
          <w:b/>
          <w:lang w:val="en-AU"/>
        </w:rPr>
      </w:pPr>
    </w:p>
    <w:p w14:paraId="276CF866" w14:textId="77777777" w:rsidR="00140D64" w:rsidRPr="00CA3AFC" w:rsidRDefault="00140D64" w:rsidP="00167819">
      <w:pPr>
        <w:numPr>
          <w:ilvl w:val="0"/>
          <w:numId w:val="4"/>
        </w:numPr>
        <w:adjustRightInd w:val="0"/>
        <w:snapToGrid w:val="0"/>
        <w:spacing w:after="0" w:line="240" w:lineRule="auto"/>
        <w:jc w:val="both"/>
        <w:rPr>
          <w:rFonts w:ascii="Times New Roman" w:eastAsia="Malgun Gothic" w:hAnsi="Times New Roman" w:cs="Times New Roman"/>
          <w:b/>
          <w:lang w:val="en-NZ" w:eastAsia="en-NZ"/>
        </w:rPr>
      </w:pPr>
      <w:r w:rsidRPr="00CA3AFC">
        <w:rPr>
          <w:rFonts w:ascii="Times New Roman" w:eastAsia="Malgun Gothic" w:hAnsi="Times New Roman" w:cs="Times New Roman"/>
          <w:b/>
          <w:lang w:val="en-NZ" w:eastAsia="en-NZ"/>
        </w:rPr>
        <w:t>S</w:t>
      </w:r>
      <w:r w:rsidRPr="00CA3AFC">
        <w:rPr>
          <w:rFonts w:ascii="Times New Roman" w:eastAsia="Malgun Gothic" w:hAnsi="Times New Roman" w:cs="Times New Roman"/>
          <w:b/>
          <w:lang w:val="en-NZ" w:eastAsia="ko-KR"/>
        </w:rPr>
        <w:t>tock s</w:t>
      </w:r>
      <w:r w:rsidRPr="00CA3AFC">
        <w:rPr>
          <w:rFonts w:ascii="Times New Roman" w:eastAsia="Malgun Gothic" w:hAnsi="Times New Roman" w:cs="Times New Roman"/>
          <w:b/>
          <w:lang w:val="en-NZ" w:eastAsia="en-NZ"/>
        </w:rPr>
        <w:t xml:space="preserve">tatus and trends </w:t>
      </w:r>
    </w:p>
    <w:p w14:paraId="1A8220D2" w14:textId="77777777" w:rsidR="00140D64" w:rsidRPr="00CA3AFC" w:rsidRDefault="00140D64" w:rsidP="00167819">
      <w:pPr>
        <w:adjustRightInd w:val="0"/>
        <w:snapToGrid w:val="0"/>
        <w:spacing w:after="0" w:line="240" w:lineRule="auto"/>
        <w:ind w:left="720"/>
        <w:jc w:val="both"/>
        <w:rPr>
          <w:rFonts w:ascii="Times New Roman" w:eastAsia="Malgun Gothic" w:hAnsi="Times New Roman" w:cs="Times New Roman"/>
          <w:b/>
          <w:lang w:val="en-NZ" w:eastAsia="en-NZ"/>
        </w:rPr>
      </w:pPr>
    </w:p>
    <w:p w14:paraId="0D31E1DF"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The median values of relative recent spawning biomass (2012-2015) (SB</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/SB</w:t>
      </w:r>
      <w:r w:rsidRPr="00167819">
        <w:rPr>
          <w:rFonts w:ascii="Times New Roman" w:eastAsia="Malgun Gothic" w:hAnsi="Times New Roman" w:cs="Times New Roman"/>
          <w:bCs/>
          <w:vertAlign w:val="subscript"/>
          <w:lang w:val="en-AU"/>
        </w:rPr>
        <w:t>F=0</w:t>
      </w:r>
      <w:r w:rsidRPr="00167819">
        <w:rPr>
          <w:rFonts w:ascii="Times New Roman" w:eastAsia="Malgun Gothic" w:hAnsi="Times New Roman" w:cs="Times New Roman"/>
          <w:bCs/>
          <w:lang w:val="en-AU"/>
        </w:rPr>
        <w:t>) and relative recent fishing mortality (F</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w:t>
      </w:r>
    </w:p>
    <w:p w14:paraId="4DB2E9B9" w14:textId="77777777" w:rsidR="00140D64" w:rsidRPr="00167819" w:rsidRDefault="00140D64" w:rsidP="00167819">
      <w:pPr>
        <w:autoSpaceDE w:val="0"/>
        <w:autoSpaceDN w:val="0"/>
        <w:adjustRightInd w:val="0"/>
        <w:snapToGrid w:val="0"/>
        <w:spacing w:after="0" w:line="240" w:lineRule="auto"/>
        <w:jc w:val="both"/>
        <w:rPr>
          <w:rFonts w:ascii="Times New Roman" w:eastAsia="Malgun Gothic" w:hAnsi="Times New Roman" w:cs="Times New Roman"/>
          <w:bCs/>
          <w:lang w:val="en-AU"/>
        </w:rPr>
      </w:pPr>
    </w:p>
    <w:p w14:paraId="63BD4382"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 xml:space="preserve">Descriptions of the updated structural sensitivity grid used to characterize uncertainty in the assessment are provided in Table YFT-1. Catch </w:t>
      </w:r>
      <w:r w:rsidRPr="00167819">
        <w:rPr>
          <w:rFonts w:ascii="Times New Roman" w:eastAsia="Malgun Gothic" w:hAnsi="Times New Roman" w:cs="Times New Roman"/>
          <w:bCs/>
          <w:lang w:val="en-AU" w:eastAsia="ko-KR"/>
        </w:rPr>
        <w:t>t</w:t>
      </w:r>
      <w:r w:rsidRPr="00167819">
        <w:rPr>
          <w:rFonts w:ascii="Times New Roman" w:eastAsia="Malgun Gothic" w:hAnsi="Times New Roman" w:cs="Times New Roman"/>
          <w:bCs/>
          <w:lang w:val="en-AU"/>
        </w:rPr>
        <w:t xml:space="preserve">rend data is presented in Figure YFT-1.  Estimated annual average recruitment, biomass, fishing mortality and depletion are shown in Figures YFT-2 – YFT-5. Majuro plots summarizing the results for each of the models in the structural uncertainty grid retained for management advice are represented in Figures YFT-6 and YFT-7. Figure YFT-8 and YFT-9 present Kobe plots summarizing the results for each of the models in the structural uncertainty grid. </w:t>
      </w:r>
      <w:r w:rsidRPr="00167819">
        <w:rPr>
          <w:rFonts w:ascii="Times New Roman" w:eastAsia="Malgun Gothic" w:hAnsi="Times New Roman" w:cs="Times New Roman"/>
          <w:bCs/>
          <w:lang w:val="en-AU" w:eastAsia="ko-KR"/>
        </w:rPr>
        <w:t>Figure YFT-10 provides estimated</w:t>
      </w:r>
      <w:r w:rsidRPr="00167819">
        <w:rPr>
          <w:rFonts w:ascii="Times New Roman" w:eastAsia="Malgun Gothic" w:hAnsi="Times New Roman" w:cs="Times New Roman"/>
          <w:bCs/>
          <w:lang w:val="en-NZ"/>
        </w:rPr>
        <w:t xml:space="preserve"> time-series (or “dynamic”) Majuro and Kobe plots from the yellowfin ‘diagnostic case’ model run.</w:t>
      </w:r>
      <w:r w:rsidRPr="00167819">
        <w:rPr>
          <w:rFonts w:ascii="Times New Roman" w:eastAsia="Malgun Gothic" w:hAnsi="Times New Roman" w:cs="Times New Roman"/>
          <w:bCs/>
          <w:lang w:val="en-NZ" w:eastAsia="ko-KR"/>
        </w:rPr>
        <w:t xml:space="preserve"> </w:t>
      </w:r>
      <w:r w:rsidRPr="00167819">
        <w:rPr>
          <w:rFonts w:ascii="Times New Roman" w:eastAsia="Malgun Gothic" w:hAnsi="Times New Roman" w:cs="Times New Roman"/>
          <w:bCs/>
          <w:lang w:val="en-AU"/>
        </w:rPr>
        <w:t>Figure YFT-1</w:t>
      </w:r>
      <w:r w:rsidRPr="00167819">
        <w:rPr>
          <w:rFonts w:ascii="Times New Roman" w:eastAsia="Malgun Gothic" w:hAnsi="Times New Roman" w:cs="Times New Roman"/>
          <w:bCs/>
          <w:lang w:val="en-AU" w:eastAsia="ko-KR"/>
        </w:rPr>
        <w:t>1 shows</w:t>
      </w:r>
      <w:r w:rsidRPr="00167819">
        <w:rPr>
          <w:rFonts w:ascii="Times New Roman" w:eastAsia="Malgun Gothic" w:hAnsi="Times New Roman" w:cs="Times New Roman"/>
          <w:bCs/>
          <w:lang w:val="en-AU"/>
        </w:rPr>
        <w:t xml:space="preserve"> </w:t>
      </w:r>
      <w:r w:rsidRPr="00167819">
        <w:rPr>
          <w:rFonts w:ascii="Times New Roman" w:eastAsia="Malgun Gothic" w:hAnsi="Times New Roman" w:cs="Times New Roman"/>
          <w:bCs/>
          <w:lang w:val="en-AU" w:eastAsia="ko-KR"/>
        </w:rPr>
        <w:t>e</w:t>
      </w:r>
      <w:r w:rsidRPr="00167819">
        <w:rPr>
          <w:rFonts w:ascii="Times New Roman" w:eastAsia="Malgun Gothic" w:hAnsi="Times New Roman" w:cs="Times New Roman"/>
          <w:bCs/>
          <w:lang w:val="en-AU"/>
        </w:rPr>
        <w:t xml:space="preserve">stimates of reduction in spawning potential due to fishing by region, and over all regions attributed to various fishery groups (gear-types) for the diagnostic case model.  Table YFT-2 </w:t>
      </w:r>
      <w:r w:rsidRPr="00167819">
        <w:rPr>
          <w:rFonts w:ascii="Times New Roman" w:eastAsia="Malgun Gothic" w:hAnsi="Times New Roman" w:cs="Times New Roman"/>
          <w:bCs/>
          <w:lang w:val="en-AU" w:eastAsia="ko-KR"/>
        </w:rPr>
        <w:t>p</w:t>
      </w:r>
      <w:r w:rsidRPr="00167819">
        <w:rPr>
          <w:rFonts w:ascii="Times New Roman" w:eastAsia="Malgun Gothic" w:hAnsi="Times New Roman" w:cs="Times New Roman"/>
          <w:bCs/>
          <w:lang w:val="en-AU"/>
        </w:rPr>
        <w:t>rovides a summary of reference points over the 48 models in the structural uncertainty grid</w:t>
      </w:r>
      <w:r w:rsidRPr="00167819">
        <w:rPr>
          <w:rFonts w:ascii="Times New Roman" w:eastAsia="Malgun Gothic" w:hAnsi="Times New Roman" w:cs="Times New Roman"/>
          <w:bCs/>
          <w:lang w:val="en-AU" w:eastAsia="ko-KR"/>
        </w:rPr>
        <w:t xml:space="preserve"> </w:t>
      </w:r>
      <w:r w:rsidRPr="00167819">
        <w:rPr>
          <w:rFonts w:ascii="Times New Roman" w:eastAsia="Malgun Gothic" w:hAnsi="Times New Roman" w:cs="Times New Roman"/>
          <w:bCs/>
          <w:lang w:val="en-AU"/>
        </w:rPr>
        <w:t>(based on the SC decision to include size frequency weighting levels 20 and 50 only).</w:t>
      </w:r>
    </w:p>
    <w:p w14:paraId="6ED3C23E" w14:textId="77777777" w:rsidR="00140D64" w:rsidRPr="00CA3AFC" w:rsidRDefault="00140D64" w:rsidP="00167819">
      <w:pPr>
        <w:autoSpaceDE w:val="0"/>
        <w:autoSpaceDN w:val="0"/>
        <w:adjustRightInd w:val="0"/>
        <w:snapToGrid w:val="0"/>
        <w:spacing w:after="0" w:line="240" w:lineRule="auto"/>
        <w:jc w:val="both"/>
        <w:rPr>
          <w:rFonts w:ascii="Times New Roman" w:eastAsia="Malgun Gothic" w:hAnsi="Times New Roman" w:cs="Times New Roman"/>
          <w:b/>
          <w:lang w:val="en-AU"/>
        </w:rPr>
      </w:pPr>
    </w:p>
    <w:p w14:paraId="4CCFB391" w14:textId="77777777" w:rsidR="00140D64" w:rsidRPr="00CA3AFC" w:rsidRDefault="00140D64" w:rsidP="00167819">
      <w:pPr>
        <w:adjustRightInd w:val="0"/>
        <w:snapToGrid w:val="0"/>
        <w:spacing w:after="0" w:line="240" w:lineRule="auto"/>
        <w:rPr>
          <w:rFonts w:ascii="Times New Roman" w:eastAsia="Malgun Gothic" w:hAnsi="Times New Roman" w:cs="Times New Roman"/>
          <w:lang w:val="en-NZ" w:eastAsia="en-NZ"/>
        </w:rPr>
      </w:pPr>
      <w:r w:rsidRPr="00CA3AFC">
        <w:rPr>
          <w:rFonts w:ascii="Times New Roman" w:eastAsia="Malgun Gothic" w:hAnsi="Times New Roman" w:cs="Times New Roman"/>
          <w:b/>
          <w:lang w:val="en-NZ" w:eastAsia="en-NZ"/>
        </w:rPr>
        <w:t xml:space="preserve">Table YFT-1: </w:t>
      </w:r>
      <w:r w:rsidRPr="00CA3AFC">
        <w:rPr>
          <w:rFonts w:ascii="Times New Roman" w:eastAsia="Malgun Gothic" w:hAnsi="Times New Roman" w:cs="Times New Roman"/>
          <w:lang w:val="en-NZ" w:eastAsia="en-NZ"/>
        </w:rPr>
        <w:t>Description of the updated structural sensitivity grid used to characterize uncertainty in the assessment</w:t>
      </w:r>
    </w:p>
    <w:tbl>
      <w:tblPr>
        <w:tblW w:w="5000" w:type="pct"/>
        <w:tblLook w:val="04A0" w:firstRow="1" w:lastRow="0" w:firstColumn="1" w:lastColumn="0" w:noHBand="0" w:noVBand="1"/>
      </w:tblPr>
      <w:tblGrid>
        <w:gridCol w:w="3165"/>
        <w:gridCol w:w="1376"/>
        <w:gridCol w:w="4819"/>
      </w:tblGrid>
      <w:tr w:rsidR="00140D64" w:rsidRPr="00CA3AFC" w14:paraId="6B12B974" w14:textId="77777777" w:rsidTr="009847FB">
        <w:tc>
          <w:tcPr>
            <w:tcW w:w="1691" w:type="pct"/>
            <w:tcBorders>
              <w:top w:val="single" w:sz="12" w:space="0" w:color="auto"/>
              <w:left w:val="nil"/>
              <w:bottom w:val="single" w:sz="12" w:space="0" w:color="auto"/>
              <w:right w:val="nil"/>
            </w:tcBorders>
            <w:shd w:val="clear" w:color="auto" w:fill="auto"/>
            <w:vAlign w:val="center"/>
            <w:hideMark/>
          </w:tcPr>
          <w:p w14:paraId="5728A302"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b/>
                <w:lang w:val="en-AU" w:eastAsia="en-AU"/>
              </w:rPr>
            </w:pPr>
            <w:r w:rsidRPr="00CA3AFC">
              <w:rPr>
                <w:rFonts w:ascii="Times New Roman" w:eastAsia="PMingLiU" w:hAnsi="Times New Roman" w:cs="Times New Roman"/>
                <w:b/>
                <w:lang w:val="en-AU" w:eastAsia="en-AU"/>
              </w:rPr>
              <w:t>Axis</w:t>
            </w:r>
          </w:p>
        </w:tc>
        <w:tc>
          <w:tcPr>
            <w:tcW w:w="735" w:type="pct"/>
            <w:tcBorders>
              <w:top w:val="single" w:sz="12" w:space="0" w:color="auto"/>
              <w:left w:val="nil"/>
              <w:bottom w:val="single" w:sz="12" w:space="0" w:color="auto"/>
              <w:right w:val="nil"/>
            </w:tcBorders>
            <w:shd w:val="clear" w:color="auto" w:fill="auto"/>
            <w:vAlign w:val="center"/>
            <w:hideMark/>
          </w:tcPr>
          <w:p w14:paraId="4D025BB1"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b/>
                <w:lang w:val="en-AU" w:eastAsia="en-AU"/>
              </w:rPr>
            </w:pPr>
            <w:r w:rsidRPr="00CA3AFC">
              <w:rPr>
                <w:rFonts w:ascii="Times New Roman" w:eastAsia="PMingLiU" w:hAnsi="Times New Roman" w:cs="Times New Roman"/>
                <w:b/>
                <w:lang w:val="en-AU" w:eastAsia="en-AU"/>
              </w:rPr>
              <w:t>Levels</w:t>
            </w:r>
          </w:p>
        </w:tc>
        <w:tc>
          <w:tcPr>
            <w:tcW w:w="2573" w:type="pct"/>
            <w:tcBorders>
              <w:top w:val="single" w:sz="12" w:space="0" w:color="auto"/>
              <w:left w:val="nil"/>
              <w:bottom w:val="single" w:sz="12" w:space="0" w:color="auto"/>
              <w:right w:val="nil"/>
            </w:tcBorders>
            <w:shd w:val="clear" w:color="auto" w:fill="auto"/>
            <w:vAlign w:val="center"/>
            <w:hideMark/>
          </w:tcPr>
          <w:p w14:paraId="6E847894"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b/>
                <w:lang w:val="en-AU" w:eastAsia="en-AU"/>
              </w:rPr>
            </w:pPr>
            <w:r w:rsidRPr="00CA3AFC">
              <w:rPr>
                <w:rFonts w:ascii="Times New Roman" w:eastAsia="PMingLiU" w:hAnsi="Times New Roman" w:cs="Times New Roman"/>
                <w:b/>
                <w:lang w:val="en-AU" w:eastAsia="en-AU"/>
              </w:rPr>
              <w:t>Option</w:t>
            </w:r>
          </w:p>
        </w:tc>
      </w:tr>
      <w:tr w:rsidR="00140D64" w:rsidRPr="00CA3AFC" w14:paraId="2EA8A170" w14:textId="77777777" w:rsidTr="009847FB">
        <w:tc>
          <w:tcPr>
            <w:tcW w:w="1691" w:type="pct"/>
            <w:tcBorders>
              <w:top w:val="single" w:sz="12" w:space="0" w:color="auto"/>
              <w:left w:val="nil"/>
              <w:bottom w:val="nil"/>
              <w:right w:val="nil"/>
            </w:tcBorders>
            <w:shd w:val="clear" w:color="auto" w:fill="auto"/>
            <w:vAlign w:val="center"/>
            <w:hideMark/>
          </w:tcPr>
          <w:p w14:paraId="4861825D"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Steepness</w:t>
            </w:r>
          </w:p>
        </w:tc>
        <w:tc>
          <w:tcPr>
            <w:tcW w:w="735" w:type="pct"/>
            <w:tcBorders>
              <w:top w:val="single" w:sz="12" w:space="0" w:color="auto"/>
              <w:left w:val="nil"/>
              <w:bottom w:val="nil"/>
              <w:right w:val="nil"/>
            </w:tcBorders>
            <w:shd w:val="clear" w:color="auto" w:fill="auto"/>
            <w:vAlign w:val="center"/>
            <w:hideMark/>
          </w:tcPr>
          <w:p w14:paraId="5FD300E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3</w:t>
            </w:r>
          </w:p>
        </w:tc>
        <w:tc>
          <w:tcPr>
            <w:tcW w:w="2573" w:type="pct"/>
            <w:tcBorders>
              <w:top w:val="single" w:sz="12" w:space="0" w:color="auto"/>
              <w:left w:val="nil"/>
              <w:bottom w:val="nil"/>
              <w:right w:val="nil"/>
            </w:tcBorders>
            <w:shd w:val="clear" w:color="auto" w:fill="auto"/>
            <w:vAlign w:val="center"/>
            <w:hideMark/>
          </w:tcPr>
          <w:p w14:paraId="3CD76774"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0.65, 0.80, 0.95</w:t>
            </w:r>
          </w:p>
        </w:tc>
      </w:tr>
      <w:tr w:rsidR="00140D64" w:rsidRPr="00CA3AFC" w14:paraId="0D955D50" w14:textId="77777777" w:rsidTr="009847FB">
        <w:tc>
          <w:tcPr>
            <w:tcW w:w="1691" w:type="pct"/>
            <w:shd w:val="clear" w:color="auto" w:fill="auto"/>
            <w:vAlign w:val="center"/>
            <w:hideMark/>
          </w:tcPr>
          <w:p w14:paraId="1646066E"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Tagging overdispersion</w:t>
            </w:r>
          </w:p>
        </w:tc>
        <w:tc>
          <w:tcPr>
            <w:tcW w:w="735" w:type="pct"/>
            <w:shd w:val="clear" w:color="auto" w:fill="auto"/>
            <w:vAlign w:val="center"/>
            <w:hideMark/>
          </w:tcPr>
          <w:p w14:paraId="17715B0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2</w:t>
            </w:r>
          </w:p>
        </w:tc>
        <w:tc>
          <w:tcPr>
            <w:tcW w:w="2573" w:type="pct"/>
            <w:shd w:val="clear" w:color="auto" w:fill="auto"/>
            <w:vAlign w:val="center"/>
            <w:hideMark/>
          </w:tcPr>
          <w:p w14:paraId="72BE677F"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Default level (1), fixed (moderate) level</w:t>
            </w:r>
          </w:p>
        </w:tc>
      </w:tr>
      <w:tr w:rsidR="00140D64" w:rsidRPr="00CA3AFC" w14:paraId="7DB47384" w14:textId="77777777" w:rsidTr="009847FB">
        <w:tc>
          <w:tcPr>
            <w:tcW w:w="1691" w:type="pct"/>
            <w:shd w:val="clear" w:color="auto" w:fill="auto"/>
            <w:vAlign w:val="center"/>
            <w:hideMark/>
          </w:tcPr>
          <w:p w14:paraId="36298860"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Tag mixing</w:t>
            </w:r>
          </w:p>
        </w:tc>
        <w:tc>
          <w:tcPr>
            <w:tcW w:w="735" w:type="pct"/>
            <w:shd w:val="clear" w:color="auto" w:fill="auto"/>
            <w:vAlign w:val="center"/>
            <w:hideMark/>
          </w:tcPr>
          <w:p w14:paraId="72619B32"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2</w:t>
            </w:r>
          </w:p>
        </w:tc>
        <w:tc>
          <w:tcPr>
            <w:tcW w:w="2573" w:type="pct"/>
            <w:shd w:val="clear" w:color="auto" w:fill="auto"/>
            <w:vAlign w:val="center"/>
            <w:hideMark/>
          </w:tcPr>
          <w:p w14:paraId="258BC294"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1 or 2 quarters</w:t>
            </w:r>
          </w:p>
        </w:tc>
      </w:tr>
      <w:tr w:rsidR="00140D64" w:rsidRPr="00CA3AFC" w14:paraId="682625A6" w14:textId="77777777" w:rsidTr="009847FB">
        <w:tc>
          <w:tcPr>
            <w:tcW w:w="1691" w:type="pct"/>
            <w:shd w:val="clear" w:color="auto" w:fill="auto"/>
            <w:vAlign w:val="center"/>
            <w:hideMark/>
          </w:tcPr>
          <w:p w14:paraId="0EC0814C"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Size frequency weighting</w:t>
            </w:r>
          </w:p>
        </w:tc>
        <w:tc>
          <w:tcPr>
            <w:tcW w:w="735" w:type="pct"/>
            <w:shd w:val="clear" w:color="auto" w:fill="auto"/>
            <w:vAlign w:val="center"/>
            <w:hideMark/>
          </w:tcPr>
          <w:p w14:paraId="0A2CFB4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3</w:t>
            </w:r>
          </w:p>
        </w:tc>
        <w:tc>
          <w:tcPr>
            <w:tcW w:w="2573" w:type="pct"/>
            <w:shd w:val="clear" w:color="auto" w:fill="auto"/>
            <w:vAlign w:val="center"/>
            <w:hideMark/>
          </w:tcPr>
          <w:p w14:paraId="7AB0B53F"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Sample sizes divided by 10, 20, 50</w:t>
            </w:r>
          </w:p>
        </w:tc>
      </w:tr>
      <w:tr w:rsidR="00140D64" w:rsidRPr="00CA3AFC" w14:paraId="330B1D6D" w14:textId="77777777" w:rsidTr="009847FB">
        <w:tc>
          <w:tcPr>
            <w:tcW w:w="1691" w:type="pct"/>
            <w:tcBorders>
              <w:top w:val="nil"/>
              <w:left w:val="nil"/>
              <w:bottom w:val="single" w:sz="12" w:space="0" w:color="auto"/>
              <w:right w:val="nil"/>
            </w:tcBorders>
            <w:shd w:val="clear" w:color="auto" w:fill="auto"/>
            <w:vAlign w:val="center"/>
            <w:hideMark/>
          </w:tcPr>
          <w:p w14:paraId="1A7F4393"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Regional structure</w:t>
            </w:r>
          </w:p>
        </w:tc>
        <w:tc>
          <w:tcPr>
            <w:tcW w:w="735" w:type="pct"/>
            <w:tcBorders>
              <w:top w:val="nil"/>
              <w:left w:val="nil"/>
              <w:bottom w:val="single" w:sz="12" w:space="0" w:color="auto"/>
              <w:right w:val="nil"/>
            </w:tcBorders>
            <w:shd w:val="clear" w:color="auto" w:fill="auto"/>
            <w:vAlign w:val="center"/>
            <w:hideMark/>
          </w:tcPr>
          <w:p w14:paraId="1F5011F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2</w:t>
            </w:r>
          </w:p>
        </w:tc>
        <w:tc>
          <w:tcPr>
            <w:tcW w:w="2573" w:type="pct"/>
            <w:tcBorders>
              <w:top w:val="nil"/>
              <w:left w:val="nil"/>
              <w:bottom w:val="single" w:sz="12" w:space="0" w:color="auto"/>
              <w:right w:val="nil"/>
            </w:tcBorders>
            <w:shd w:val="clear" w:color="auto" w:fill="auto"/>
            <w:vAlign w:val="center"/>
            <w:hideMark/>
          </w:tcPr>
          <w:p w14:paraId="5DCD9648"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2017 regions, 2014 regions</w:t>
            </w:r>
          </w:p>
        </w:tc>
      </w:tr>
    </w:tbl>
    <w:p w14:paraId="37F20136" w14:textId="77777777" w:rsidR="00140D64" w:rsidRPr="00CA3AFC" w:rsidRDefault="00140D64" w:rsidP="00167819">
      <w:pPr>
        <w:adjustRightInd w:val="0"/>
        <w:snapToGrid w:val="0"/>
        <w:spacing w:after="0" w:line="240" w:lineRule="auto"/>
        <w:ind w:left="567"/>
        <w:jc w:val="both"/>
        <w:rPr>
          <w:rFonts w:ascii="Times New Roman" w:eastAsia="Malgun Gothic" w:hAnsi="Times New Roman" w:cs="Times New Roman"/>
          <w:b/>
          <w:lang w:val="en-NZ" w:eastAsia="en-NZ"/>
        </w:rPr>
      </w:pPr>
    </w:p>
    <w:p w14:paraId="5A25575F" w14:textId="77777777" w:rsidR="00140D64" w:rsidRPr="00CA3AFC" w:rsidRDefault="00140D64" w:rsidP="00167819">
      <w:pPr>
        <w:adjustRightInd w:val="0"/>
        <w:snapToGrid w:val="0"/>
        <w:spacing w:after="0" w:line="240" w:lineRule="auto"/>
        <w:ind w:left="567"/>
        <w:jc w:val="center"/>
        <w:rPr>
          <w:rFonts w:ascii="Times New Roman" w:eastAsia="Malgun Gothic" w:hAnsi="Times New Roman" w:cs="Times New Roman"/>
          <w:b/>
          <w:lang w:val="en-NZ" w:eastAsia="en-NZ"/>
        </w:rPr>
      </w:pPr>
      <w:r w:rsidRPr="00CA3AFC">
        <w:rPr>
          <w:rFonts w:ascii="Times New Roman" w:eastAsia="Malgun Gothic" w:hAnsi="Times New Roman" w:cs="Times New Roman"/>
          <w:b/>
          <w:noProof/>
          <w:lang w:eastAsia="ko-KR"/>
        </w:rPr>
        <w:drawing>
          <wp:inline distT="0" distB="0" distL="0" distR="0" wp14:anchorId="467DEEE7" wp14:editId="2FC5509E">
            <wp:extent cx="4224271" cy="3209436"/>
            <wp:effectExtent l="0" t="0" r="5080" b="0"/>
            <wp:docPr id="18" name="Picture 17" descr="YFT-CES-catch-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FT-CES-catch-over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8261" cy="3220065"/>
                    </a:xfrm>
                    <a:prstGeom prst="rect">
                      <a:avLst/>
                    </a:prstGeom>
                    <a:noFill/>
                    <a:ln>
                      <a:noFill/>
                    </a:ln>
                  </pic:spPr>
                </pic:pic>
              </a:graphicData>
            </a:graphic>
          </wp:inline>
        </w:drawing>
      </w:r>
    </w:p>
    <w:p w14:paraId="6595C0C9" w14:textId="77777777" w:rsidR="00140D64" w:rsidRPr="00CA3AFC" w:rsidRDefault="00140D64" w:rsidP="00167819">
      <w:pPr>
        <w:adjustRightInd w:val="0"/>
        <w:snapToGrid w:val="0"/>
        <w:spacing w:after="0" w:line="240" w:lineRule="auto"/>
        <w:rPr>
          <w:rFonts w:ascii="Times New Roman" w:eastAsia="MS Mincho" w:hAnsi="Times New Roman" w:cs="Times New Roman"/>
          <w:lang w:val="en-AU" w:eastAsia="en-AU"/>
        </w:rPr>
      </w:pPr>
      <w:r w:rsidRPr="00CA3AFC">
        <w:rPr>
          <w:rFonts w:ascii="Times New Roman" w:eastAsia="MS Mincho" w:hAnsi="Times New Roman" w:cs="Times New Roman"/>
          <w:b/>
          <w:bCs/>
          <w:lang w:val="en-AU" w:eastAsia="en-AU"/>
        </w:rPr>
        <w:t>Figure</w:t>
      </w:r>
      <w:r w:rsidRPr="00CA3AFC">
        <w:rPr>
          <w:rFonts w:ascii="Times New Roman" w:eastAsia="MS PMincho" w:hAnsi="Times New Roman" w:cs="Times New Roman"/>
          <w:b/>
          <w:bCs/>
          <w:lang w:val="en-AU" w:eastAsia="en-AU"/>
        </w:rPr>
        <w:t xml:space="preserve">　</w:t>
      </w:r>
      <w:r w:rsidRPr="00CA3AFC">
        <w:rPr>
          <w:rFonts w:ascii="Times New Roman" w:eastAsia="MS Mincho" w:hAnsi="Times New Roman" w:cs="Times New Roman"/>
          <w:b/>
          <w:bCs/>
          <w:lang w:val="en-AU" w:eastAsia="en-AU"/>
        </w:rPr>
        <w:t xml:space="preserve">YFT-1. </w:t>
      </w:r>
      <w:r w:rsidRPr="00CA3AFC">
        <w:rPr>
          <w:rFonts w:ascii="Times New Roman" w:eastAsia="MS Mincho" w:hAnsi="Times New Roman" w:cs="Times New Roman"/>
          <w:lang w:val="en-AU" w:eastAsia="en-AU"/>
        </w:rPr>
        <w:t>Time series of total annual catch (1000's mt) by fishing gear for the diagnostic case model over the full assessment period.</w:t>
      </w:r>
    </w:p>
    <w:p w14:paraId="3D11C0BA" w14:textId="77777777" w:rsidR="00140D64" w:rsidRPr="00CA3AFC" w:rsidRDefault="00140D64" w:rsidP="00167819">
      <w:pPr>
        <w:adjustRightInd w:val="0"/>
        <w:snapToGrid w:val="0"/>
        <w:spacing w:after="0" w:line="240" w:lineRule="auto"/>
        <w:ind w:left="578"/>
        <w:rPr>
          <w:rFonts w:ascii="Times New Roman" w:eastAsia="MS Mincho" w:hAnsi="Times New Roman" w:cs="Times New Roman"/>
          <w:lang w:val="en-AU" w:eastAsia="zh-TW"/>
        </w:rPr>
      </w:pPr>
    </w:p>
    <w:p w14:paraId="6D1B7403" w14:textId="77777777" w:rsidR="00140D64" w:rsidRPr="00CA3AFC" w:rsidRDefault="00140D64" w:rsidP="00167819">
      <w:pPr>
        <w:adjustRightInd w:val="0"/>
        <w:snapToGrid w:val="0"/>
        <w:spacing w:after="0" w:line="240" w:lineRule="auto"/>
        <w:jc w:val="center"/>
        <w:rPr>
          <w:rFonts w:ascii="Times New Roman" w:eastAsia="Malgun Gothic" w:hAnsi="Times New Roman" w:cs="Times New Roman"/>
          <w:b/>
          <w:lang w:val="en-NZ" w:eastAsia="en-NZ"/>
        </w:rPr>
      </w:pPr>
      <w:r w:rsidRPr="00CA3AFC">
        <w:rPr>
          <w:rFonts w:ascii="Times New Roman" w:eastAsia="Malgun Gothic" w:hAnsi="Times New Roman" w:cs="Times New Roman"/>
          <w:noProof/>
          <w:lang w:eastAsia="ko-KR"/>
        </w:rPr>
        <w:drawing>
          <wp:inline distT="0" distB="0" distL="0" distR="0" wp14:anchorId="68F8D08C" wp14:editId="2E01AFC1">
            <wp:extent cx="5484268" cy="3052293"/>
            <wp:effectExtent l="0" t="0" r="2540" b="0"/>
            <wp:docPr id="19" name="Picture 18" descr="plot_biomass_stacked_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ot_biomass_stacked_Recruit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856" cy="3064308"/>
                    </a:xfrm>
                    <a:prstGeom prst="rect">
                      <a:avLst/>
                    </a:prstGeom>
                    <a:noFill/>
                    <a:ln>
                      <a:noFill/>
                    </a:ln>
                  </pic:spPr>
                </pic:pic>
              </a:graphicData>
            </a:graphic>
          </wp:inline>
        </w:drawing>
      </w:r>
    </w:p>
    <w:p w14:paraId="513E8C21" w14:textId="77777777" w:rsidR="00140D64" w:rsidRPr="00CA3AFC" w:rsidRDefault="00140D64" w:rsidP="00167819">
      <w:pPr>
        <w:adjustRightInd w:val="0"/>
        <w:snapToGrid w:val="0"/>
        <w:spacing w:after="0" w:line="240" w:lineRule="auto"/>
        <w:rPr>
          <w:rFonts w:ascii="Times New Roman" w:eastAsia="MS Mincho" w:hAnsi="Times New Roman" w:cs="Times New Roman"/>
          <w:lang w:val="en-AU" w:eastAsia="en-AU"/>
        </w:rPr>
      </w:pPr>
      <w:r w:rsidRPr="00CA3AFC">
        <w:rPr>
          <w:rFonts w:ascii="Times New Roman" w:eastAsia="MS Mincho" w:hAnsi="Times New Roman" w:cs="Times New Roman"/>
          <w:b/>
          <w:bCs/>
          <w:lang w:val="en-AU" w:eastAsia="en-AU"/>
        </w:rPr>
        <w:t>Figure</w:t>
      </w:r>
      <w:r w:rsidRPr="00CA3AFC">
        <w:rPr>
          <w:rFonts w:ascii="Times New Roman" w:eastAsia="MS PMincho" w:hAnsi="Times New Roman" w:cs="Times New Roman"/>
          <w:b/>
          <w:bCs/>
          <w:lang w:val="en-AU" w:eastAsia="en-AU"/>
        </w:rPr>
        <w:t xml:space="preserve">　</w:t>
      </w:r>
      <w:r w:rsidRPr="00CA3AFC">
        <w:rPr>
          <w:rFonts w:ascii="Times New Roman" w:eastAsia="MS Mincho" w:hAnsi="Times New Roman" w:cs="Times New Roman"/>
          <w:b/>
          <w:bCs/>
          <w:lang w:val="en-AU" w:eastAsia="en-AU"/>
        </w:rPr>
        <w:t xml:space="preserve">YFT-2. </w:t>
      </w:r>
      <w:r w:rsidRPr="00CA3AFC">
        <w:rPr>
          <w:rFonts w:ascii="Times New Roman" w:eastAsia="MS Mincho" w:hAnsi="Times New Roman" w:cs="Times New Roman"/>
          <w:lang w:val="en-AU" w:eastAsia="en-AU"/>
        </w:rPr>
        <w:t>Estimated annual average recruitment by model region for the diagnostic case model, showing the relative sizes among regions.</w:t>
      </w:r>
    </w:p>
    <w:p w14:paraId="67929D56" w14:textId="77777777" w:rsidR="00140D64" w:rsidRPr="00CA3AFC" w:rsidRDefault="00140D64" w:rsidP="00167819">
      <w:pPr>
        <w:adjustRightInd w:val="0"/>
        <w:snapToGrid w:val="0"/>
        <w:spacing w:after="0" w:line="240" w:lineRule="auto"/>
        <w:ind w:left="578"/>
        <w:rPr>
          <w:rFonts w:ascii="Times New Roman" w:eastAsia="MS Mincho" w:hAnsi="Times New Roman" w:cs="Times New Roman"/>
          <w:lang w:val="en-AU" w:eastAsia="en-AU"/>
        </w:rPr>
      </w:pPr>
    </w:p>
    <w:p w14:paraId="7EAAD3CA" w14:textId="77777777" w:rsidR="00140D64" w:rsidRPr="00CA3AFC" w:rsidRDefault="00140D64" w:rsidP="00167819">
      <w:pPr>
        <w:adjustRightInd w:val="0"/>
        <w:snapToGrid w:val="0"/>
        <w:spacing w:after="0" w:line="240" w:lineRule="auto"/>
        <w:ind w:left="578"/>
        <w:jc w:val="center"/>
        <w:rPr>
          <w:rFonts w:ascii="Times New Roman" w:eastAsia="MS Mincho" w:hAnsi="Times New Roman" w:cs="Times New Roman"/>
          <w:b/>
          <w:bCs/>
          <w:lang w:val="en-AU" w:eastAsia="en-AU"/>
        </w:rPr>
      </w:pPr>
    </w:p>
    <w:p w14:paraId="7A8BEDA2" w14:textId="77777777" w:rsidR="00140D64" w:rsidRPr="00CA3AFC" w:rsidRDefault="00140D64" w:rsidP="00167819">
      <w:pPr>
        <w:adjustRightInd w:val="0"/>
        <w:snapToGrid w:val="0"/>
        <w:spacing w:after="0" w:line="240" w:lineRule="auto"/>
        <w:jc w:val="both"/>
        <w:rPr>
          <w:rFonts w:ascii="Times New Roman" w:eastAsia="Malgun Gothic" w:hAnsi="Times New Roman" w:cs="Times New Roman"/>
          <w:b/>
          <w:lang w:val="en-NZ" w:eastAsia="en-NZ"/>
        </w:rPr>
      </w:pPr>
      <w:r w:rsidRPr="00CA3AFC">
        <w:rPr>
          <w:rFonts w:ascii="Times New Roman" w:eastAsia="Malgun Gothic" w:hAnsi="Times New Roman" w:cs="Times New Roman"/>
          <w:noProof/>
          <w:lang w:eastAsia="ko-KR"/>
        </w:rPr>
        <w:drawing>
          <wp:inline distT="0" distB="0" distL="0" distR="0" wp14:anchorId="496A71F9" wp14:editId="13A346BC">
            <wp:extent cx="5720715" cy="3183890"/>
            <wp:effectExtent l="0" t="0" r="0" b="0"/>
            <wp:docPr id="20" name="Picture 19" descr="plot_biomass_stacked_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ot_biomass_stacked_SS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715" cy="3183890"/>
                    </a:xfrm>
                    <a:prstGeom prst="rect">
                      <a:avLst/>
                    </a:prstGeom>
                    <a:noFill/>
                    <a:ln>
                      <a:noFill/>
                    </a:ln>
                  </pic:spPr>
                </pic:pic>
              </a:graphicData>
            </a:graphic>
          </wp:inline>
        </w:drawing>
      </w:r>
    </w:p>
    <w:p w14:paraId="6528466D" w14:textId="77777777" w:rsidR="00140D64" w:rsidRPr="00CA3AFC" w:rsidRDefault="00140D64" w:rsidP="00167819">
      <w:pPr>
        <w:adjustRightInd w:val="0"/>
        <w:snapToGrid w:val="0"/>
        <w:spacing w:after="0" w:line="240" w:lineRule="auto"/>
        <w:rPr>
          <w:rFonts w:ascii="Times New Roman" w:eastAsia="MS Mincho" w:hAnsi="Times New Roman" w:cs="Times New Roman"/>
          <w:lang w:val="en-AU" w:eastAsia="en-AU"/>
        </w:rPr>
      </w:pPr>
      <w:r w:rsidRPr="00CA3AFC">
        <w:rPr>
          <w:rFonts w:ascii="Times New Roman" w:eastAsia="MS Mincho" w:hAnsi="Times New Roman" w:cs="Times New Roman"/>
          <w:b/>
          <w:bCs/>
          <w:lang w:val="en-AU" w:eastAsia="en-AU"/>
        </w:rPr>
        <w:t>Figure</w:t>
      </w:r>
      <w:r w:rsidRPr="00CA3AFC">
        <w:rPr>
          <w:rFonts w:ascii="Times New Roman" w:eastAsia="MS PMincho" w:hAnsi="Times New Roman" w:cs="Times New Roman"/>
          <w:b/>
          <w:bCs/>
          <w:lang w:val="en-AU" w:eastAsia="en-AU"/>
        </w:rPr>
        <w:t xml:space="preserve">　</w:t>
      </w:r>
      <w:r w:rsidRPr="00CA3AFC">
        <w:rPr>
          <w:rFonts w:ascii="Times New Roman" w:eastAsia="MS Mincho" w:hAnsi="Times New Roman" w:cs="Times New Roman"/>
          <w:b/>
          <w:bCs/>
          <w:lang w:val="en-AU" w:eastAsia="en-AU"/>
        </w:rPr>
        <w:t>YFT-3</w:t>
      </w:r>
      <w:r w:rsidRPr="00CA3AFC">
        <w:rPr>
          <w:rFonts w:ascii="Times New Roman" w:eastAsia="MS PMincho" w:hAnsi="Times New Roman" w:cs="Times New Roman"/>
          <w:b/>
          <w:lang w:val="en-AU" w:eastAsia="en-AU"/>
        </w:rPr>
        <w:t xml:space="preserve">. </w:t>
      </w:r>
      <w:r w:rsidRPr="00CA3AFC">
        <w:rPr>
          <w:rFonts w:ascii="Times New Roman" w:eastAsia="MS Mincho" w:hAnsi="Times New Roman" w:cs="Times New Roman"/>
          <w:lang w:val="en-AU" w:eastAsia="en-AU"/>
        </w:rPr>
        <w:t>Estimated annual average spawning potential by model region for the diagnostic case model, showing the relative sizes among regions.</w:t>
      </w:r>
    </w:p>
    <w:p w14:paraId="5522B710" w14:textId="77777777" w:rsidR="00140D64" w:rsidRPr="00CA3AFC" w:rsidRDefault="00140D64" w:rsidP="00167819">
      <w:pPr>
        <w:adjustRightInd w:val="0"/>
        <w:snapToGrid w:val="0"/>
        <w:spacing w:after="0" w:line="240" w:lineRule="auto"/>
        <w:ind w:left="578"/>
        <w:jc w:val="center"/>
        <w:rPr>
          <w:rFonts w:ascii="Times New Roman" w:eastAsia="Malgun Gothic" w:hAnsi="Times New Roman" w:cs="Times New Roman"/>
          <w:b/>
          <w:lang w:val="en-NZ" w:eastAsia="en-NZ"/>
        </w:rPr>
      </w:pPr>
      <w:r w:rsidRPr="00CA3AFC">
        <w:rPr>
          <w:rFonts w:ascii="Times New Roman" w:eastAsia="Malgun Gothic" w:hAnsi="Times New Roman" w:cs="Times New Roman"/>
          <w:b/>
          <w:noProof/>
          <w:lang w:eastAsia="ko-KR"/>
        </w:rPr>
        <w:lastRenderedPageBreak/>
        <w:drawing>
          <wp:inline distT="0" distB="0" distL="0" distR="0" wp14:anchorId="79DD55A3" wp14:editId="2FAAD281">
            <wp:extent cx="4829578" cy="3362817"/>
            <wp:effectExtent l="0" t="0" r="0" b="9525"/>
            <wp:docPr id="21" name="Picture 20" descr="plot_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ot_temporal_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6395" cy="3381490"/>
                    </a:xfrm>
                    <a:prstGeom prst="rect">
                      <a:avLst/>
                    </a:prstGeom>
                    <a:noFill/>
                    <a:ln>
                      <a:noFill/>
                    </a:ln>
                  </pic:spPr>
                </pic:pic>
              </a:graphicData>
            </a:graphic>
          </wp:inline>
        </w:drawing>
      </w:r>
    </w:p>
    <w:p w14:paraId="2FD5B722" w14:textId="77777777" w:rsidR="00140D64" w:rsidRPr="00CA3AFC" w:rsidRDefault="00140D64" w:rsidP="00167819">
      <w:pPr>
        <w:adjustRightInd w:val="0"/>
        <w:snapToGrid w:val="0"/>
        <w:spacing w:after="0" w:line="240" w:lineRule="auto"/>
        <w:rPr>
          <w:rFonts w:ascii="Times New Roman" w:eastAsia="MS Mincho" w:hAnsi="Times New Roman" w:cs="Times New Roman"/>
          <w:lang w:val="en-AU"/>
        </w:rPr>
      </w:pPr>
      <w:r w:rsidRPr="00CA3AFC">
        <w:rPr>
          <w:rFonts w:ascii="Times New Roman" w:eastAsia="MS Mincho" w:hAnsi="Times New Roman" w:cs="Times New Roman"/>
          <w:b/>
          <w:bCs/>
          <w:lang w:val="en-AU"/>
        </w:rPr>
        <w:t>Figure YFT-4</w:t>
      </w:r>
      <w:r w:rsidRPr="00CA3AFC">
        <w:rPr>
          <w:rFonts w:ascii="Times New Roman" w:eastAsia="MS PMincho" w:hAnsi="Times New Roman" w:cs="Times New Roman"/>
          <w:b/>
        </w:rPr>
        <w:t xml:space="preserve">. </w:t>
      </w:r>
      <w:r w:rsidRPr="00CA3AFC">
        <w:rPr>
          <w:rFonts w:ascii="Times New Roman" w:eastAsia="MS Mincho" w:hAnsi="Times New Roman" w:cs="Times New Roman"/>
          <w:lang w:val="en-AU"/>
        </w:rPr>
        <w:t>Estimated annual average juvenile and adult fishing mortality for the diagnostic case model.</w:t>
      </w:r>
    </w:p>
    <w:p w14:paraId="34DF506B" w14:textId="77777777" w:rsidR="00140D64" w:rsidRPr="00CA3AFC" w:rsidRDefault="00140D64" w:rsidP="00167819">
      <w:pPr>
        <w:adjustRightInd w:val="0"/>
        <w:snapToGrid w:val="0"/>
        <w:spacing w:after="0" w:line="240" w:lineRule="auto"/>
        <w:ind w:left="567"/>
        <w:jc w:val="both"/>
        <w:rPr>
          <w:rFonts w:ascii="Times New Roman" w:eastAsia="Malgun Gothic" w:hAnsi="Times New Roman" w:cs="Times New Roman"/>
          <w:b/>
          <w:lang w:val="en-NZ" w:eastAsia="en-NZ"/>
        </w:rPr>
      </w:pPr>
    </w:p>
    <w:p w14:paraId="761CF421" w14:textId="77777777" w:rsidR="00140D64" w:rsidRPr="00CA3AFC" w:rsidRDefault="00140D64" w:rsidP="00167819">
      <w:pPr>
        <w:adjustRightInd w:val="0"/>
        <w:snapToGrid w:val="0"/>
        <w:spacing w:after="0" w:line="240" w:lineRule="auto"/>
        <w:jc w:val="center"/>
        <w:rPr>
          <w:rFonts w:ascii="Times New Roman" w:eastAsia="Malgun Gothic" w:hAnsi="Times New Roman" w:cs="Times New Roman"/>
          <w:b/>
          <w:lang w:val="en-NZ" w:eastAsia="en-NZ"/>
        </w:rPr>
      </w:pPr>
      <w:r w:rsidRPr="00CA3AFC">
        <w:rPr>
          <w:rFonts w:ascii="Times New Roman" w:eastAsia="Malgun Gothic" w:hAnsi="Times New Roman" w:cs="Times New Roman"/>
          <w:noProof/>
          <w:lang w:eastAsia="ko-KR"/>
        </w:rPr>
        <w:drawing>
          <wp:inline distT="0" distB="0" distL="0" distR="0" wp14:anchorId="069D39EF" wp14:editId="695AFD0A">
            <wp:extent cx="4711619" cy="3477296"/>
            <wp:effectExtent l="0" t="0" r="0" b="8890"/>
            <wp:docPr id="22" name="Picture 21" descr="grid-depletion-size-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id-depletion-size-20-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9576" cy="3497929"/>
                    </a:xfrm>
                    <a:prstGeom prst="rect">
                      <a:avLst/>
                    </a:prstGeom>
                    <a:noFill/>
                    <a:ln>
                      <a:noFill/>
                    </a:ln>
                  </pic:spPr>
                </pic:pic>
              </a:graphicData>
            </a:graphic>
          </wp:inline>
        </w:drawing>
      </w:r>
    </w:p>
    <w:p w14:paraId="4FCE9F55" w14:textId="77777777" w:rsidR="00140D64" w:rsidRPr="00CA3AFC" w:rsidRDefault="00140D64" w:rsidP="00167819">
      <w:pPr>
        <w:adjustRightInd w:val="0"/>
        <w:snapToGrid w:val="0"/>
        <w:spacing w:after="0" w:line="240" w:lineRule="auto"/>
        <w:jc w:val="both"/>
        <w:rPr>
          <w:rFonts w:ascii="Times New Roman" w:eastAsia="MS PMincho" w:hAnsi="Times New Roman" w:cs="Times New Roman"/>
          <w:lang w:val="en-NZ" w:eastAsia="en-NZ"/>
        </w:rPr>
      </w:pPr>
      <w:r w:rsidRPr="00CA3AFC">
        <w:rPr>
          <w:rFonts w:ascii="Times New Roman" w:eastAsia="Malgun Gothic" w:hAnsi="Times New Roman" w:cs="Times New Roman"/>
          <w:b/>
          <w:bCs/>
          <w:lang w:val="en-NZ" w:eastAsia="en-NZ"/>
        </w:rPr>
        <w:t>Figure YFT-5</w:t>
      </w:r>
      <w:r w:rsidRPr="00CA3AFC">
        <w:rPr>
          <w:rFonts w:ascii="Times New Roman" w:eastAsia="MS PMincho" w:hAnsi="Times New Roman" w:cs="Times New Roman"/>
          <w:lang w:eastAsia="en-NZ"/>
        </w:rPr>
        <w:t>：</w:t>
      </w:r>
      <w:r w:rsidRPr="00CA3AFC">
        <w:rPr>
          <w:rFonts w:ascii="Times New Roman" w:eastAsia="MS PMincho" w:hAnsi="Times New Roman" w:cs="Times New Roman"/>
          <w:lang w:val="en-NZ" w:eastAsia="en-NZ"/>
        </w:rPr>
        <w:t>Plot showing the trajectories of fishing depletion (of spawning potential) for the 48 model runs retained for the structural uncertainty grid used for management advice. The colours depict the models in the grid with the size composition weighting using divisors of 20 and 50.</w:t>
      </w:r>
    </w:p>
    <w:p w14:paraId="44C357C5" w14:textId="77777777" w:rsidR="00140D64" w:rsidRPr="00CA3AFC" w:rsidRDefault="00140D64" w:rsidP="00167819">
      <w:pPr>
        <w:adjustRightInd w:val="0"/>
        <w:snapToGrid w:val="0"/>
        <w:spacing w:after="0" w:line="240" w:lineRule="auto"/>
        <w:jc w:val="center"/>
        <w:rPr>
          <w:rFonts w:ascii="Times New Roman" w:eastAsia="MS PMincho" w:hAnsi="Times New Roman" w:cs="Times New Roman"/>
          <w:lang w:val="en-NZ" w:eastAsia="en-NZ"/>
        </w:rPr>
      </w:pPr>
      <w:r w:rsidRPr="00CA3AFC">
        <w:rPr>
          <w:rFonts w:ascii="Times New Roman" w:eastAsia="Malgun Gothic" w:hAnsi="Times New Roman" w:cs="Times New Roman"/>
          <w:noProof/>
          <w:lang w:eastAsia="ko-KR"/>
        </w:rPr>
        <w:lastRenderedPageBreak/>
        <w:drawing>
          <wp:inline distT="0" distB="0" distL="0" distR="0" wp14:anchorId="7A4A36FA" wp14:editId="24451C36">
            <wp:extent cx="3737762" cy="2859110"/>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2257" cy="2893145"/>
                    </a:xfrm>
                    <a:prstGeom prst="rect">
                      <a:avLst/>
                    </a:prstGeom>
                    <a:noFill/>
                    <a:ln>
                      <a:noFill/>
                    </a:ln>
                  </pic:spPr>
                </pic:pic>
              </a:graphicData>
            </a:graphic>
          </wp:inline>
        </w:drawing>
      </w:r>
    </w:p>
    <w:p w14:paraId="150AFCE2" w14:textId="666B29B2" w:rsidR="00140D64" w:rsidRDefault="00140D64" w:rsidP="00167819">
      <w:pPr>
        <w:adjustRightInd w:val="0"/>
        <w:snapToGrid w:val="0"/>
        <w:spacing w:after="0" w:line="240" w:lineRule="auto"/>
        <w:jc w:val="both"/>
        <w:rPr>
          <w:rFonts w:ascii="Times New Roman" w:eastAsia="MS PMincho" w:hAnsi="Times New Roman" w:cs="Times New Roman"/>
          <w:lang w:val="en-AU" w:eastAsia="en-AU"/>
        </w:rPr>
      </w:pPr>
      <w:r w:rsidRPr="00CA3AFC">
        <w:rPr>
          <w:rFonts w:ascii="Times New Roman" w:eastAsia="MS Mincho" w:hAnsi="Times New Roman" w:cs="Times New Roman"/>
          <w:b/>
          <w:bCs/>
          <w:lang w:val="en-AU" w:eastAsia="en-AU"/>
        </w:rPr>
        <w:t xml:space="preserve">Figure YFT-6. </w:t>
      </w:r>
      <w:r w:rsidRPr="00CA3AFC">
        <w:rPr>
          <w:rFonts w:ascii="Times New Roman" w:eastAsia="MS Mincho" w:hAnsi="Times New Roman" w:cs="Times New Roman"/>
          <w:lang w:val="en-AU" w:eastAsia="en-AU"/>
        </w:rPr>
        <w:t xml:space="preserve"> 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CA3AFC">
        <w:rPr>
          <w:rFonts w:ascii="Times New Roman" w:eastAsia="MS Mincho" w:hAnsi="Times New Roman" w:cs="Times New Roman"/>
          <w:vertAlign w:val="subscript"/>
          <w:lang w:val="en-AU" w:eastAsia="en-AU"/>
        </w:rPr>
        <w:t>MSY</w:t>
      </w:r>
      <w:r w:rsidRPr="00CA3AFC">
        <w:rPr>
          <w:rFonts w:ascii="Times New Roman" w:eastAsia="MS Mincho" w:hAnsi="Times New Roman" w:cs="Times New Roman"/>
          <w:lang w:val="en-AU" w:eastAsia="en-AU"/>
        </w:rPr>
        <w:t xml:space="preserve"> (F</w:t>
      </w:r>
      <w:r w:rsidRPr="00CA3AFC">
        <w:rPr>
          <w:rFonts w:ascii="Times New Roman" w:eastAsia="MS Mincho" w:hAnsi="Times New Roman" w:cs="Times New Roman"/>
          <w:vertAlign w:val="subscript"/>
          <w:lang w:val="en-AU" w:eastAsia="en-AU"/>
        </w:rPr>
        <w:t>MSY</w:t>
      </w:r>
      <w:r w:rsidRPr="00CA3AFC">
        <w:rPr>
          <w:rFonts w:ascii="Times New Roman" w:eastAsia="MS Mincho" w:hAnsi="Times New Roman" w:cs="Times New Roman"/>
          <w:lang w:val="en-AU" w:eastAsia="en-AU"/>
        </w:rPr>
        <w:t xml:space="preserve"> is marked with the black </w:t>
      </w:r>
      <w:r w:rsidRPr="00CA3AFC">
        <w:rPr>
          <w:rFonts w:ascii="Times New Roman" w:eastAsia="Malgun Gothic" w:hAnsi="Times New Roman" w:cs="Times New Roman"/>
          <w:lang w:val="en-AU" w:eastAsia="ko-KR"/>
        </w:rPr>
        <w:t>horizontal</w:t>
      </w:r>
      <w:r w:rsidRPr="00CA3AFC">
        <w:rPr>
          <w:rFonts w:ascii="Times New Roman" w:eastAsia="MS Mincho" w:hAnsi="Times New Roman" w:cs="Times New Roman"/>
          <w:lang w:val="en-AU" w:eastAsia="en-AU"/>
        </w:rPr>
        <w:t xml:space="preserve"> line). The points represent </w:t>
      </w:r>
      <w:r w:rsidRPr="00CA3AFC">
        <w:rPr>
          <w:rFonts w:ascii="Times New Roman" w:eastAsia="MS Mincho" w:hAnsi="Times New Roman" w:cs="Times New Roman"/>
          <w:u w:val="single"/>
          <w:lang w:val="en-AU" w:eastAsia="en-AU"/>
        </w:rPr>
        <w:t>SB</w:t>
      </w:r>
      <w:r w:rsidRPr="00CA3AFC">
        <w:rPr>
          <w:rFonts w:ascii="Times New Roman" w:eastAsia="MS Mincho" w:hAnsi="Times New Roman" w:cs="Times New Roman"/>
          <w:u w:val="single"/>
          <w:vertAlign w:val="subscript"/>
          <w:lang w:val="en-AU" w:eastAsia="en-AU"/>
        </w:rPr>
        <w:t>latest</w:t>
      </w:r>
      <w:r w:rsidRPr="00CA3AFC">
        <w:rPr>
          <w:rFonts w:ascii="Times New Roman" w:eastAsia="MS Mincho" w:hAnsi="Times New Roman" w:cs="Times New Roman"/>
          <w:u w:val="single"/>
          <w:lang w:val="en-AU" w:eastAsia="en-AU"/>
        </w:rPr>
        <w:t>/SB</w:t>
      </w:r>
      <w:r w:rsidRPr="00CA3AFC">
        <w:rPr>
          <w:rFonts w:ascii="Times New Roman" w:eastAsia="MS Mincho" w:hAnsi="Times New Roman" w:cs="Times New Roman"/>
          <w:u w:val="single"/>
          <w:vertAlign w:val="subscript"/>
          <w:lang w:val="en-AU" w:eastAsia="en-AU"/>
        </w:rPr>
        <w:t>F=0</w:t>
      </w:r>
      <w:r w:rsidRPr="00CA3AFC">
        <w:rPr>
          <w:rFonts w:ascii="Times New Roman" w:eastAsia="MS Mincho" w:hAnsi="Times New Roman" w:cs="Times New Roman"/>
          <w:lang w:val="en-AU" w:eastAsia="en-AU"/>
        </w:rPr>
        <w:t xml:space="preserve">, and the colours depict the models in the grid </w:t>
      </w:r>
      <w:r w:rsidRPr="00CA3AFC">
        <w:rPr>
          <w:rFonts w:ascii="Times New Roman" w:eastAsia="MS PMincho" w:hAnsi="Times New Roman" w:cs="Times New Roman"/>
          <w:lang w:val="en-AU" w:eastAsia="en-AU"/>
        </w:rPr>
        <w:t>with the size composition weighting using divisors of 20 and 50.</w:t>
      </w:r>
    </w:p>
    <w:p w14:paraId="382B6ECD" w14:textId="77777777" w:rsidR="00F56124" w:rsidRPr="00CA3AFC" w:rsidRDefault="00F56124" w:rsidP="00167819">
      <w:pPr>
        <w:adjustRightInd w:val="0"/>
        <w:snapToGrid w:val="0"/>
        <w:spacing w:after="0" w:line="240" w:lineRule="auto"/>
        <w:jc w:val="both"/>
        <w:rPr>
          <w:rFonts w:ascii="Times New Roman" w:eastAsia="MS PMincho" w:hAnsi="Times New Roman" w:cs="Times New Roman"/>
          <w:lang w:val="en-AU" w:eastAsia="en-AU"/>
        </w:rPr>
      </w:pPr>
    </w:p>
    <w:p w14:paraId="6194152F" w14:textId="77777777" w:rsidR="00140D64" w:rsidRPr="00CA3AFC" w:rsidRDefault="00140D64" w:rsidP="00167819">
      <w:pPr>
        <w:adjustRightInd w:val="0"/>
        <w:snapToGrid w:val="0"/>
        <w:spacing w:after="0" w:line="240" w:lineRule="auto"/>
        <w:jc w:val="center"/>
        <w:rPr>
          <w:rFonts w:ascii="Times New Roman" w:eastAsia="MS PMincho" w:hAnsi="Times New Roman" w:cs="Times New Roman"/>
          <w:lang w:val="en-NZ" w:eastAsia="en-NZ"/>
        </w:rPr>
      </w:pPr>
      <w:r w:rsidRPr="00CA3AFC">
        <w:rPr>
          <w:rFonts w:ascii="Times New Roman" w:eastAsia="Malgun Gothic" w:hAnsi="Times New Roman" w:cs="Times New Roman"/>
          <w:b/>
          <w:noProof/>
          <w:lang w:eastAsia="ko-KR"/>
        </w:rPr>
        <w:drawing>
          <wp:inline distT="0" distB="0" distL="0" distR="0" wp14:anchorId="13A2282C" wp14:editId="40BE7A6B">
            <wp:extent cx="3721995" cy="2848149"/>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8961" cy="2861132"/>
                    </a:xfrm>
                    <a:prstGeom prst="rect">
                      <a:avLst/>
                    </a:prstGeom>
                    <a:noFill/>
                    <a:ln>
                      <a:noFill/>
                    </a:ln>
                  </pic:spPr>
                </pic:pic>
              </a:graphicData>
            </a:graphic>
          </wp:inline>
        </w:drawing>
      </w:r>
    </w:p>
    <w:p w14:paraId="08FD96ED" w14:textId="77777777" w:rsidR="00140D64" w:rsidRPr="00CA3AFC" w:rsidRDefault="00140D64" w:rsidP="00167819">
      <w:pPr>
        <w:adjustRightInd w:val="0"/>
        <w:snapToGrid w:val="0"/>
        <w:spacing w:after="0" w:line="240" w:lineRule="auto"/>
        <w:jc w:val="both"/>
        <w:rPr>
          <w:rFonts w:ascii="Times New Roman" w:eastAsia="MS Mincho" w:hAnsi="Times New Roman" w:cs="Times New Roman"/>
          <w:b/>
          <w:bCs/>
          <w:lang w:val="en-AU" w:eastAsia="en-AU"/>
        </w:rPr>
      </w:pPr>
      <w:r w:rsidRPr="00CA3AFC">
        <w:rPr>
          <w:rFonts w:ascii="Times New Roman" w:eastAsia="MS Mincho" w:hAnsi="Times New Roman" w:cs="Times New Roman"/>
          <w:b/>
          <w:bCs/>
          <w:lang w:val="en-AU" w:eastAsia="en-AU"/>
        </w:rPr>
        <w:t>Figure YFT-7</w:t>
      </w:r>
      <w:r w:rsidRPr="00CA3AFC">
        <w:rPr>
          <w:rFonts w:ascii="Times New Roman" w:eastAsia="MS Mincho" w:hAnsi="Times New Roman" w:cs="Times New Roman"/>
          <w:b/>
          <w:lang w:val="en-AU" w:eastAsia="en-AU"/>
        </w:rPr>
        <w:t xml:space="preserve">: </w:t>
      </w:r>
      <w:r w:rsidRPr="00CA3AFC">
        <w:rPr>
          <w:rFonts w:ascii="Times New Roman" w:eastAsia="MS Mincho" w:hAnsi="Times New Roman" w:cs="Times New Roman"/>
          <w:lang w:val="en-AU" w:eastAsia="en-AU"/>
        </w:rPr>
        <w:t>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CA3AFC">
        <w:rPr>
          <w:rFonts w:ascii="Times New Roman" w:eastAsia="MS Mincho" w:hAnsi="Times New Roman" w:cs="Times New Roman"/>
          <w:vertAlign w:val="subscript"/>
          <w:lang w:val="en-AU" w:eastAsia="en-AU"/>
        </w:rPr>
        <w:t>MSY</w:t>
      </w:r>
      <w:r w:rsidRPr="00CA3AFC">
        <w:rPr>
          <w:rFonts w:ascii="Times New Roman" w:eastAsia="MS Mincho" w:hAnsi="Times New Roman" w:cs="Times New Roman"/>
          <w:lang w:val="en-AU" w:eastAsia="en-AU"/>
        </w:rPr>
        <w:t xml:space="preserve"> (F</w:t>
      </w:r>
      <w:r w:rsidRPr="00CA3AFC">
        <w:rPr>
          <w:rFonts w:ascii="Times New Roman" w:eastAsia="MS Mincho" w:hAnsi="Times New Roman" w:cs="Times New Roman"/>
          <w:u w:val="single"/>
          <w:vertAlign w:val="subscript"/>
          <w:lang w:val="en-AU" w:eastAsia="en-AU"/>
        </w:rPr>
        <w:t>MSY</w:t>
      </w:r>
      <w:r w:rsidRPr="00CA3AFC">
        <w:rPr>
          <w:rFonts w:ascii="Times New Roman" w:eastAsia="MS Mincho" w:hAnsi="Times New Roman" w:cs="Times New Roman"/>
          <w:lang w:val="en-AU" w:eastAsia="en-AU"/>
        </w:rPr>
        <w:t xml:space="preserve"> is marked with the black </w:t>
      </w:r>
      <w:r w:rsidRPr="00CA3AFC">
        <w:rPr>
          <w:rFonts w:ascii="Times New Roman" w:eastAsia="Malgun Gothic" w:hAnsi="Times New Roman" w:cs="Times New Roman"/>
          <w:lang w:val="en-AU" w:eastAsia="ko-KR"/>
        </w:rPr>
        <w:t>horizontal</w:t>
      </w:r>
      <w:r w:rsidRPr="00CA3AFC">
        <w:rPr>
          <w:rFonts w:ascii="Times New Roman" w:eastAsia="MS Mincho" w:hAnsi="Times New Roman" w:cs="Times New Roman"/>
          <w:lang w:val="en-AU" w:eastAsia="en-AU"/>
        </w:rPr>
        <w:t xml:space="preserve"> line). The points represent SB</w:t>
      </w:r>
      <w:r w:rsidRPr="00CA3AFC">
        <w:rPr>
          <w:rFonts w:ascii="Times New Roman" w:eastAsia="MS Mincho" w:hAnsi="Times New Roman" w:cs="Times New Roman"/>
          <w:i/>
          <w:vertAlign w:val="subscript"/>
          <w:lang w:val="en-AU" w:eastAsia="en-AU"/>
        </w:rPr>
        <w:t>recent</w:t>
      </w:r>
      <w:r w:rsidRPr="00CA3AFC">
        <w:rPr>
          <w:rFonts w:ascii="Times New Roman" w:eastAsia="MS Mincho" w:hAnsi="Times New Roman" w:cs="Times New Roman"/>
          <w:lang w:val="en-AU" w:eastAsia="en-AU"/>
        </w:rPr>
        <w:t>/SB</w:t>
      </w:r>
      <w:r w:rsidRPr="00CA3AFC">
        <w:rPr>
          <w:rFonts w:ascii="Times New Roman" w:eastAsia="MS Mincho" w:hAnsi="Times New Roman" w:cs="Times New Roman"/>
          <w:i/>
          <w:vertAlign w:val="subscript"/>
          <w:lang w:val="en-AU" w:eastAsia="en-AU"/>
        </w:rPr>
        <w:t>F=0</w:t>
      </w:r>
      <w:r w:rsidRPr="00CA3AFC">
        <w:rPr>
          <w:rFonts w:ascii="Times New Roman" w:eastAsia="MS Mincho" w:hAnsi="Times New Roman" w:cs="Times New Roman"/>
          <w:lang w:val="en-AU" w:eastAsia="en-AU"/>
        </w:rPr>
        <w:t xml:space="preserve">, and the colours depict the models in the grid </w:t>
      </w:r>
      <w:r w:rsidRPr="00CA3AFC">
        <w:rPr>
          <w:rFonts w:ascii="Times New Roman" w:eastAsia="MS PMincho" w:hAnsi="Times New Roman" w:cs="Times New Roman"/>
          <w:lang w:val="en-AU" w:eastAsia="en-AU"/>
        </w:rPr>
        <w:t>with the size composition weighting using divisors of 20 and 50.</w:t>
      </w:r>
    </w:p>
    <w:p w14:paraId="0393B654" w14:textId="77777777" w:rsidR="00140D64" w:rsidRPr="00CA3AFC" w:rsidRDefault="00140D64" w:rsidP="00167819">
      <w:pPr>
        <w:adjustRightInd w:val="0"/>
        <w:snapToGrid w:val="0"/>
        <w:spacing w:after="0" w:line="240" w:lineRule="auto"/>
        <w:ind w:left="567"/>
        <w:jc w:val="center"/>
        <w:rPr>
          <w:rFonts w:ascii="Times New Roman" w:eastAsia="MS PMincho" w:hAnsi="Times New Roman" w:cs="Times New Roman"/>
          <w:lang w:val="en-NZ" w:eastAsia="en-NZ"/>
        </w:rPr>
      </w:pPr>
    </w:p>
    <w:p w14:paraId="54C658C8" w14:textId="77777777" w:rsidR="00140D64" w:rsidRPr="00CA3AFC" w:rsidRDefault="00140D64" w:rsidP="00F56124">
      <w:pPr>
        <w:adjustRightInd w:val="0"/>
        <w:snapToGrid w:val="0"/>
        <w:spacing w:after="0" w:line="240" w:lineRule="auto"/>
        <w:jc w:val="center"/>
        <w:rPr>
          <w:rFonts w:ascii="Times New Roman" w:eastAsia="Malgun Gothic" w:hAnsi="Times New Roman" w:cs="Times New Roman"/>
          <w:b/>
          <w:lang w:val="en-NZ" w:eastAsia="en-NZ"/>
        </w:rPr>
      </w:pPr>
      <w:r w:rsidRPr="00CA3AFC">
        <w:rPr>
          <w:rFonts w:ascii="Times New Roman" w:eastAsia="Malgun Gothic" w:hAnsi="Times New Roman" w:cs="Times New Roman"/>
          <w:noProof/>
          <w:lang w:eastAsia="ko-KR"/>
        </w:rPr>
        <w:drawing>
          <wp:inline distT="0" distB="0" distL="0" distR="0" wp14:anchorId="48DCBEE0" wp14:editId="5161B5F4">
            <wp:extent cx="4407361" cy="3374265"/>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9268" cy="3414005"/>
                    </a:xfrm>
                    <a:prstGeom prst="rect">
                      <a:avLst/>
                    </a:prstGeom>
                    <a:noFill/>
                    <a:ln>
                      <a:noFill/>
                    </a:ln>
                  </pic:spPr>
                </pic:pic>
              </a:graphicData>
            </a:graphic>
          </wp:inline>
        </w:drawing>
      </w:r>
    </w:p>
    <w:p w14:paraId="5848C733" w14:textId="2C8E3645" w:rsidR="00140D64" w:rsidRDefault="00140D64" w:rsidP="00167819">
      <w:pPr>
        <w:adjustRightInd w:val="0"/>
        <w:snapToGrid w:val="0"/>
        <w:spacing w:after="0" w:line="240" w:lineRule="auto"/>
        <w:jc w:val="both"/>
        <w:rPr>
          <w:rFonts w:ascii="Times New Roman" w:eastAsia="MS PMincho" w:hAnsi="Times New Roman" w:cs="Times New Roman"/>
          <w:lang w:val="en-AU" w:eastAsia="en-AU"/>
        </w:rPr>
      </w:pPr>
      <w:r w:rsidRPr="00CA3AFC">
        <w:rPr>
          <w:rFonts w:ascii="Times New Roman" w:eastAsia="MS Mincho" w:hAnsi="Times New Roman" w:cs="Times New Roman"/>
          <w:b/>
          <w:bCs/>
          <w:lang w:val="en-AU" w:eastAsia="en-AU"/>
        </w:rPr>
        <w:t xml:space="preserve">Figure YFT-8. </w:t>
      </w:r>
      <w:r w:rsidRPr="00CA3AFC">
        <w:rPr>
          <w:rFonts w:ascii="Times New Roman" w:eastAsia="MS Mincho" w:hAnsi="Times New Roman" w:cs="Times New Roman"/>
          <w:lang w:val="en-AU" w:eastAsia="en-AU"/>
        </w:rPr>
        <w:t xml:space="preserve">Kobe plot summarising the results for each of the models in the structural uncertainty grid. The points represent </w:t>
      </w:r>
      <w:r w:rsidRPr="00CA3AFC">
        <w:rPr>
          <w:rFonts w:ascii="Times New Roman" w:eastAsia="MS Mincho" w:hAnsi="Times New Roman" w:cs="Times New Roman"/>
          <w:u w:val="single"/>
          <w:lang w:val="en-AU" w:eastAsia="en-AU"/>
        </w:rPr>
        <w:t>SB</w:t>
      </w:r>
      <w:r w:rsidRPr="00CA3AFC">
        <w:rPr>
          <w:rFonts w:ascii="Times New Roman" w:eastAsia="MS Mincho" w:hAnsi="Times New Roman" w:cs="Times New Roman"/>
          <w:u w:val="single"/>
          <w:vertAlign w:val="subscript"/>
          <w:lang w:val="en-AU" w:eastAsia="en-AU"/>
        </w:rPr>
        <w:t>latest</w:t>
      </w:r>
      <w:r w:rsidRPr="00CA3AFC">
        <w:rPr>
          <w:rFonts w:ascii="Times New Roman" w:eastAsia="MS Mincho" w:hAnsi="Times New Roman" w:cs="Times New Roman"/>
          <w:u w:val="single"/>
          <w:lang w:val="en-AU" w:eastAsia="en-AU"/>
        </w:rPr>
        <w:t>/SB</w:t>
      </w:r>
      <w:r w:rsidRPr="00CA3AFC">
        <w:rPr>
          <w:rFonts w:ascii="Times New Roman" w:eastAsia="MS Mincho" w:hAnsi="Times New Roman" w:cs="Times New Roman"/>
          <w:u w:val="single"/>
          <w:vertAlign w:val="subscript"/>
          <w:lang w:val="en-AU" w:eastAsia="en-AU"/>
        </w:rPr>
        <w:t>MSY</w:t>
      </w:r>
      <w:r w:rsidRPr="00CA3AFC">
        <w:rPr>
          <w:rFonts w:ascii="Times New Roman" w:eastAsia="MS Mincho" w:hAnsi="Times New Roman" w:cs="Times New Roman"/>
          <w:lang w:val="en-AU" w:eastAsia="en-AU"/>
        </w:rPr>
        <w:t xml:space="preserve">, the colours depict the models in the grid </w:t>
      </w:r>
      <w:r w:rsidRPr="00CA3AFC">
        <w:rPr>
          <w:rFonts w:ascii="Times New Roman" w:eastAsia="MS PMincho" w:hAnsi="Times New Roman" w:cs="Times New Roman"/>
          <w:lang w:val="en-AU" w:eastAsia="en-AU"/>
        </w:rPr>
        <w:t xml:space="preserve">with the size composition weighting using divisors of 20 and 50. </w:t>
      </w:r>
    </w:p>
    <w:p w14:paraId="66C4CCBB" w14:textId="77777777" w:rsidR="00F56124" w:rsidRPr="00CA3AFC" w:rsidRDefault="00F56124" w:rsidP="00167819">
      <w:pPr>
        <w:adjustRightInd w:val="0"/>
        <w:snapToGrid w:val="0"/>
        <w:spacing w:after="0" w:line="240" w:lineRule="auto"/>
        <w:jc w:val="both"/>
        <w:rPr>
          <w:rFonts w:ascii="Times New Roman" w:eastAsia="MS PMincho" w:hAnsi="Times New Roman" w:cs="Times New Roman"/>
          <w:lang w:val="en-AU" w:eastAsia="en-AU"/>
        </w:rPr>
      </w:pPr>
    </w:p>
    <w:p w14:paraId="7B0EC17F" w14:textId="77777777" w:rsidR="00140D64" w:rsidRPr="00CA3AFC" w:rsidRDefault="00140D64" w:rsidP="00F56124">
      <w:pPr>
        <w:adjustRightInd w:val="0"/>
        <w:snapToGrid w:val="0"/>
        <w:spacing w:after="0" w:line="240" w:lineRule="auto"/>
        <w:jc w:val="center"/>
        <w:rPr>
          <w:rFonts w:ascii="Times New Roman" w:eastAsia="Malgun Gothic" w:hAnsi="Times New Roman" w:cs="Times New Roman"/>
          <w:b/>
          <w:lang w:val="en-NZ" w:eastAsia="en-NZ"/>
        </w:rPr>
      </w:pPr>
      <w:r w:rsidRPr="00CA3AFC">
        <w:rPr>
          <w:rFonts w:ascii="Times New Roman" w:eastAsia="Malgun Gothic" w:hAnsi="Times New Roman" w:cs="Times New Roman"/>
          <w:noProof/>
          <w:lang w:eastAsia="ko-KR"/>
        </w:rPr>
        <w:drawing>
          <wp:inline distT="0" distB="0" distL="0" distR="0" wp14:anchorId="4D378A7D" wp14:editId="30594F14">
            <wp:extent cx="4391696" cy="3363258"/>
            <wp:effectExtent l="0" t="0" r="8890" b="889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9392" cy="3376810"/>
                    </a:xfrm>
                    <a:prstGeom prst="rect">
                      <a:avLst/>
                    </a:prstGeom>
                    <a:noFill/>
                    <a:ln>
                      <a:noFill/>
                    </a:ln>
                  </pic:spPr>
                </pic:pic>
              </a:graphicData>
            </a:graphic>
          </wp:inline>
        </w:drawing>
      </w:r>
    </w:p>
    <w:p w14:paraId="00221A67" w14:textId="77777777" w:rsidR="00140D64" w:rsidRPr="00CA3AFC" w:rsidRDefault="00140D64" w:rsidP="00167819">
      <w:pPr>
        <w:adjustRightInd w:val="0"/>
        <w:snapToGrid w:val="0"/>
        <w:spacing w:after="0" w:line="240" w:lineRule="auto"/>
        <w:jc w:val="both"/>
        <w:rPr>
          <w:rFonts w:ascii="Times New Roman" w:eastAsia="Malgun Gothic" w:hAnsi="Times New Roman" w:cs="Times New Roman"/>
          <w:lang w:val="en-AU" w:eastAsia="ko-KR"/>
        </w:rPr>
      </w:pPr>
      <w:r w:rsidRPr="00CA3AFC">
        <w:rPr>
          <w:rFonts w:ascii="Times New Roman" w:eastAsia="MS Mincho" w:hAnsi="Times New Roman" w:cs="Times New Roman"/>
          <w:b/>
          <w:bCs/>
          <w:lang w:val="en-AU" w:eastAsia="en-AU"/>
        </w:rPr>
        <w:t xml:space="preserve">Figure YFT-9. </w:t>
      </w:r>
      <w:r w:rsidRPr="00CA3AFC">
        <w:rPr>
          <w:rFonts w:ascii="Times New Roman" w:eastAsia="MS Mincho" w:hAnsi="Times New Roman" w:cs="Times New Roman"/>
          <w:lang w:val="en-AU" w:eastAsia="en-AU"/>
        </w:rPr>
        <w:t>Kobe plot summarising the results for each of the models in the structural uncertainty grid. The points represent SB</w:t>
      </w:r>
      <w:r w:rsidRPr="00CA3AFC">
        <w:rPr>
          <w:rFonts w:ascii="Times New Roman" w:eastAsia="MS Mincho" w:hAnsi="Times New Roman" w:cs="Times New Roman"/>
          <w:i/>
          <w:vertAlign w:val="subscript"/>
          <w:lang w:val="en-AU" w:eastAsia="en-AU"/>
        </w:rPr>
        <w:t>recent</w:t>
      </w:r>
      <w:r w:rsidRPr="00CA3AFC">
        <w:rPr>
          <w:rFonts w:ascii="Times New Roman" w:eastAsia="MS Mincho" w:hAnsi="Times New Roman" w:cs="Times New Roman"/>
          <w:lang w:val="en-AU" w:eastAsia="en-AU"/>
        </w:rPr>
        <w:t>/SB</w:t>
      </w:r>
      <w:r w:rsidRPr="00CA3AFC">
        <w:rPr>
          <w:rFonts w:ascii="Times New Roman" w:eastAsia="MS Mincho" w:hAnsi="Times New Roman" w:cs="Times New Roman"/>
          <w:vertAlign w:val="subscript"/>
          <w:lang w:val="en-AU" w:eastAsia="en-AU"/>
        </w:rPr>
        <w:t>MSY</w:t>
      </w:r>
      <w:r w:rsidRPr="00CA3AFC">
        <w:rPr>
          <w:rFonts w:ascii="Times New Roman" w:eastAsia="MS Mincho" w:hAnsi="Times New Roman" w:cs="Times New Roman"/>
          <w:lang w:val="en-AU" w:eastAsia="en-AU"/>
        </w:rPr>
        <w:t xml:space="preserve">, the colours depict the models in the grid </w:t>
      </w:r>
      <w:r w:rsidRPr="00CA3AFC">
        <w:rPr>
          <w:rFonts w:ascii="Times New Roman" w:eastAsia="MS PMincho" w:hAnsi="Times New Roman" w:cs="Times New Roman"/>
          <w:lang w:val="en-AU" w:eastAsia="en-AU"/>
        </w:rPr>
        <w:t>with the size composition weighting using divisors of 20 and 50</w:t>
      </w:r>
      <w:r w:rsidRPr="00CA3AFC">
        <w:rPr>
          <w:rFonts w:ascii="Times New Roman" w:eastAsia="MS Mincho" w:hAnsi="Times New Roman" w:cs="Times New Roman"/>
          <w:lang w:val="en-AU" w:eastAsia="en-AU"/>
        </w:rPr>
        <w:t>.</w:t>
      </w:r>
    </w:p>
    <w:p w14:paraId="375B9F3C" w14:textId="77777777" w:rsidR="00140D64" w:rsidRPr="00CA3AFC" w:rsidRDefault="00140D64" w:rsidP="00167819">
      <w:pPr>
        <w:adjustRightInd w:val="0"/>
        <w:snapToGrid w:val="0"/>
        <w:spacing w:after="0" w:line="240" w:lineRule="auto"/>
        <w:jc w:val="both"/>
        <w:rPr>
          <w:rFonts w:ascii="Times New Roman" w:eastAsia="Malgun Gothic" w:hAnsi="Times New Roman" w:cs="Times New Roman"/>
          <w:lang w:val="en-AU" w:eastAsia="ko-KR"/>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40D64" w:rsidRPr="00CA3AFC" w14:paraId="6B79A8F8" w14:textId="77777777" w:rsidTr="009847FB">
        <w:tc>
          <w:tcPr>
            <w:tcW w:w="5000" w:type="pct"/>
            <w:vAlign w:val="center"/>
          </w:tcPr>
          <w:p w14:paraId="50F89504" w14:textId="77777777" w:rsidR="00140D64" w:rsidRPr="00CA3AFC" w:rsidRDefault="00140D64" w:rsidP="00167819">
            <w:pPr>
              <w:adjustRightInd w:val="0"/>
              <w:snapToGrid w:val="0"/>
              <w:jc w:val="center"/>
              <w:rPr>
                <w:rFonts w:ascii="Times New Roman" w:eastAsia="Malgun Gothic" w:hAnsi="Times New Roman"/>
                <w:lang w:eastAsia="ko-KR"/>
              </w:rPr>
            </w:pPr>
            <w:r w:rsidRPr="00CA3AFC">
              <w:rPr>
                <w:rFonts w:ascii="Times New Roman" w:hAnsi="Times New Roman"/>
                <w:noProof/>
                <w:lang w:eastAsia="ko-KR"/>
              </w:rPr>
              <w:lastRenderedPageBreak/>
              <w:drawing>
                <wp:inline distT="0" distB="0" distL="0" distR="0" wp14:anchorId="3FF0E3FB" wp14:editId="1766D91F">
                  <wp:extent cx="3820438" cy="3820438"/>
                  <wp:effectExtent l="0" t="0" r="889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Majuro_Tempor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2501" cy="3812501"/>
                          </a:xfrm>
                          <a:prstGeom prst="rect">
                            <a:avLst/>
                          </a:prstGeom>
                        </pic:spPr>
                      </pic:pic>
                    </a:graphicData>
                  </a:graphic>
                </wp:inline>
              </w:drawing>
            </w:r>
          </w:p>
        </w:tc>
      </w:tr>
      <w:tr w:rsidR="00140D64" w:rsidRPr="00CA3AFC" w14:paraId="79A484BB" w14:textId="77777777" w:rsidTr="009847FB">
        <w:tc>
          <w:tcPr>
            <w:tcW w:w="5000" w:type="pct"/>
            <w:vAlign w:val="center"/>
          </w:tcPr>
          <w:p w14:paraId="35542F3A" w14:textId="77777777" w:rsidR="00140D64" w:rsidRPr="00CA3AFC" w:rsidRDefault="00140D64" w:rsidP="00167819">
            <w:pPr>
              <w:adjustRightInd w:val="0"/>
              <w:snapToGrid w:val="0"/>
              <w:jc w:val="center"/>
              <w:rPr>
                <w:rFonts w:ascii="Times New Roman" w:hAnsi="Times New Roman"/>
                <w:noProof/>
                <w:lang w:val="en-US" w:eastAsia="zh-CN" w:bidi="mn-Mong-CN"/>
              </w:rPr>
            </w:pPr>
            <w:r w:rsidRPr="00CA3AFC">
              <w:rPr>
                <w:rFonts w:ascii="Times New Roman" w:hAnsi="Times New Roman"/>
                <w:noProof/>
                <w:lang w:eastAsia="ko-KR"/>
              </w:rPr>
              <w:drawing>
                <wp:inline distT="0" distB="0" distL="0" distR="0" wp14:anchorId="5FA431EF" wp14:editId="391C7617">
                  <wp:extent cx="3720230" cy="37202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Kobe_Tempor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2502" cy="3712502"/>
                          </a:xfrm>
                          <a:prstGeom prst="rect">
                            <a:avLst/>
                          </a:prstGeom>
                        </pic:spPr>
                      </pic:pic>
                    </a:graphicData>
                  </a:graphic>
                </wp:inline>
              </w:drawing>
            </w:r>
          </w:p>
        </w:tc>
      </w:tr>
    </w:tbl>
    <w:p w14:paraId="3784F0C5" w14:textId="77777777" w:rsidR="00140D64" w:rsidRPr="00CA3AFC" w:rsidRDefault="00140D64" w:rsidP="00167819">
      <w:pPr>
        <w:adjustRightInd w:val="0"/>
        <w:snapToGrid w:val="0"/>
        <w:spacing w:after="0" w:line="240" w:lineRule="auto"/>
        <w:jc w:val="both"/>
        <w:rPr>
          <w:rFonts w:ascii="Times New Roman" w:eastAsia="Malgun Gothic" w:hAnsi="Times New Roman" w:cs="Times New Roman"/>
          <w:lang w:val="en-AU" w:eastAsia="ko-KR"/>
        </w:rPr>
      </w:pPr>
      <w:r w:rsidRPr="00CA3AFC">
        <w:rPr>
          <w:rFonts w:ascii="Times New Roman" w:eastAsia="Malgun Gothic" w:hAnsi="Times New Roman" w:cs="Times New Roman"/>
          <w:b/>
          <w:bCs/>
          <w:lang w:val="en-AU" w:eastAsia="ko-KR"/>
        </w:rPr>
        <w:t>Figure YFT-10.</w:t>
      </w:r>
      <w:r w:rsidRPr="00CA3AFC">
        <w:rPr>
          <w:rFonts w:ascii="Times New Roman" w:eastAsia="Malgun Gothic" w:hAnsi="Times New Roman" w:cs="Times New Roman"/>
          <w:lang w:val="en-AU" w:eastAsia="ko-KR"/>
        </w:rPr>
        <w:t xml:space="preserve"> </w:t>
      </w:r>
      <w:r w:rsidRPr="00CA3AFC">
        <w:rPr>
          <w:rFonts w:ascii="Times New Roman" w:eastAsia="MS Mincho" w:hAnsi="Times New Roman" w:cs="Times New Roman"/>
          <w:lang w:val="en-AU" w:eastAsia="en-AU"/>
        </w:rPr>
        <w:t>Estimated time-series (or “dynamic”) Majuro and Kobe plots from the yellowfin ‘diagnostic case’ model run.</w:t>
      </w:r>
    </w:p>
    <w:p w14:paraId="021592B5" w14:textId="77777777" w:rsidR="00140D64" w:rsidRPr="00CA3AFC" w:rsidRDefault="00140D64" w:rsidP="00167819">
      <w:pPr>
        <w:adjustRightInd w:val="0"/>
        <w:snapToGrid w:val="0"/>
        <w:spacing w:after="0" w:line="240" w:lineRule="auto"/>
        <w:ind w:left="578"/>
        <w:jc w:val="both"/>
        <w:rPr>
          <w:rFonts w:ascii="Times New Roman" w:eastAsia="MS Mincho" w:hAnsi="Times New Roman" w:cs="Times New Roman"/>
          <w:b/>
          <w:bCs/>
          <w:lang w:val="en-AU" w:eastAsia="en-AU"/>
        </w:rPr>
      </w:pPr>
    </w:p>
    <w:p w14:paraId="10A9D4C4" w14:textId="77777777" w:rsidR="00140D64" w:rsidRPr="00CA3AFC" w:rsidRDefault="00140D64" w:rsidP="00167819">
      <w:pPr>
        <w:adjustRightInd w:val="0"/>
        <w:snapToGrid w:val="0"/>
        <w:spacing w:after="0" w:line="240" w:lineRule="auto"/>
        <w:jc w:val="both"/>
        <w:rPr>
          <w:rFonts w:ascii="Times New Roman" w:eastAsia="MS Mincho" w:hAnsi="Times New Roman" w:cs="Times New Roman"/>
          <w:b/>
          <w:bCs/>
          <w:lang w:val="en-AU" w:eastAsia="en-AU"/>
        </w:rPr>
      </w:pPr>
      <w:r w:rsidRPr="00CA3AFC">
        <w:rPr>
          <w:rFonts w:ascii="Times New Roman" w:eastAsia="MS Mincho" w:hAnsi="Times New Roman" w:cs="Times New Roman"/>
          <w:b/>
          <w:noProof/>
          <w:lang w:eastAsia="ko-KR"/>
        </w:rPr>
        <w:lastRenderedPageBreak/>
        <w:drawing>
          <wp:inline distT="0" distB="0" distL="0" distR="0" wp14:anchorId="13EB2926" wp14:editId="3F9653A6">
            <wp:extent cx="5949863" cy="5949863"/>
            <wp:effectExtent l="0" t="0" r="0" b="0"/>
            <wp:docPr id="27" name="Picture 26" descr="plot_fishery_impact_YFT-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ot_fishery_impact_YFT-SS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6038" cy="5946038"/>
                    </a:xfrm>
                    <a:prstGeom prst="rect">
                      <a:avLst/>
                    </a:prstGeom>
                    <a:noFill/>
                    <a:ln>
                      <a:noFill/>
                    </a:ln>
                  </pic:spPr>
                </pic:pic>
              </a:graphicData>
            </a:graphic>
          </wp:inline>
        </w:drawing>
      </w:r>
    </w:p>
    <w:p w14:paraId="5E5420B8" w14:textId="77777777" w:rsidR="00140D64" w:rsidRPr="00CA3AFC" w:rsidRDefault="00140D64" w:rsidP="00167819">
      <w:pPr>
        <w:adjustRightInd w:val="0"/>
        <w:snapToGrid w:val="0"/>
        <w:spacing w:after="0" w:line="240" w:lineRule="auto"/>
        <w:rPr>
          <w:rFonts w:ascii="Times New Roman" w:eastAsia="MS Mincho" w:hAnsi="Times New Roman" w:cs="Times New Roman"/>
          <w:bCs/>
          <w:noProof/>
          <w:lang w:val="en-AU" w:eastAsia="en-AU"/>
        </w:rPr>
      </w:pPr>
      <w:r w:rsidRPr="00CA3AFC">
        <w:rPr>
          <w:rFonts w:ascii="Times New Roman" w:eastAsia="MS Mincho" w:hAnsi="Times New Roman" w:cs="Times New Roman"/>
          <w:b/>
          <w:bCs/>
          <w:lang w:val="en-AU" w:eastAsia="en-AU"/>
        </w:rPr>
        <w:t>Figure YFT-1</w:t>
      </w:r>
      <w:r w:rsidRPr="00CA3AFC">
        <w:rPr>
          <w:rFonts w:ascii="Times New Roman" w:eastAsia="Malgun Gothic" w:hAnsi="Times New Roman" w:cs="Times New Roman"/>
          <w:b/>
          <w:bCs/>
          <w:lang w:val="en-AU" w:eastAsia="ko-KR"/>
        </w:rPr>
        <w:t>1</w:t>
      </w:r>
      <w:r w:rsidRPr="00CA3AFC">
        <w:rPr>
          <w:rFonts w:ascii="Times New Roman" w:eastAsia="MS Mincho" w:hAnsi="Times New Roman" w:cs="Times New Roman"/>
          <w:lang w:val="en-AU" w:eastAsia="en-AU"/>
        </w:rPr>
        <w:t>. Estimates of reduction in spawning potential due to fishing by region, and over all regions (lower right panel), attributed to various fishery groups (gear-types) for the diagnostic case model.</w:t>
      </w:r>
    </w:p>
    <w:p w14:paraId="5C78288E" w14:textId="77777777" w:rsidR="00140D64" w:rsidRPr="00CA3AFC" w:rsidRDefault="00140D64" w:rsidP="00167819">
      <w:pPr>
        <w:adjustRightInd w:val="0"/>
        <w:snapToGrid w:val="0"/>
        <w:spacing w:after="0" w:line="240" w:lineRule="auto"/>
        <w:ind w:left="578"/>
        <w:jc w:val="both"/>
        <w:rPr>
          <w:rFonts w:ascii="Times New Roman" w:eastAsia="MS Mincho" w:hAnsi="Times New Roman" w:cs="Times New Roman"/>
          <w:b/>
          <w:bCs/>
          <w:lang w:val="en-AU" w:eastAsia="en-AU"/>
        </w:rPr>
      </w:pPr>
    </w:p>
    <w:p w14:paraId="08B8B724" w14:textId="77777777" w:rsidR="00140D64" w:rsidRPr="00CA3AFC" w:rsidRDefault="00140D64" w:rsidP="00167819">
      <w:pPr>
        <w:adjustRightInd w:val="0"/>
        <w:snapToGrid w:val="0"/>
        <w:spacing w:after="0" w:line="240" w:lineRule="auto"/>
        <w:rPr>
          <w:rFonts w:ascii="Times New Roman" w:eastAsia="MS Mincho" w:hAnsi="Times New Roman" w:cs="Times New Roman"/>
          <w:b/>
          <w:bCs/>
          <w:lang w:val="en-AU" w:eastAsia="en-AU"/>
        </w:rPr>
      </w:pPr>
      <w:r w:rsidRPr="00CA3AFC">
        <w:rPr>
          <w:rFonts w:ascii="Times New Roman" w:eastAsia="Malgun Gothic" w:hAnsi="Times New Roman" w:cs="Times New Roman"/>
          <w:b/>
          <w:bCs/>
          <w:lang w:val="en-NZ"/>
        </w:rPr>
        <w:br w:type="page"/>
      </w:r>
    </w:p>
    <w:p w14:paraId="3156949B" w14:textId="77777777" w:rsidR="00140D64" w:rsidRPr="00CA3AFC" w:rsidRDefault="00140D64" w:rsidP="00167819">
      <w:pPr>
        <w:adjustRightInd w:val="0"/>
        <w:snapToGrid w:val="0"/>
        <w:spacing w:after="0" w:line="240" w:lineRule="auto"/>
        <w:jc w:val="both"/>
        <w:rPr>
          <w:rFonts w:ascii="Times New Roman" w:eastAsia="MS Mincho" w:hAnsi="Times New Roman" w:cs="Times New Roman"/>
          <w:lang w:val="en-AU" w:eastAsia="zh-TW"/>
        </w:rPr>
      </w:pPr>
      <w:r w:rsidRPr="00CA3AFC">
        <w:rPr>
          <w:rFonts w:ascii="Times New Roman" w:eastAsia="MS Mincho" w:hAnsi="Times New Roman" w:cs="Times New Roman"/>
          <w:b/>
          <w:bCs/>
          <w:lang w:val="en-AU" w:eastAsia="en-AU"/>
        </w:rPr>
        <w:lastRenderedPageBreak/>
        <w:t>Table YFT-2</w:t>
      </w:r>
      <w:r w:rsidRPr="00CA3AFC">
        <w:rPr>
          <w:rFonts w:ascii="Times New Roman" w:eastAsia="MS Mincho" w:hAnsi="Times New Roman" w:cs="Times New Roman"/>
          <w:lang w:val="en-AU" w:eastAsia="en-AU"/>
        </w:rPr>
        <w:t>.  Summary of reference points over the 48 models in the structural uncertainty grid retained for management advice using divisors of 20 and 50 for the weighting on the size composition data. Note that SB</w:t>
      </w:r>
      <w:r w:rsidRPr="00CA3AFC">
        <w:rPr>
          <w:rFonts w:ascii="Times New Roman" w:eastAsia="MS Mincho" w:hAnsi="Times New Roman" w:cs="Times New Roman"/>
          <w:i/>
          <w:vertAlign w:val="subscript"/>
          <w:lang w:val="en-AU" w:eastAsia="en-AU"/>
        </w:rPr>
        <w:t>recent</w:t>
      </w:r>
      <w:r w:rsidRPr="00CA3AFC">
        <w:rPr>
          <w:rFonts w:ascii="Times New Roman" w:eastAsia="MS Mincho" w:hAnsi="Times New Roman" w:cs="Times New Roman"/>
          <w:lang w:val="en-AU" w:eastAsia="en-AU"/>
        </w:rPr>
        <w:t>/SB</w:t>
      </w:r>
      <w:r w:rsidRPr="00CA3AFC">
        <w:rPr>
          <w:rFonts w:ascii="Times New Roman" w:eastAsia="MS Mincho" w:hAnsi="Times New Roman" w:cs="Times New Roman"/>
          <w:i/>
          <w:vertAlign w:val="subscript"/>
          <w:lang w:val="en-AU" w:eastAsia="en-AU"/>
        </w:rPr>
        <w:t>F=0</w:t>
      </w:r>
      <w:r w:rsidRPr="00CA3AFC">
        <w:rPr>
          <w:rFonts w:ascii="Times New Roman" w:eastAsia="MS Mincho" w:hAnsi="Times New Roman" w:cs="Times New Roman"/>
          <w:i/>
          <w:lang w:val="en-AU" w:eastAsia="en-AU"/>
        </w:rPr>
        <w:t xml:space="preserve"> </w:t>
      </w:r>
      <w:r w:rsidRPr="00CA3AFC">
        <w:rPr>
          <w:rFonts w:ascii="Times New Roman" w:eastAsia="MS Mincho" w:hAnsi="Times New Roman" w:cs="Times New Roman"/>
          <w:lang w:val="en-AU" w:eastAsia="en-AU"/>
        </w:rPr>
        <w:t>is calculated where SB</w:t>
      </w:r>
      <w:r w:rsidRPr="00CA3AFC">
        <w:rPr>
          <w:rFonts w:ascii="Times New Roman" w:eastAsia="MS Mincho" w:hAnsi="Times New Roman" w:cs="Times New Roman"/>
          <w:i/>
          <w:vertAlign w:val="subscript"/>
          <w:lang w:val="en-AU" w:eastAsia="en-AU"/>
        </w:rPr>
        <w:t>recent</w:t>
      </w:r>
      <w:r w:rsidRPr="00CA3AFC">
        <w:rPr>
          <w:rFonts w:ascii="Times New Roman" w:eastAsia="MS Mincho" w:hAnsi="Times New Roman" w:cs="Times New Roman"/>
          <w:lang w:val="en-AU" w:eastAsia="en-AU"/>
        </w:rPr>
        <w:t xml:space="preserve"> is the mean SB over 2012-2015 instead of 2011-2014 (used in the stock assessment report), at the request of the Scientific Committee.</w:t>
      </w:r>
    </w:p>
    <w:tbl>
      <w:tblPr>
        <w:tblW w:w="0" w:type="auto"/>
        <w:tblBorders>
          <w:top w:val="single" w:sz="4" w:space="0" w:color="auto"/>
          <w:bottom w:val="single" w:sz="4" w:space="0" w:color="auto"/>
        </w:tblBorders>
        <w:tblLook w:val="04A0" w:firstRow="1" w:lastRow="0" w:firstColumn="1" w:lastColumn="0" w:noHBand="0" w:noVBand="1"/>
      </w:tblPr>
      <w:tblGrid>
        <w:gridCol w:w="1437"/>
        <w:gridCol w:w="1264"/>
        <w:gridCol w:w="1265"/>
        <w:gridCol w:w="1265"/>
        <w:gridCol w:w="1265"/>
        <w:gridCol w:w="1265"/>
        <w:gridCol w:w="1265"/>
      </w:tblGrid>
      <w:tr w:rsidR="00140D64" w:rsidRPr="00CA3AFC" w14:paraId="5572D1C5" w14:textId="77777777" w:rsidTr="009847FB">
        <w:tc>
          <w:tcPr>
            <w:tcW w:w="1437" w:type="dxa"/>
            <w:tcBorders>
              <w:top w:val="single" w:sz="4" w:space="0" w:color="auto"/>
              <w:left w:val="nil"/>
              <w:bottom w:val="single" w:sz="4" w:space="0" w:color="auto"/>
              <w:right w:val="nil"/>
            </w:tcBorders>
            <w:shd w:val="clear" w:color="auto" w:fill="auto"/>
          </w:tcPr>
          <w:p w14:paraId="618FBE72"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b/>
                <w:lang w:val="en-AU"/>
              </w:rPr>
            </w:pPr>
          </w:p>
        </w:tc>
        <w:tc>
          <w:tcPr>
            <w:tcW w:w="1264" w:type="dxa"/>
            <w:tcBorders>
              <w:top w:val="single" w:sz="4" w:space="0" w:color="auto"/>
              <w:left w:val="nil"/>
              <w:bottom w:val="single" w:sz="4" w:space="0" w:color="auto"/>
              <w:right w:val="nil"/>
            </w:tcBorders>
            <w:shd w:val="clear" w:color="auto" w:fill="auto"/>
            <w:vAlign w:val="bottom"/>
            <w:hideMark/>
          </w:tcPr>
          <w:p w14:paraId="628A07D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b/>
                <w:lang w:val="en-AU"/>
              </w:rPr>
            </w:pPr>
            <w:r w:rsidRPr="00CA3AFC">
              <w:rPr>
                <w:rFonts w:ascii="Times New Roman" w:eastAsia="PMingLiU" w:hAnsi="Times New Roman" w:cs="Times New Roman"/>
                <w:b/>
                <w:lang w:val="en-AU"/>
              </w:rPr>
              <w:t>Mean</w:t>
            </w:r>
          </w:p>
        </w:tc>
        <w:tc>
          <w:tcPr>
            <w:tcW w:w="1265" w:type="dxa"/>
            <w:tcBorders>
              <w:top w:val="single" w:sz="4" w:space="0" w:color="auto"/>
              <w:left w:val="nil"/>
              <w:bottom w:val="single" w:sz="4" w:space="0" w:color="auto"/>
              <w:right w:val="nil"/>
            </w:tcBorders>
            <w:shd w:val="clear" w:color="auto" w:fill="auto"/>
            <w:vAlign w:val="bottom"/>
            <w:hideMark/>
          </w:tcPr>
          <w:p w14:paraId="645B703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b/>
                <w:lang w:val="en-AU"/>
              </w:rPr>
            </w:pPr>
            <w:r w:rsidRPr="00CA3AFC">
              <w:rPr>
                <w:rFonts w:ascii="Times New Roman" w:eastAsia="PMingLiU" w:hAnsi="Times New Roman" w:cs="Times New Roman"/>
                <w:b/>
                <w:lang w:val="en-AU"/>
              </w:rPr>
              <w:t>Median</w:t>
            </w:r>
          </w:p>
        </w:tc>
        <w:tc>
          <w:tcPr>
            <w:tcW w:w="1265" w:type="dxa"/>
            <w:tcBorders>
              <w:top w:val="single" w:sz="4" w:space="0" w:color="auto"/>
              <w:left w:val="nil"/>
              <w:bottom w:val="single" w:sz="4" w:space="0" w:color="auto"/>
              <w:right w:val="nil"/>
            </w:tcBorders>
            <w:shd w:val="clear" w:color="auto" w:fill="auto"/>
            <w:vAlign w:val="bottom"/>
            <w:hideMark/>
          </w:tcPr>
          <w:p w14:paraId="22ECAEC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b/>
                <w:lang w:val="en-AU"/>
              </w:rPr>
            </w:pPr>
            <w:r w:rsidRPr="00CA3AFC">
              <w:rPr>
                <w:rFonts w:ascii="Times New Roman" w:eastAsia="PMingLiU" w:hAnsi="Times New Roman" w:cs="Times New Roman"/>
                <w:b/>
                <w:lang w:val="en-AU"/>
              </w:rPr>
              <w:t>Min</w:t>
            </w:r>
          </w:p>
        </w:tc>
        <w:tc>
          <w:tcPr>
            <w:tcW w:w="1265" w:type="dxa"/>
            <w:tcBorders>
              <w:top w:val="single" w:sz="4" w:space="0" w:color="auto"/>
              <w:left w:val="nil"/>
              <w:bottom w:val="single" w:sz="4" w:space="0" w:color="auto"/>
              <w:right w:val="nil"/>
            </w:tcBorders>
            <w:shd w:val="clear" w:color="auto" w:fill="auto"/>
            <w:vAlign w:val="bottom"/>
            <w:hideMark/>
          </w:tcPr>
          <w:p w14:paraId="6CFA8027"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b/>
                <w:lang w:val="en-AU"/>
              </w:rPr>
            </w:pPr>
            <w:r w:rsidRPr="00CA3AFC">
              <w:rPr>
                <w:rFonts w:ascii="Times New Roman" w:eastAsia="PMingLiU" w:hAnsi="Times New Roman" w:cs="Times New Roman"/>
                <w:b/>
                <w:lang w:val="en-AU"/>
              </w:rPr>
              <w:t>10%</w:t>
            </w:r>
          </w:p>
        </w:tc>
        <w:tc>
          <w:tcPr>
            <w:tcW w:w="1265" w:type="dxa"/>
            <w:tcBorders>
              <w:top w:val="single" w:sz="4" w:space="0" w:color="auto"/>
              <w:left w:val="nil"/>
              <w:bottom w:val="single" w:sz="4" w:space="0" w:color="auto"/>
              <w:right w:val="nil"/>
            </w:tcBorders>
            <w:shd w:val="clear" w:color="auto" w:fill="auto"/>
            <w:vAlign w:val="bottom"/>
            <w:hideMark/>
          </w:tcPr>
          <w:p w14:paraId="6113534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b/>
                <w:lang w:val="en-AU"/>
              </w:rPr>
            </w:pPr>
            <w:r w:rsidRPr="00CA3AFC">
              <w:rPr>
                <w:rFonts w:ascii="Times New Roman" w:eastAsia="PMingLiU" w:hAnsi="Times New Roman" w:cs="Times New Roman"/>
                <w:b/>
                <w:lang w:val="en-AU"/>
              </w:rPr>
              <w:t>90%</w:t>
            </w:r>
          </w:p>
        </w:tc>
        <w:tc>
          <w:tcPr>
            <w:tcW w:w="1265" w:type="dxa"/>
            <w:tcBorders>
              <w:top w:val="single" w:sz="4" w:space="0" w:color="auto"/>
              <w:left w:val="nil"/>
              <w:bottom w:val="single" w:sz="4" w:space="0" w:color="auto"/>
              <w:right w:val="nil"/>
            </w:tcBorders>
            <w:shd w:val="clear" w:color="auto" w:fill="auto"/>
            <w:vAlign w:val="bottom"/>
            <w:hideMark/>
          </w:tcPr>
          <w:p w14:paraId="3D6E8F0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b/>
                <w:lang w:val="en-AU"/>
              </w:rPr>
            </w:pPr>
            <w:r w:rsidRPr="00CA3AFC">
              <w:rPr>
                <w:rFonts w:ascii="Times New Roman" w:eastAsia="PMingLiU" w:hAnsi="Times New Roman" w:cs="Times New Roman"/>
                <w:b/>
                <w:lang w:val="en-AU"/>
              </w:rPr>
              <w:t>Max</w:t>
            </w:r>
          </w:p>
        </w:tc>
      </w:tr>
      <w:tr w:rsidR="00140D64" w:rsidRPr="00CA3AFC" w14:paraId="2CAD7F44" w14:textId="77777777" w:rsidTr="009847FB">
        <w:tc>
          <w:tcPr>
            <w:tcW w:w="1437" w:type="dxa"/>
            <w:tcBorders>
              <w:top w:val="single" w:sz="4" w:space="0" w:color="auto"/>
              <w:left w:val="nil"/>
              <w:bottom w:val="nil"/>
              <w:right w:val="nil"/>
            </w:tcBorders>
            <w:shd w:val="clear" w:color="auto" w:fill="auto"/>
            <w:hideMark/>
          </w:tcPr>
          <w:p w14:paraId="30E6498F"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C</w:t>
            </w:r>
            <w:r w:rsidRPr="00CA3AFC">
              <w:rPr>
                <w:rFonts w:ascii="Times New Roman" w:eastAsia="PMingLiU" w:hAnsi="Times New Roman" w:cs="Times New Roman"/>
                <w:i/>
                <w:vertAlign w:val="subscript"/>
                <w:lang w:val="en-AU"/>
              </w:rPr>
              <w:t>latest</w:t>
            </w:r>
          </w:p>
        </w:tc>
        <w:tc>
          <w:tcPr>
            <w:tcW w:w="1264" w:type="dxa"/>
            <w:tcBorders>
              <w:top w:val="single" w:sz="4" w:space="0" w:color="auto"/>
              <w:left w:val="nil"/>
              <w:bottom w:val="nil"/>
              <w:right w:val="nil"/>
            </w:tcBorders>
            <w:shd w:val="clear" w:color="auto" w:fill="auto"/>
            <w:vAlign w:val="bottom"/>
            <w:hideMark/>
          </w:tcPr>
          <w:p w14:paraId="0DA0C85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611,982</w:t>
            </w:r>
          </w:p>
        </w:tc>
        <w:tc>
          <w:tcPr>
            <w:tcW w:w="1265" w:type="dxa"/>
            <w:tcBorders>
              <w:top w:val="single" w:sz="4" w:space="0" w:color="auto"/>
              <w:left w:val="nil"/>
              <w:bottom w:val="nil"/>
              <w:right w:val="nil"/>
            </w:tcBorders>
            <w:shd w:val="clear" w:color="auto" w:fill="auto"/>
            <w:vAlign w:val="bottom"/>
            <w:hideMark/>
          </w:tcPr>
          <w:p w14:paraId="6C339AA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612,592</w:t>
            </w:r>
          </w:p>
        </w:tc>
        <w:tc>
          <w:tcPr>
            <w:tcW w:w="1265" w:type="dxa"/>
            <w:tcBorders>
              <w:top w:val="single" w:sz="4" w:space="0" w:color="auto"/>
              <w:left w:val="nil"/>
              <w:bottom w:val="nil"/>
              <w:right w:val="nil"/>
            </w:tcBorders>
            <w:shd w:val="clear" w:color="auto" w:fill="auto"/>
            <w:vAlign w:val="bottom"/>
            <w:hideMark/>
          </w:tcPr>
          <w:p w14:paraId="12C211E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606,762</w:t>
            </w:r>
          </w:p>
        </w:tc>
        <w:tc>
          <w:tcPr>
            <w:tcW w:w="1265" w:type="dxa"/>
            <w:tcBorders>
              <w:top w:val="single" w:sz="4" w:space="0" w:color="auto"/>
              <w:left w:val="nil"/>
              <w:bottom w:val="nil"/>
              <w:right w:val="nil"/>
            </w:tcBorders>
            <w:shd w:val="clear" w:color="auto" w:fill="auto"/>
            <w:vAlign w:val="bottom"/>
            <w:hideMark/>
          </w:tcPr>
          <w:p w14:paraId="3A368FB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607,517</w:t>
            </w:r>
          </w:p>
        </w:tc>
        <w:tc>
          <w:tcPr>
            <w:tcW w:w="1265" w:type="dxa"/>
            <w:tcBorders>
              <w:top w:val="single" w:sz="4" w:space="0" w:color="auto"/>
              <w:left w:val="nil"/>
              <w:bottom w:val="nil"/>
              <w:right w:val="nil"/>
            </w:tcBorders>
            <w:shd w:val="clear" w:color="auto" w:fill="auto"/>
            <w:vAlign w:val="bottom"/>
            <w:hideMark/>
          </w:tcPr>
          <w:p w14:paraId="5A34E29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614,237</w:t>
            </w:r>
          </w:p>
        </w:tc>
        <w:tc>
          <w:tcPr>
            <w:tcW w:w="1265" w:type="dxa"/>
            <w:tcBorders>
              <w:top w:val="single" w:sz="4" w:space="0" w:color="auto"/>
              <w:left w:val="nil"/>
              <w:bottom w:val="nil"/>
              <w:right w:val="nil"/>
            </w:tcBorders>
            <w:shd w:val="clear" w:color="auto" w:fill="auto"/>
            <w:vAlign w:val="bottom"/>
            <w:hideMark/>
          </w:tcPr>
          <w:p w14:paraId="39E54C51"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614,801</w:t>
            </w:r>
          </w:p>
        </w:tc>
      </w:tr>
      <w:tr w:rsidR="00140D64" w:rsidRPr="00CA3AFC" w14:paraId="7F420C57" w14:textId="77777777" w:rsidTr="009847FB">
        <w:tc>
          <w:tcPr>
            <w:tcW w:w="1437" w:type="dxa"/>
            <w:tcBorders>
              <w:top w:val="nil"/>
              <w:left w:val="nil"/>
              <w:bottom w:val="nil"/>
              <w:right w:val="nil"/>
            </w:tcBorders>
            <w:shd w:val="clear" w:color="auto" w:fill="auto"/>
            <w:hideMark/>
          </w:tcPr>
          <w:p w14:paraId="16F82441"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MSY</w:t>
            </w:r>
          </w:p>
        </w:tc>
        <w:tc>
          <w:tcPr>
            <w:tcW w:w="1264" w:type="dxa"/>
            <w:tcBorders>
              <w:top w:val="nil"/>
              <w:left w:val="nil"/>
              <w:bottom w:val="nil"/>
              <w:right w:val="nil"/>
            </w:tcBorders>
            <w:shd w:val="clear" w:color="auto" w:fill="auto"/>
            <w:vAlign w:val="bottom"/>
            <w:hideMark/>
          </w:tcPr>
          <w:p w14:paraId="48938F34"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670,658</w:t>
            </w:r>
          </w:p>
        </w:tc>
        <w:tc>
          <w:tcPr>
            <w:tcW w:w="1265" w:type="dxa"/>
            <w:tcBorders>
              <w:top w:val="nil"/>
              <w:left w:val="nil"/>
              <w:bottom w:val="nil"/>
              <w:right w:val="nil"/>
            </w:tcBorders>
            <w:shd w:val="clear" w:color="auto" w:fill="auto"/>
            <w:vAlign w:val="bottom"/>
            <w:hideMark/>
          </w:tcPr>
          <w:p w14:paraId="5FE9A391"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670,800</w:t>
            </w:r>
          </w:p>
        </w:tc>
        <w:tc>
          <w:tcPr>
            <w:tcW w:w="1265" w:type="dxa"/>
            <w:tcBorders>
              <w:top w:val="nil"/>
              <w:left w:val="nil"/>
              <w:bottom w:val="nil"/>
              <w:right w:val="nil"/>
            </w:tcBorders>
            <w:shd w:val="clear" w:color="auto" w:fill="auto"/>
            <w:vAlign w:val="bottom"/>
            <w:hideMark/>
          </w:tcPr>
          <w:p w14:paraId="2134DE2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539,200</w:t>
            </w:r>
          </w:p>
        </w:tc>
        <w:tc>
          <w:tcPr>
            <w:tcW w:w="1265" w:type="dxa"/>
            <w:tcBorders>
              <w:top w:val="nil"/>
              <w:left w:val="nil"/>
              <w:bottom w:val="nil"/>
              <w:right w:val="nil"/>
            </w:tcBorders>
            <w:shd w:val="clear" w:color="auto" w:fill="auto"/>
            <w:vAlign w:val="bottom"/>
            <w:hideMark/>
          </w:tcPr>
          <w:p w14:paraId="043C186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601,480</w:t>
            </w:r>
          </w:p>
        </w:tc>
        <w:tc>
          <w:tcPr>
            <w:tcW w:w="1265" w:type="dxa"/>
            <w:tcBorders>
              <w:top w:val="nil"/>
              <w:left w:val="nil"/>
              <w:bottom w:val="nil"/>
              <w:right w:val="nil"/>
            </w:tcBorders>
            <w:shd w:val="clear" w:color="auto" w:fill="auto"/>
            <w:vAlign w:val="bottom"/>
            <w:hideMark/>
          </w:tcPr>
          <w:p w14:paraId="1081CA4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735,280</w:t>
            </w:r>
          </w:p>
        </w:tc>
        <w:tc>
          <w:tcPr>
            <w:tcW w:w="1265" w:type="dxa"/>
            <w:tcBorders>
              <w:top w:val="nil"/>
              <w:left w:val="nil"/>
              <w:bottom w:val="nil"/>
              <w:right w:val="nil"/>
            </w:tcBorders>
            <w:shd w:val="clear" w:color="auto" w:fill="auto"/>
            <w:vAlign w:val="bottom"/>
            <w:hideMark/>
          </w:tcPr>
          <w:p w14:paraId="5E3A57AA"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795,200</w:t>
            </w:r>
          </w:p>
        </w:tc>
      </w:tr>
      <w:tr w:rsidR="00140D64" w:rsidRPr="00CA3AFC" w14:paraId="626AB747" w14:textId="77777777" w:rsidTr="009847FB">
        <w:tc>
          <w:tcPr>
            <w:tcW w:w="1437" w:type="dxa"/>
            <w:tcBorders>
              <w:top w:val="nil"/>
              <w:left w:val="nil"/>
              <w:bottom w:val="nil"/>
              <w:right w:val="nil"/>
            </w:tcBorders>
            <w:shd w:val="clear" w:color="auto" w:fill="auto"/>
            <w:hideMark/>
          </w:tcPr>
          <w:p w14:paraId="23E061EA"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Y</w:t>
            </w:r>
            <w:r w:rsidRPr="00CA3AFC">
              <w:rPr>
                <w:rFonts w:ascii="Times New Roman" w:eastAsia="PMingLiU" w:hAnsi="Times New Roman" w:cs="Times New Roman"/>
                <w:i/>
                <w:vertAlign w:val="subscript"/>
                <w:lang w:val="en-AU"/>
              </w:rPr>
              <w:t>Frecent</w:t>
            </w:r>
          </w:p>
        </w:tc>
        <w:tc>
          <w:tcPr>
            <w:tcW w:w="1264" w:type="dxa"/>
            <w:tcBorders>
              <w:top w:val="nil"/>
              <w:left w:val="nil"/>
              <w:bottom w:val="nil"/>
              <w:right w:val="nil"/>
            </w:tcBorders>
            <w:shd w:val="clear" w:color="auto" w:fill="auto"/>
            <w:vAlign w:val="bottom"/>
            <w:hideMark/>
          </w:tcPr>
          <w:p w14:paraId="72190EA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646,075</w:t>
            </w:r>
          </w:p>
        </w:tc>
        <w:tc>
          <w:tcPr>
            <w:tcW w:w="1265" w:type="dxa"/>
            <w:tcBorders>
              <w:top w:val="nil"/>
              <w:left w:val="nil"/>
              <w:bottom w:val="nil"/>
              <w:right w:val="nil"/>
            </w:tcBorders>
            <w:shd w:val="clear" w:color="auto" w:fill="auto"/>
            <w:vAlign w:val="bottom"/>
            <w:hideMark/>
          </w:tcPr>
          <w:p w14:paraId="4654ACF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643,400</w:t>
            </w:r>
          </w:p>
        </w:tc>
        <w:tc>
          <w:tcPr>
            <w:tcW w:w="1265" w:type="dxa"/>
            <w:tcBorders>
              <w:top w:val="nil"/>
              <w:left w:val="nil"/>
              <w:bottom w:val="nil"/>
              <w:right w:val="nil"/>
            </w:tcBorders>
            <w:shd w:val="clear" w:color="auto" w:fill="auto"/>
            <w:vAlign w:val="bottom"/>
            <w:hideMark/>
          </w:tcPr>
          <w:p w14:paraId="397C1024"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534,400</w:t>
            </w:r>
          </w:p>
        </w:tc>
        <w:tc>
          <w:tcPr>
            <w:tcW w:w="1265" w:type="dxa"/>
            <w:tcBorders>
              <w:top w:val="nil"/>
              <w:left w:val="nil"/>
              <w:bottom w:val="nil"/>
              <w:right w:val="nil"/>
            </w:tcBorders>
            <w:shd w:val="clear" w:color="auto" w:fill="auto"/>
            <w:vAlign w:val="bottom"/>
            <w:hideMark/>
          </w:tcPr>
          <w:p w14:paraId="67840673"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586,120</w:t>
            </w:r>
          </w:p>
        </w:tc>
        <w:tc>
          <w:tcPr>
            <w:tcW w:w="1265" w:type="dxa"/>
            <w:tcBorders>
              <w:top w:val="nil"/>
              <w:left w:val="nil"/>
              <w:bottom w:val="nil"/>
              <w:right w:val="nil"/>
            </w:tcBorders>
            <w:shd w:val="clear" w:color="auto" w:fill="auto"/>
            <w:vAlign w:val="bottom"/>
            <w:hideMark/>
          </w:tcPr>
          <w:p w14:paraId="4EF84DA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717,880</w:t>
            </w:r>
          </w:p>
        </w:tc>
        <w:tc>
          <w:tcPr>
            <w:tcW w:w="1265" w:type="dxa"/>
            <w:tcBorders>
              <w:top w:val="nil"/>
              <w:left w:val="nil"/>
              <w:bottom w:val="nil"/>
              <w:right w:val="nil"/>
            </w:tcBorders>
            <w:shd w:val="clear" w:color="auto" w:fill="auto"/>
            <w:vAlign w:val="bottom"/>
            <w:hideMark/>
          </w:tcPr>
          <w:p w14:paraId="26C804B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739,600</w:t>
            </w:r>
          </w:p>
        </w:tc>
      </w:tr>
      <w:tr w:rsidR="00140D64" w:rsidRPr="00CA3AFC" w14:paraId="05569778" w14:textId="77777777" w:rsidTr="009847FB">
        <w:tc>
          <w:tcPr>
            <w:tcW w:w="1437" w:type="dxa"/>
            <w:tcBorders>
              <w:top w:val="nil"/>
              <w:left w:val="nil"/>
              <w:bottom w:val="nil"/>
              <w:right w:val="nil"/>
            </w:tcBorders>
            <w:shd w:val="clear" w:color="auto" w:fill="auto"/>
            <w:hideMark/>
          </w:tcPr>
          <w:p w14:paraId="3305F8DC"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F</w:t>
            </w:r>
            <w:r w:rsidRPr="00CA3AFC">
              <w:rPr>
                <w:rFonts w:ascii="Times New Roman" w:eastAsia="PMingLiU" w:hAnsi="Times New Roman" w:cs="Times New Roman"/>
                <w:i/>
                <w:vertAlign w:val="subscript"/>
                <w:lang w:val="en-AU"/>
              </w:rPr>
              <w:t>mult</w:t>
            </w:r>
          </w:p>
        </w:tc>
        <w:tc>
          <w:tcPr>
            <w:tcW w:w="1264" w:type="dxa"/>
            <w:tcBorders>
              <w:top w:val="nil"/>
              <w:left w:val="nil"/>
              <w:bottom w:val="nil"/>
              <w:right w:val="nil"/>
            </w:tcBorders>
            <w:shd w:val="clear" w:color="auto" w:fill="auto"/>
            <w:vAlign w:val="bottom"/>
            <w:hideMark/>
          </w:tcPr>
          <w:p w14:paraId="0728D024"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1.34</w:t>
            </w:r>
          </w:p>
        </w:tc>
        <w:tc>
          <w:tcPr>
            <w:tcW w:w="1265" w:type="dxa"/>
            <w:tcBorders>
              <w:top w:val="nil"/>
              <w:left w:val="nil"/>
              <w:bottom w:val="nil"/>
              <w:right w:val="nil"/>
            </w:tcBorders>
            <w:shd w:val="clear" w:color="auto" w:fill="auto"/>
            <w:vAlign w:val="bottom"/>
            <w:hideMark/>
          </w:tcPr>
          <w:p w14:paraId="43C59BB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1.36</w:t>
            </w:r>
          </w:p>
        </w:tc>
        <w:tc>
          <w:tcPr>
            <w:tcW w:w="1265" w:type="dxa"/>
            <w:tcBorders>
              <w:top w:val="nil"/>
              <w:left w:val="nil"/>
              <w:bottom w:val="nil"/>
              <w:right w:val="nil"/>
            </w:tcBorders>
            <w:shd w:val="clear" w:color="auto" w:fill="auto"/>
            <w:vAlign w:val="bottom"/>
            <w:hideMark/>
          </w:tcPr>
          <w:p w14:paraId="0EF4976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0.88</w:t>
            </w:r>
          </w:p>
        </w:tc>
        <w:tc>
          <w:tcPr>
            <w:tcW w:w="1265" w:type="dxa"/>
            <w:tcBorders>
              <w:top w:val="nil"/>
              <w:left w:val="nil"/>
              <w:bottom w:val="nil"/>
              <w:right w:val="nil"/>
            </w:tcBorders>
            <w:shd w:val="clear" w:color="auto" w:fill="auto"/>
            <w:vAlign w:val="bottom"/>
            <w:hideMark/>
          </w:tcPr>
          <w:p w14:paraId="585FFF1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1.03</w:t>
            </w:r>
          </w:p>
        </w:tc>
        <w:tc>
          <w:tcPr>
            <w:tcW w:w="1265" w:type="dxa"/>
            <w:tcBorders>
              <w:top w:val="nil"/>
              <w:left w:val="nil"/>
              <w:bottom w:val="nil"/>
              <w:right w:val="nil"/>
            </w:tcBorders>
            <w:shd w:val="clear" w:color="auto" w:fill="auto"/>
            <w:vAlign w:val="bottom"/>
            <w:hideMark/>
          </w:tcPr>
          <w:p w14:paraId="75C8E3B3"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1.61</w:t>
            </w:r>
          </w:p>
        </w:tc>
        <w:tc>
          <w:tcPr>
            <w:tcW w:w="1265" w:type="dxa"/>
            <w:tcBorders>
              <w:top w:val="nil"/>
              <w:left w:val="nil"/>
              <w:bottom w:val="nil"/>
              <w:right w:val="nil"/>
            </w:tcBorders>
            <w:shd w:val="clear" w:color="auto" w:fill="auto"/>
            <w:vAlign w:val="bottom"/>
            <w:hideMark/>
          </w:tcPr>
          <w:p w14:paraId="36D4308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1.86</w:t>
            </w:r>
          </w:p>
        </w:tc>
      </w:tr>
      <w:tr w:rsidR="00140D64" w:rsidRPr="00CA3AFC" w14:paraId="50B07833" w14:textId="77777777" w:rsidTr="009847FB">
        <w:tc>
          <w:tcPr>
            <w:tcW w:w="1437" w:type="dxa"/>
            <w:tcBorders>
              <w:top w:val="nil"/>
              <w:left w:val="nil"/>
              <w:bottom w:val="nil"/>
              <w:right w:val="nil"/>
            </w:tcBorders>
            <w:shd w:val="clear" w:color="auto" w:fill="auto"/>
            <w:hideMark/>
          </w:tcPr>
          <w:p w14:paraId="65FD83B3"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F</w:t>
            </w:r>
            <w:r w:rsidRPr="00CA3AFC">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14:paraId="49B25134"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0.12</w:t>
            </w:r>
          </w:p>
        </w:tc>
        <w:tc>
          <w:tcPr>
            <w:tcW w:w="1265" w:type="dxa"/>
            <w:tcBorders>
              <w:top w:val="nil"/>
              <w:left w:val="nil"/>
              <w:bottom w:val="nil"/>
              <w:right w:val="nil"/>
            </w:tcBorders>
            <w:shd w:val="clear" w:color="auto" w:fill="auto"/>
            <w:vAlign w:val="bottom"/>
            <w:hideMark/>
          </w:tcPr>
          <w:p w14:paraId="58E2164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0.12</w:t>
            </w:r>
          </w:p>
        </w:tc>
        <w:tc>
          <w:tcPr>
            <w:tcW w:w="1265" w:type="dxa"/>
            <w:tcBorders>
              <w:top w:val="nil"/>
              <w:left w:val="nil"/>
              <w:bottom w:val="nil"/>
              <w:right w:val="nil"/>
            </w:tcBorders>
            <w:shd w:val="clear" w:color="auto" w:fill="auto"/>
            <w:vAlign w:val="bottom"/>
            <w:hideMark/>
          </w:tcPr>
          <w:p w14:paraId="747E5CB7"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0.07</w:t>
            </w:r>
          </w:p>
        </w:tc>
        <w:tc>
          <w:tcPr>
            <w:tcW w:w="1265" w:type="dxa"/>
            <w:tcBorders>
              <w:top w:val="nil"/>
              <w:left w:val="nil"/>
              <w:bottom w:val="nil"/>
              <w:right w:val="nil"/>
            </w:tcBorders>
            <w:shd w:val="clear" w:color="auto" w:fill="auto"/>
            <w:vAlign w:val="bottom"/>
            <w:hideMark/>
          </w:tcPr>
          <w:p w14:paraId="2EB7C30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0.10</w:t>
            </w:r>
          </w:p>
        </w:tc>
        <w:tc>
          <w:tcPr>
            <w:tcW w:w="1265" w:type="dxa"/>
            <w:tcBorders>
              <w:top w:val="nil"/>
              <w:left w:val="nil"/>
              <w:bottom w:val="nil"/>
              <w:right w:val="nil"/>
            </w:tcBorders>
            <w:shd w:val="clear" w:color="auto" w:fill="auto"/>
            <w:vAlign w:val="bottom"/>
            <w:hideMark/>
          </w:tcPr>
          <w:p w14:paraId="5AC1C8C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0.14</w:t>
            </w:r>
          </w:p>
        </w:tc>
        <w:tc>
          <w:tcPr>
            <w:tcW w:w="1265" w:type="dxa"/>
            <w:tcBorders>
              <w:top w:val="nil"/>
              <w:left w:val="nil"/>
              <w:bottom w:val="nil"/>
              <w:right w:val="nil"/>
            </w:tcBorders>
            <w:shd w:val="clear" w:color="auto" w:fill="auto"/>
            <w:vAlign w:val="bottom"/>
            <w:hideMark/>
          </w:tcPr>
          <w:p w14:paraId="5740169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0.16</w:t>
            </w:r>
          </w:p>
        </w:tc>
      </w:tr>
      <w:tr w:rsidR="00140D64" w:rsidRPr="00CA3AFC" w14:paraId="46FCF34A" w14:textId="77777777" w:rsidTr="009847FB">
        <w:tc>
          <w:tcPr>
            <w:tcW w:w="1437" w:type="dxa"/>
            <w:tcBorders>
              <w:top w:val="nil"/>
              <w:left w:val="nil"/>
              <w:bottom w:val="nil"/>
              <w:right w:val="nil"/>
            </w:tcBorders>
            <w:shd w:val="clear" w:color="auto" w:fill="auto"/>
            <w:hideMark/>
          </w:tcPr>
          <w:p w14:paraId="1D001D56"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F</w:t>
            </w:r>
            <w:r w:rsidRPr="00CA3AFC">
              <w:rPr>
                <w:rFonts w:ascii="Times New Roman" w:eastAsia="PMingLiU" w:hAnsi="Times New Roman" w:cs="Times New Roman"/>
                <w:i/>
                <w:vertAlign w:val="subscript"/>
                <w:lang w:val="en-AU"/>
              </w:rPr>
              <w:t>recent</w:t>
            </w:r>
            <w:r w:rsidRPr="00CA3AFC">
              <w:rPr>
                <w:rFonts w:ascii="Times New Roman" w:eastAsia="PMingLiU" w:hAnsi="Times New Roman" w:cs="Times New Roman"/>
                <w:i/>
                <w:lang w:val="en-AU"/>
              </w:rPr>
              <w:t>/F</w:t>
            </w:r>
            <w:r w:rsidRPr="00CA3AFC">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14:paraId="287239C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0.77</w:t>
            </w:r>
          </w:p>
        </w:tc>
        <w:tc>
          <w:tcPr>
            <w:tcW w:w="1265" w:type="dxa"/>
            <w:tcBorders>
              <w:top w:val="nil"/>
              <w:left w:val="nil"/>
              <w:bottom w:val="nil"/>
              <w:right w:val="nil"/>
            </w:tcBorders>
            <w:shd w:val="clear" w:color="auto" w:fill="auto"/>
            <w:vAlign w:val="bottom"/>
            <w:hideMark/>
          </w:tcPr>
          <w:p w14:paraId="411FFA83"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0.74</w:t>
            </w:r>
          </w:p>
        </w:tc>
        <w:tc>
          <w:tcPr>
            <w:tcW w:w="1265" w:type="dxa"/>
            <w:tcBorders>
              <w:top w:val="nil"/>
              <w:left w:val="nil"/>
              <w:bottom w:val="nil"/>
              <w:right w:val="nil"/>
            </w:tcBorders>
            <w:shd w:val="clear" w:color="auto" w:fill="auto"/>
            <w:vAlign w:val="bottom"/>
            <w:hideMark/>
          </w:tcPr>
          <w:p w14:paraId="02DA3E4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0.54</w:t>
            </w:r>
          </w:p>
        </w:tc>
        <w:tc>
          <w:tcPr>
            <w:tcW w:w="1265" w:type="dxa"/>
            <w:tcBorders>
              <w:top w:val="nil"/>
              <w:left w:val="nil"/>
              <w:bottom w:val="nil"/>
              <w:right w:val="nil"/>
            </w:tcBorders>
            <w:shd w:val="clear" w:color="auto" w:fill="auto"/>
            <w:vAlign w:val="bottom"/>
            <w:hideMark/>
          </w:tcPr>
          <w:p w14:paraId="0994A0C3"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0.62</w:t>
            </w:r>
          </w:p>
        </w:tc>
        <w:tc>
          <w:tcPr>
            <w:tcW w:w="1265" w:type="dxa"/>
            <w:tcBorders>
              <w:top w:val="nil"/>
              <w:left w:val="nil"/>
              <w:bottom w:val="nil"/>
              <w:right w:val="nil"/>
            </w:tcBorders>
            <w:shd w:val="clear" w:color="auto" w:fill="auto"/>
            <w:vAlign w:val="bottom"/>
            <w:hideMark/>
          </w:tcPr>
          <w:p w14:paraId="25E8005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0.97</w:t>
            </w:r>
          </w:p>
        </w:tc>
        <w:tc>
          <w:tcPr>
            <w:tcW w:w="1265" w:type="dxa"/>
            <w:tcBorders>
              <w:top w:val="nil"/>
              <w:left w:val="nil"/>
              <w:bottom w:val="nil"/>
              <w:right w:val="nil"/>
            </w:tcBorders>
            <w:shd w:val="clear" w:color="auto" w:fill="auto"/>
            <w:vAlign w:val="bottom"/>
            <w:hideMark/>
          </w:tcPr>
          <w:p w14:paraId="50617CC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1.13</w:t>
            </w:r>
          </w:p>
        </w:tc>
      </w:tr>
      <w:tr w:rsidR="00140D64" w:rsidRPr="00CA3AFC" w14:paraId="40960CA3" w14:textId="77777777" w:rsidTr="009847FB">
        <w:tc>
          <w:tcPr>
            <w:tcW w:w="1437" w:type="dxa"/>
            <w:tcBorders>
              <w:top w:val="nil"/>
              <w:left w:val="nil"/>
              <w:bottom w:val="nil"/>
              <w:right w:val="nil"/>
            </w:tcBorders>
            <w:shd w:val="clear" w:color="auto" w:fill="auto"/>
            <w:hideMark/>
          </w:tcPr>
          <w:p w14:paraId="710E2BF5"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14:paraId="47B93A2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544,762</w:t>
            </w:r>
          </w:p>
        </w:tc>
        <w:tc>
          <w:tcPr>
            <w:tcW w:w="1265" w:type="dxa"/>
            <w:tcBorders>
              <w:top w:val="nil"/>
              <w:left w:val="nil"/>
              <w:bottom w:val="nil"/>
              <w:right w:val="nil"/>
            </w:tcBorders>
            <w:shd w:val="clear" w:color="auto" w:fill="auto"/>
            <w:vAlign w:val="bottom"/>
            <w:hideMark/>
          </w:tcPr>
          <w:p w14:paraId="27F9F15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581,400</w:t>
            </w:r>
          </w:p>
        </w:tc>
        <w:tc>
          <w:tcPr>
            <w:tcW w:w="1265" w:type="dxa"/>
            <w:tcBorders>
              <w:top w:val="nil"/>
              <w:left w:val="nil"/>
              <w:bottom w:val="nil"/>
              <w:right w:val="nil"/>
            </w:tcBorders>
            <w:shd w:val="clear" w:color="auto" w:fill="auto"/>
            <w:vAlign w:val="bottom"/>
            <w:hideMark/>
          </w:tcPr>
          <w:p w14:paraId="3AAD8A4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186,800</w:t>
            </w:r>
          </w:p>
        </w:tc>
        <w:tc>
          <w:tcPr>
            <w:tcW w:w="1265" w:type="dxa"/>
            <w:tcBorders>
              <w:top w:val="nil"/>
              <w:left w:val="nil"/>
              <w:bottom w:val="nil"/>
              <w:right w:val="nil"/>
            </w:tcBorders>
            <w:shd w:val="clear" w:color="auto" w:fill="auto"/>
            <w:vAlign w:val="bottom"/>
            <w:hideMark/>
          </w:tcPr>
          <w:p w14:paraId="2E9D90B1"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253,320</w:t>
            </w:r>
          </w:p>
        </w:tc>
        <w:tc>
          <w:tcPr>
            <w:tcW w:w="1265" w:type="dxa"/>
            <w:tcBorders>
              <w:top w:val="nil"/>
              <w:left w:val="nil"/>
              <w:bottom w:val="nil"/>
              <w:right w:val="nil"/>
            </w:tcBorders>
            <w:shd w:val="clear" w:color="auto" w:fill="auto"/>
            <w:vAlign w:val="bottom"/>
            <w:hideMark/>
          </w:tcPr>
          <w:p w14:paraId="6DC4AF2A"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786,260</w:t>
            </w:r>
          </w:p>
        </w:tc>
        <w:tc>
          <w:tcPr>
            <w:tcW w:w="1265" w:type="dxa"/>
            <w:tcBorders>
              <w:top w:val="nil"/>
              <w:left w:val="nil"/>
              <w:bottom w:val="nil"/>
              <w:right w:val="nil"/>
            </w:tcBorders>
            <w:shd w:val="clear" w:color="auto" w:fill="auto"/>
            <w:vAlign w:val="bottom"/>
            <w:hideMark/>
          </w:tcPr>
          <w:p w14:paraId="2D80C86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946,800</w:t>
            </w:r>
          </w:p>
        </w:tc>
      </w:tr>
      <w:tr w:rsidR="00140D64" w:rsidRPr="00CA3AFC" w14:paraId="0EE4C510" w14:textId="77777777" w:rsidTr="009847FB">
        <w:tc>
          <w:tcPr>
            <w:tcW w:w="1437" w:type="dxa"/>
            <w:tcBorders>
              <w:top w:val="nil"/>
              <w:left w:val="nil"/>
              <w:bottom w:val="nil"/>
              <w:right w:val="nil"/>
            </w:tcBorders>
            <w:shd w:val="clear" w:color="auto" w:fill="auto"/>
            <w:hideMark/>
          </w:tcPr>
          <w:p w14:paraId="576F9989"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0</w:t>
            </w:r>
          </w:p>
        </w:tc>
        <w:tc>
          <w:tcPr>
            <w:tcW w:w="1264" w:type="dxa"/>
            <w:tcBorders>
              <w:top w:val="nil"/>
              <w:left w:val="nil"/>
              <w:bottom w:val="nil"/>
              <w:right w:val="nil"/>
            </w:tcBorders>
            <w:shd w:val="clear" w:color="auto" w:fill="auto"/>
            <w:vAlign w:val="bottom"/>
            <w:hideMark/>
          </w:tcPr>
          <w:p w14:paraId="6F62122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2,199,750</w:t>
            </w:r>
          </w:p>
        </w:tc>
        <w:tc>
          <w:tcPr>
            <w:tcW w:w="1265" w:type="dxa"/>
            <w:tcBorders>
              <w:top w:val="nil"/>
              <w:left w:val="nil"/>
              <w:bottom w:val="nil"/>
              <w:right w:val="nil"/>
            </w:tcBorders>
            <w:shd w:val="clear" w:color="auto" w:fill="auto"/>
            <w:vAlign w:val="bottom"/>
            <w:hideMark/>
          </w:tcPr>
          <w:p w14:paraId="206060C1"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2,290,000</w:t>
            </w:r>
          </w:p>
        </w:tc>
        <w:tc>
          <w:tcPr>
            <w:tcW w:w="1265" w:type="dxa"/>
            <w:tcBorders>
              <w:top w:val="nil"/>
              <w:left w:val="nil"/>
              <w:bottom w:val="nil"/>
              <w:right w:val="nil"/>
            </w:tcBorders>
            <w:shd w:val="clear" w:color="auto" w:fill="auto"/>
            <w:vAlign w:val="bottom"/>
            <w:hideMark/>
          </w:tcPr>
          <w:p w14:paraId="2C6C914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1,197,000</w:t>
            </w:r>
          </w:p>
        </w:tc>
        <w:tc>
          <w:tcPr>
            <w:tcW w:w="1265" w:type="dxa"/>
            <w:tcBorders>
              <w:top w:val="nil"/>
              <w:left w:val="nil"/>
              <w:bottom w:val="nil"/>
              <w:right w:val="nil"/>
            </w:tcBorders>
            <w:shd w:val="clear" w:color="auto" w:fill="auto"/>
            <w:vAlign w:val="bottom"/>
            <w:hideMark/>
          </w:tcPr>
          <w:p w14:paraId="5C0DF701"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1,366,600</w:t>
            </w:r>
          </w:p>
        </w:tc>
        <w:tc>
          <w:tcPr>
            <w:tcW w:w="1265" w:type="dxa"/>
            <w:tcBorders>
              <w:top w:val="nil"/>
              <w:left w:val="nil"/>
              <w:bottom w:val="nil"/>
              <w:right w:val="nil"/>
            </w:tcBorders>
            <w:shd w:val="clear" w:color="auto" w:fill="auto"/>
            <w:vAlign w:val="bottom"/>
            <w:hideMark/>
          </w:tcPr>
          <w:p w14:paraId="1EC9D3A2"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2,784,500</w:t>
            </w:r>
          </w:p>
        </w:tc>
        <w:tc>
          <w:tcPr>
            <w:tcW w:w="1265" w:type="dxa"/>
            <w:tcBorders>
              <w:top w:val="nil"/>
              <w:left w:val="nil"/>
              <w:bottom w:val="nil"/>
              <w:right w:val="nil"/>
            </w:tcBorders>
            <w:shd w:val="clear" w:color="auto" w:fill="auto"/>
            <w:vAlign w:val="bottom"/>
            <w:hideMark/>
          </w:tcPr>
          <w:p w14:paraId="3FC8A167"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3,256,000</w:t>
            </w:r>
          </w:p>
        </w:tc>
      </w:tr>
      <w:tr w:rsidR="00140D64" w:rsidRPr="00CA3AFC" w14:paraId="00BD0A27" w14:textId="77777777" w:rsidTr="009847FB">
        <w:tc>
          <w:tcPr>
            <w:tcW w:w="1437" w:type="dxa"/>
            <w:tcBorders>
              <w:top w:val="nil"/>
              <w:left w:val="nil"/>
              <w:bottom w:val="nil"/>
              <w:right w:val="nil"/>
            </w:tcBorders>
            <w:shd w:val="clear" w:color="auto" w:fill="auto"/>
            <w:hideMark/>
          </w:tcPr>
          <w:p w14:paraId="7968A5B7"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Malgun Gothic" w:hAnsi="Times New Roman" w:cs="Times New Roman"/>
                <w:vertAlign w:val="subscript"/>
                <w:lang w:val="en-AU"/>
              </w:rPr>
              <w:t>MSY</w:t>
            </w: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0</w:t>
            </w:r>
          </w:p>
        </w:tc>
        <w:tc>
          <w:tcPr>
            <w:tcW w:w="1264" w:type="dxa"/>
            <w:tcBorders>
              <w:top w:val="nil"/>
              <w:left w:val="nil"/>
              <w:bottom w:val="nil"/>
              <w:right w:val="nil"/>
            </w:tcBorders>
            <w:shd w:val="clear" w:color="auto" w:fill="auto"/>
            <w:vAlign w:val="bottom"/>
            <w:hideMark/>
          </w:tcPr>
          <w:p w14:paraId="3EAA5272"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0.24</w:t>
            </w:r>
          </w:p>
        </w:tc>
        <w:tc>
          <w:tcPr>
            <w:tcW w:w="1265" w:type="dxa"/>
            <w:tcBorders>
              <w:top w:val="nil"/>
              <w:left w:val="nil"/>
              <w:bottom w:val="nil"/>
              <w:right w:val="nil"/>
            </w:tcBorders>
            <w:shd w:val="clear" w:color="auto" w:fill="auto"/>
            <w:vAlign w:val="bottom"/>
            <w:hideMark/>
          </w:tcPr>
          <w:p w14:paraId="2729A7B9"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0.24</w:t>
            </w:r>
          </w:p>
        </w:tc>
        <w:tc>
          <w:tcPr>
            <w:tcW w:w="1265" w:type="dxa"/>
            <w:tcBorders>
              <w:top w:val="nil"/>
              <w:left w:val="nil"/>
              <w:bottom w:val="nil"/>
              <w:right w:val="nil"/>
            </w:tcBorders>
            <w:shd w:val="clear" w:color="auto" w:fill="auto"/>
            <w:vAlign w:val="bottom"/>
            <w:hideMark/>
          </w:tcPr>
          <w:p w14:paraId="0414228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0.15</w:t>
            </w:r>
          </w:p>
        </w:tc>
        <w:tc>
          <w:tcPr>
            <w:tcW w:w="1265" w:type="dxa"/>
            <w:tcBorders>
              <w:top w:val="nil"/>
              <w:left w:val="nil"/>
              <w:bottom w:val="nil"/>
              <w:right w:val="nil"/>
            </w:tcBorders>
            <w:shd w:val="clear" w:color="auto" w:fill="auto"/>
            <w:vAlign w:val="bottom"/>
            <w:hideMark/>
          </w:tcPr>
          <w:p w14:paraId="137E337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0.18</w:t>
            </w:r>
          </w:p>
        </w:tc>
        <w:tc>
          <w:tcPr>
            <w:tcW w:w="1265" w:type="dxa"/>
            <w:tcBorders>
              <w:top w:val="nil"/>
              <w:left w:val="nil"/>
              <w:bottom w:val="nil"/>
              <w:right w:val="nil"/>
            </w:tcBorders>
            <w:shd w:val="clear" w:color="auto" w:fill="auto"/>
            <w:vAlign w:val="bottom"/>
            <w:hideMark/>
          </w:tcPr>
          <w:p w14:paraId="6B8A526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0.28</w:t>
            </w:r>
          </w:p>
        </w:tc>
        <w:tc>
          <w:tcPr>
            <w:tcW w:w="1265" w:type="dxa"/>
            <w:tcBorders>
              <w:top w:val="nil"/>
              <w:left w:val="nil"/>
              <w:bottom w:val="nil"/>
              <w:right w:val="nil"/>
            </w:tcBorders>
            <w:shd w:val="clear" w:color="auto" w:fill="auto"/>
            <w:vAlign w:val="bottom"/>
            <w:hideMark/>
          </w:tcPr>
          <w:p w14:paraId="3488D76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0.34</w:t>
            </w:r>
          </w:p>
        </w:tc>
      </w:tr>
      <w:tr w:rsidR="00140D64" w:rsidRPr="00CA3AFC" w14:paraId="3B6568E6" w14:textId="77777777" w:rsidTr="009847FB">
        <w:tc>
          <w:tcPr>
            <w:tcW w:w="1437" w:type="dxa"/>
            <w:tcBorders>
              <w:top w:val="nil"/>
              <w:left w:val="nil"/>
              <w:bottom w:val="nil"/>
              <w:right w:val="nil"/>
            </w:tcBorders>
            <w:shd w:val="clear" w:color="auto" w:fill="auto"/>
            <w:hideMark/>
          </w:tcPr>
          <w:p w14:paraId="6F3B2B52"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14:paraId="4BF9C8A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2,083,477</w:t>
            </w:r>
          </w:p>
        </w:tc>
        <w:tc>
          <w:tcPr>
            <w:tcW w:w="1265" w:type="dxa"/>
            <w:tcBorders>
              <w:top w:val="nil"/>
              <w:left w:val="nil"/>
              <w:bottom w:val="nil"/>
              <w:right w:val="nil"/>
            </w:tcBorders>
            <w:shd w:val="clear" w:color="auto" w:fill="auto"/>
            <w:vAlign w:val="bottom"/>
            <w:hideMark/>
          </w:tcPr>
          <w:p w14:paraId="48926D6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2,178,220</w:t>
            </w:r>
          </w:p>
        </w:tc>
        <w:tc>
          <w:tcPr>
            <w:tcW w:w="1265" w:type="dxa"/>
            <w:tcBorders>
              <w:top w:val="nil"/>
              <w:left w:val="nil"/>
              <w:bottom w:val="nil"/>
              <w:right w:val="nil"/>
            </w:tcBorders>
            <w:shd w:val="clear" w:color="auto" w:fill="auto"/>
            <w:vAlign w:val="bottom"/>
            <w:hideMark/>
          </w:tcPr>
          <w:p w14:paraId="347CDD7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1,193,336</w:t>
            </w:r>
          </w:p>
        </w:tc>
        <w:tc>
          <w:tcPr>
            <w:tcW w:w="1265" w:type="dxa"/>
            <w:tcBorders>
              <w:top w:val="nil"/>
              <w:left w:val="nil"/>
              <w:bottom w:val="nil"/>
              <w:right w:val="nil"/>
            </w:tcBorders>
            <w:shd w:val="clear" w:color="auto" w:fill="auto"/>
            <w:vAlign w:val="bottom"/>
            <w:hideMark/>
          </w:tcPr>
          <w:p w14:paraId="3549FE0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1,351,946</w:t>
            </w:r>
          </w:p>
        </w:tc>
        <w:tc>
          <w:tcPr>
            <w:tcW w:w="1265" w:type="dxa"/>
            <w:tcBorders>
              <w:top w:val="nil"/>
              <w:left w:val="nil"/>
              <w:bottom w:val="nil"/>
              <w:right w:val="nil"/>
            </w:tcBorders>
            <w:shd w:val="clear" w:color="auto" w:fill="auto"/>
            <w:vAlign w:val="bottom"/>
            <w:hideMark/>
          </w:tcPr>
          <w:p w14:paraId="72A2D81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2,643,390</w:t>
            </w:r>
          </w:p>
        </w:tc>
        <w:tc>
          <w:tcPr>
            <w:tcW w:w="1265" w:type="dxa"/>
            <w:tcBorders>
              <w:top w:val="nil"/>
              <w:left w:val="nil"/>
              <w:bottom w:val="nil"/>
              <w:right w:val="nil"/>
            </w:tcBorders>
            <w:shd w:val="clear" w:color="auto" w:fill="auto"/>
            <w:vAlign w:val="bottom"/>
            <w:hideMark/>
          </w:tcPr>
          <w:p w14:paraId="6C48AEC3"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2,845,244</w:t>
            </w:r>
          </w:p>
        </w:tc>
      </w:tr>
      <w:tr w:rsidR="00140D64" w:rsidRPr="00CA3AFC" w14:paraId="4BA7F3D8" w14:textId="77777777" w:rsidTr="009847FB">
        <w:tc>
          <w:tcPr>
            <w:tcW w:w="1437" w:type="dxa"/>
            <w:tcBorders>
              <w:top w:val="nil"/>
              <w:left w:val="nil"/>
              <w:bottom w:val="nil"/>
              <w:right w:val="nil"/>
            </w:tcBorders>
            <w:shd w:val="clear" w:color="auto" w:fill="auto"/>
            <w:hideMark/>
          </w:tcPr>
          <w:p w14:paraId="3C761559"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Malgun Gothic" w:hAnsi="Times New Roman" w:cs="Times New Roman"/>
                <w:vertAlign w:val="subscript"/>
                <w:lang w:val="en-AU"/>
              </w:rPr>
              <w:t>MSY</w:t>
            </w: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14:paraId="191DD059"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0.25</w:t>
            </w:r>
          </w:p>
        </w:tc>
        <w:tc>
          <w:tcPr>
            <w:tcW w:w="1265" w:type="dxa"/>
            <w:tcBorders>
              <w:top w:val="nil"/>
              <w:left w:val="nil"/>
              <w:bottom w:val="nil"/>
              <w:right w:val="nil"/>
            </w:tcBorders>
            <w:shd w:val="clear" w:color="auto" w:fill="auto"/>
            <w:vAlign w:val="bottom"/>
            <w:hideMark/>
          </w:tcPr>
          <w:p w14:paraId="27CEB81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0.26</w:t>
            </w:r>
          </w:p>
        </w:tc>
        <w:tc>
          <w:tcPr>
            <w:tcW w:w="1265" w:type="dxa"/>
            <w:tcBorders>
              <w:top w:val="nil"/>
              <w:left w:val="nil"/>
              <w:bottom w:val="nil"/>
              <w:right w:val="nil"/>
            </w:tcBorders>
            <w:shd w:val="clear" w:color="auto" w:fill="auto"/>
            <w:vAlign w:val="bottom"/>
            <w:hideMark/>
          </w:tcPr>
          <w:p w14:paraId="4078B7A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0.16</w:t>
            </w:r>
          </w:p>
        </w:tc>
        <w:tc>
          <w:tcPr>
            <w:tcW w:w="1265" w:type="dxa"/>
            <w:tcBorders>
              <w:top w:val="nil"/>
              <w:left w:val="nil"/>
              <w:bottom w:val="nil"/>
              <w:right w:val="nil"/>
            </w:tcBorders>
            <w:shd w:val="clear" w:color="auto" w:fill="auto"/>
            <w:vAlign w:val="bottom"/>
            <w:hideMark/>
          </w:tcPr>
          <w:p w14:paraId="72293F3A"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0.19</w:t>
            </w:r>
          </w:p>
        </w:tc>
        <w:tc>
          <w:tcPr>
            <w:tcW w:w="1265" w:type="dxa"/>
            <w:tcBorders>
              <w:top w:val="nil"/>
              <w:left w:val="nil"/>
              <w:bottom w:val="nil"/>
              <w:right w:val="nil"/>
            </w:tcBorders>
            <w:shd w:val="clear" w:color="auto" w:fill="auto"/>
            <w:vAlign w:val="bottom"/>
            <w:hideMark/>
          </w:tcPr>
          <w:p w14:paraId="336B869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0.30</w:t>
            </w:r>
          </w:p>
        </w:tc>
        <w:tc>
          <w:tcPr>
            <w:tcW w:w="1265" w:type="dxa"/>
            <w:tcBorders>
              <w:top w:val="nil"/>
              <w:left w:val="nil"/>
              <w:bottom w:val="nil"/>
              <w:right w:val="nil"/>
            </w:tcBorders>
            <w:shd w:val="clear" w:color="auto" w:fill="auto"/>
            <w:vAlign w:val="bottom"/>
            <w:hideMark/>
          </w:tcPr>
          <w:p w14:paraId="3F160AC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0.35</w:t>
            </w:r>
          </w:p>
        </w:tc>
      </w:tr>
      <w:tr w:rsidR="00140D64" w:rsidRPr="00CA3AFC" w14:paraId="0DA63730" w14:textId="77777777" w:rsidTr="009847FB">
        <w:tc>
          <w:tcPr>
            <w:tcW w:w="1437" w:type="dxa"/>
            <w:tcBorders>
              <w:top w:val="nil"/>
              <w:left w:val="nil"/>
              <w:bottom w:val="nil"/>
              <w:right w:val="nil"/>
            </w:tcBorders>
            <w:shd w:val="clear" w:color="auto" w:fill="auto"/>
            <w:hideMark/>
          </w:tcPr>
          <w:p w14:paraId="05427BDD"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MS Mincho" w:hAnsi="Times New Roman" w:cs="Times New Roman"/>
                <w:i/>
                <w:lang w:val="en-NZ"/>
              </w:rPr>
              <w:t>SB</w:t>
            </w:r>
            <w:r w:rsidRPr="00CA3AFC">
              <w:rPr>
                <w:rFonts w:ascii="Times New Roman" w:eastAsia="MS Mincho" w:hAnsi="Times New Roman" w:cs="Times New Roman"/>
                <w:i/>
                <w:vertAlign w:val="subscript"/>
                <w:lang w:val="en-NZ"/>
              </w:rPr>
              <w:t>latest</w:t>
            </w:r>
            <w:r w:rsidRPr="00CA3AFC" w:rsidDel="00300F08">
              <w:rPr>
                <w:rFonts w:ascii="Times New Roman" w:eastAsia="PMingLiU" w:hAnsi="Times New Roman" w:cs="Times New Roman"/>
                <w:i/>
                <w:lang w:val="en-AU"/>
              </w:rPr>
              <w:t xml:space="preserve"> </w:t>
            </w: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0</w:t>
            </w:r>
          </w:p>
        </w:tc>
        <w:tc>
          <w:tcPr>
            <w:tcW w:w="1264" w:type="dxa"/>
            <w:tcBorders>
              <w:top w:val="nil"/>
              <w:left w:val="nil"/>
              <w:bottom w:val="nil"/>
              <w:right w:val="nil"/>
            </w:tcBorders>
            <w:shd w:val="clear" w:color="auto" w:fill="auto"/>
            <w:vAlign w:val="bottom"/>
            <w:hideMark/>
          </w:tcPr>
          <w:p w14:paraId="62969151"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0.33</w:t>
            </w:r>
          </w:p>
        </w:tc>
        <w:tc>
          <w:tcPr>
            <w:tcW w:w="1265" w:type="dxa"/>
            <w:tcBorders>
              <w:top w:val="nil"/>
              <w:left w:val="nil"/>
              <w:bottom w:val="nil"/>
              <w:right w:val="nil"/>
            </w:tcBorders>
            <w:shd w:val="clear" w:color="auto" w:fill="auto"/>
            <w:vAlign w:val="bottom"/>
            <w:hideMark/>
          </w:tcPr>
          <w:p w14:paraId="4551CDE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0.34</w:t>
            </w:r>
          </w:p>
        </w:tc>
        <w:tc>
          <w:tcPr>
            <w:tcW w:w="1265" w:type="dxa"/>
            <w:tcBorders>
              <w:top w:val="nil"/>
              <w:left w:val="nil"/>
              <w:bottom w:val="nil"/>
              <w:right w:val="nil"/>
            </w:tcBorders>
            <w:shd w:val="clear" w:color="auto" w:fill="auto"/>
            <w:vAlign w:val="bottom"/>
            <w:hideMark/>
          </w:tcPr>
          <w:p w14:paraId="6E5606D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0.18</w:t>
            </w:r>
          </w:p>
        </w:tc>
        <w:tc>
          <w:tcPr>
            <w:tcW w:w="1265" w:type="dxa"/>
            <w:tcBorders>
              <w:top w:val="nil"/>
              <w:left w:val="nil"/>
              <w:bottom w:val="nil"/>
              <w:right w:val="nil"/>
            </w:tcBorders>
            <w:shd w:val="clear" w:color="auto" w:fill="auto"/>
            <w:vAlign w:val="bottom"/>
            <w:hideMark/>
          </w:tcPr>
          <w:p w14:paraId="7550543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0.23</w:t>
            </w:r>
          </w:p>
        </w:tc>
        <w:tc>
          <w:tcPr>
            <w:tcW w:w="1265" w:type="dxa"/>
            <w:tcBorders>
              <w:top w:val="nil"/>
              <w:left w:val="nil"/>
              <w:bottom w:val="nil"/>
              <w:right w:val="nil"/>
            </w:tcBorders>
            <w:shd w:val="clear" w:color="auto" w:fill="auto"/>
            <w:vAlign w:val="bottom"/>
            <w:hideMark/>
          </w:tcPr>
          <w:p w14:paraId="25BBCF8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0.42</w:t>
            </w:r>
          </w:p>
        </w:tc>
        <w:tc>
          <w:tcPr>
            <w:tcW w:w="1265" w:type="dxa"/>
            <w:tcBorders>
              <w:top w:val="nil"/>
              <w:left w:val="nil"/>
              <w:bottom w:val="nil"/>
              <w:right w:val="nil"/>
            </w:tcBorders>
            <w:shd w:val="clear" w:color="auto" w:fill="auto"/>
            <w:vAlign w:val="bottom"/>
            <w:hideMark/>
          </w:tcPr>
          <w:p w14:paraId="3114FFC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0.45</w:t>
            </w:r>
          </w:p>
        </w:tc>
      </w:tr>
      <w:tr w:rsidR="00140D64" w:rsidRPr="00CA3AFC" w14:paraId="5A703CAE" w14:textId="77777777" w:rsidTr="009847FB">
        <w:tc>
          <w:tcPr>
            <w:tcW w:w="1437" w:type="dxa"/>
            <w:tcBorders>
              <w:top w:val="nil"/>
              <w:left w:val="nil"/>
              <w:bottom w:val="nil"/>
              <w:right w:val="nil"/>
            </w:tcBorders>
            <w:shd w:val="clear" w:color="auto" w:fill="auto"/>
            <w:hideMark/>
          </w:tcPr>
          <w:p w14:paraId="3C9FEC80"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MS Mincho" w:hAnsi="Times New Roman" w:cs="Times New Roman"/>
                <w:i/>
                <w:lang w:val="en-NZ"/>
              </w:rPr>
              <w:t>SB</w:t>
            </w:r>
            <w:r w:rsidRPr="00CA3AFC">
              <w:rPr>
                <w:rFonts w:ascii="Times New Roman" w:eastAsia="MS Mincho" w:hAnsi="Times New Roman" w:cs="Times New Roman"/>
                <w:i/>
                <w:vertAlign w:val="subscript"/>
                <w:lang w:val="en-NZ"/>
              </w:rPr>
              <w:t>latest</w:t>
            </w:r>
            <w:r w:rsidRPr="00CA3AFC" w:rsidDel="00300F08">
              <w:rPr>
                <w:rFonts w:ascii="Times New Roman" w:eastAsia="PMingLiU" w:hAnsi="Times New Roman" w:cs="Times New Roman"/>
                <w:i/>
                <w:lang w:val="en-AU"/>
              </w:rPr>
              <w:t xml:space="preserve"> </w:t>
            </w: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14:paraId="5E40CFF4"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0.35</w:t>
            </w:r>
          </w:p>
        </w:tc>
        <w:tc>
          <w:tcPr>
            <w:tcW w:w="1265" w:type="dxa"/>
            <w:tcBorders>
              <w:top w:val="nil"/>
              <w:left w:val="nil"/>
              <w:bottom w:val="nil"/>
              <w:right w:val="nil"/>
            </w:tcBorders>
            <w:shd w:val="clear" w:color="auto" w:fill="auto"/>
            <w:vAlign w:val="bottom"/>
            <w:hideMark/>
          </w:tcPr>
          <w:p w14:paraId="77769B3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0.37</w:t>
            </w:r>
          </w:p>
        </w:tc>
        <w:tc>
          <w:tcPr>
            <w:tcW w:w="1265" w:type="dxa"/>
            <w:tcBorders>
              <w:top w:val="nil"/>
              <w:left w:val="nil"/>
              <w:bottom w:val="nil"/>
              <w:right w:val="nil"/>
            </w:tcBorders>
            <w:shd w:val="clear" w:color="auto" w:fill="auto"/>
            <w:vAlign w:val="bottom"/>
            <w:hideMark/>
          </w:tcPr>
          <w:p w14:paraId="1C2E0D3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0.16</w:t>
            </w:r>
          </w:p>
        </w:tc>
        <w:tc>
          <w:tcPr>
            <w:tcW w:w="1265" w:type="dxa"/>
            <w:tcBorders>
              <w:top w:val="nil"/>
              <w:left w:val="nil"/>
              <w:bottom w:val="nil"/>
              <w:right w:val="nil"/>
            </w:tcBorders>
            <w:shd w:val="clear" w:color="auto" w:fill="auto"/>
            <w:vAlign w:val="bottom"/>
            <w:hideMark/>
          </w:tcPr>
          <w:p w14:paraId="2DBE98B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0.22</w:t>
            </w:r>
          </w:p>
        </w:tc>
        <w:tc>
          <w:tcPr>
            <w:tcW w:w="1265" w:type="dxa"/>
            <w:tcBorders>
              <w:top w:val="nil"/>
              <w:left w:val="nil"/>
              <w:bottom w:val="nil"/>
              <w:right w:val="nil"/>
            </w:tcBorders>
            <w:shd w:val="clear" w:color="auto" w:fill="auto"/>
            <w:vAlign w:val="bottom"/>
            <w:hideMark/>
          </w:tcPr>
          <w:p w14:paraId="03F600E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0.46</w:t>
            </w:r>
          </w:p>
        </w:tc>
        <w:tc>
          <w:tcPr>
            <w:tcW w:w="1265" w:type="dxa"/>
            <w:tcBorders>
              <w:top w:val="nil"/>
              <w:left w:val="nil"/>
              <w:bottom w:val="nil"/>
              <w:right w:val="nil"/>
            </w:tcBorders>
            <w:shd w:val="clear" w:color="auto" w:fill="auto"/>
            <w:vAlign w:val="bottom"/>
            <w:hideMark/>
          </w:tcPr>
          <w:p w14:paraId="0F8E200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0.50</w:t>
            </w:r>
          </w:p>
        </w:tc>
      </w:tr>
      <w:tr w:rsidR="00140D64" w:rsidRPr="00CA3AFC" w14:paraId="0AAED959" w14:textId="77777777" w:rsidTr="009847FB">
        <w:tc>
          <w:tcPr>
            <w:tcW w:w="1437" w:type="dxa"/>
            <w:tcBorders>
              <w:top w:val="nil"/>
              <w:left w:val="nil"/>
              <w:bottom w:val="nil"/>
              <w:right w:val="nil"/>
            </w:tcBorders>
            <w:shd w:val="clear" w:color="auto" w:fill="auto"/>
            <w:hideMark/>
          </w:tcPr>
          <w:p w14:paraId="1ED4D4A0"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MS Mincho" w:hAnsi="Times New Roman" w:cs="Times New Roman"/>
                <w:i/>
                <w:lang w:val="en-NZ"/>
              </w:rPr>
              <w:t>SB</w:t>
            </w:r>
            <w:r w:rsidRPr="00CA3AFC">
              <w:rPr>
                <w:rFonts w:ascii="Times New Roman" w:eastAsia="MS Mincho" w:hAnsi="Times New Roman" w:cs="Times New Roman"/>
                <w:i/>
                <w:vertAlign w:val="subscript"/>
                <w:lang w:val="en-NZ"/>
              </w:rPr>
              <w:t>latest</w:t>
            </w:r>
            <w:r w:rsidRPr="00CA3AFC" w:rsidDel="00300F08">
              <w:rPr>
                <w:rFonts w:ascii="Times New Roman" w:eastAsia="PMingLiU" w:hAnsi="Times New Roman" w:cs="Times New Roman"/>
                <w:i/>
                <w:lang w:val="en-AU"/>
              </w:rPr>
              <w:t xml:space="preserve"> </w:t>
            </w:r>
            <w:r w:rsidRPr="00CA3AFC">
              <w:rPr>
                <w:rFonts w:ascii="Times New Roman" w:eastAsia="PMingLiU" w:hAnsi="Times New Roman" w:cs="Times New Roman"/>
                <w:i/>
                <w:lang w:val="en-AU"/>
              </w:rPr>
              <w:t>/SB</w:t>
            </w:r>
            <w:r w:rsidRPr="00CA3AFC">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14:paraId="65EDC9C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1.40</w:t>
            </w:r>
          </w:p>
        </w:tc>
        <w:tc>
          <w:tcPr>
            <w:tcW w:w="1265" w:type="dxa"/>
            <w:tcBorders>
              <w:top w:val="nil"/>
              <w:left w:val="nil"/>
              <w:bottom w:val="nil"/>
              <w:right w:val="nil"/>
            </w:tcBorders>
            <w:shd w:val="clear" w:color="auto" w:fill="auto"/>
            <w:vAlign w:val="bottom"/>
            <w:hideMark/>
          </w:tcPr>
          <w:p w14:paraId="6E63A8D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1.39</w:t>
            </w:r>
          </w:p>
        </w:tc>
        <w:tc>
          <w:tcPr>
            <w:tcW w:w="1265" w:type="dxa"/>
            <w:tcBorders>
              <w:top w:val="nil"/>
              <w:left w:val="nil"/>
              <w:bottom w:val="nil"/>
              <w:right w:val="nil"/>
            </w:tcBorders>
            <w:shd w:val="clear" w:color="auto" w:fill="auto"/>
            <w:vAlign w:val="bottom"/>
            <w:hideMark/>
          </w:tcPr>
          <w:p w14:paraId="00514B7A"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0.80</w:t>
            </w:r>
          </w:p>
        </w:tc>
        <w:tc>
          <w:tcPr>
            <w:tcW w:w="1265" w:type="dxa"/>
            <w:tcBorders>
              <w:top w:val="nil"/>
              <w:left w:val="nil"/>
              <w:bottom w:val="nil"/>
              <w:right w:val="nil"/>
            </w:tcBorders>
            <w:shd w:val="clear" w:color="auto" w:fill="auto"/>
            <w:vAlign w:val="bottom"/>
            <w:hideMark/>
          </w:tcPr>
          <w:p w14:paraId="49C9351A"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1.02</w:t>
            </w:r>
          </w:p>
        </w:tc>
        <w:tc>
          <w:tcPr>
            <w:tcW w:w="1265" w:type="dxa"/>
            <w:tcBorders>
              <w:top w:val="nil"/>
              <w:left w:val="nil"/>
              <w:bottom w:val="nil"/>
              <w:right w:val="nil"/>
            </w:tcBorders>
            <w:shd w:val="clear" w:color="auto" w:fill="auto"/>
            <w:vAlign w:val="bottom"/>
            <w:hideMark/>
          </w:tcPr>
          <w:p w14:paraId="4706FF9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1.80</w:t>
            </w:r>
          </w:p>
        </w:tc>
        <w:tc>
          <w:tcPr>
            <w:tcW w:w="1265" w:type="dxa"/>
            <w:tcBorders>
              <w:top w:val="nil"/>
              <w:left w:val="nil"/>
              <w:bottom w:val="nil"/>
              <w:right w:val="nil"/>
            </w:tcBorders>
            <w:shd w:val="clear" w:color="auto" w:fill="auto"/>
            <w:vAlign w:val="bottom"/>
            <w:hideMark/>
          </w:tcPr>
          <w:p w14:paraId="7288F1B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1.91</w:t>
            </w:r>
          </w:p>
        </w:tc>
      </w:tr>
      <w:tr w:rsidR="00140D64" w:rsidRPr="00CA3AFC" w14:paraId="12F773D1" w14:textId="77777777" w:rsidTr="009847FB">
        <w:tc>
          <w:tcPr>
            <w:tcW w:w="1437" w:type="dxa"/>
            <w:tcBorders>
              <w:top w:val="nil"/>
              <w:left w:val="nil"/>
              <w:bottom w:val="nil"/>
              <w:right w:val="nil"/>
            </w:tcBorders>
            <w:shd w:val="clear" w:color="auto" w:fill="auto"/>
            <w:hideMark/>
          </w:tcPr>
          <w:p w14:paraId="70D4DE35"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recent</w:t>
            </w: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14:paraId="315D7DE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0.32</w:t>
            </w:r>
          </w:p>
        </w:tc>
        <w:tc>
          <w:tcPr>
            <w:tcW w:w="1265" w:type="dxa"/>
            <w:tcBorders>
              <w:top w:val="nil"/>
              <w:left w:val="nil"/>
              <w:bottom w:val="nil"/>
              <w:right w:val="nil"/>
            </w:tcBorders>
            <w:shd w:val="clear" w:color="auto" w:fill="auto"/>
            <w:vAlign w:val="bottom"/>
            <w:hideMark/>
          </w:tcPr>
          <w:p w14:paraId="6AB4016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0.33</w:t>
            </w:r>
          </w:p>
        </w:tc>
        <w:tc>
          <w:tcPr>
            <w:tcW w:w="1265" w:type="dxa"/>
            <w:tcBorders>
              <w:top w:val="nil"/>
              <w:left w:val="nil"/>
              <w:bottom w:val="nil"/>
              <w:right w:val="nil"/>
            </w:tcBorders>
            <w:shd w:val="clear" w:color="auto" w:fill="auto"/>
            <w:vAlign w:val="bottom"/>
            <w:hideMark/>
          </w:tcPr>
          <w:p w14:paraId="16A78BC4"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0.15</w:t>
            </w:r>
          </w:p>
        </w:tc>
        <w:tc>
          <w:tcPr>
            <w:tcW w:w="1265" w:type="dxa"/>
            <w:tcBorders>
              <w:top w:val="nil"/>
              <w:left w:val="nil"/>
              <w:bottom w:val="nil"/>
              <w:right w:val="nil"/>
            </w:tcBorders>
            <w:shd w:val="clear" w:color="auto" w:fill="auto"/>
            <w:vAlign w:val="bottom"/>
            <w:hideMark/>
          </w:tcPr>
          <w:p w14:paraId="34A9978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0.20</w:t>
            </w:r>
          </w:p>
        </w:tc>
        <w:tc>
          <w:tcPr>
            <w:tcW w:w="1265" w:type="dxa"/>
            <w:tcBorders>
              <w:top w:val="nil"/>
              <w:left w:val="nil"/>
              <w:bottom w:val="nil"/>
              <w:right w:val="nil"/>
            </w:tcBorders>
            <w:shd w:val="clear" w:color="auto" w:fill="auto"/>
            <w:vAlign w:val="bottom"/>
            <w:hideMark/>
          </w:tcPr>
          <w:p w14:paraId="6926C7C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0.41</w:t>
            </w:r>
          </w:p>
        </w:tc>
        <w:tc>
          <w:tcPr>
            <w:tcW w:w="1265" w:type="dxa"/>
            <w:tcBorders>
              <w:top w:val="nil"/>
              <w:left w:val="nil"/>
              <w:bottom w:val="nil"/>
              <w:right w:val="nil"/>
            </w:tcBorders>
            <w:shd w:val="clear" w:color="auto" w:fill="auto"/>
            <w:vAlign w:val="bottom"/>
            <w:hideMark/>
          </w:tcPr>
          <w:p w14:paraId="0FCBA7F7"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0.46</w:t>
            </w:r>
          </w:p>
        </w:tc>
      </w:tr>
      <w:tr w:rsidR="00140D64" w:rsidRPr="00CA3AFC" w14:paraId="09C8D2A8" w14:textId="77777777" w:rsidTr="009847FB">
        <w:tc>
          <w:tcPr>
            <w:tcW w:w="1437" w:type="dxa"/>
            <w:tcBorders>
              <w:top w:val="nil"/>
              <w:left w:val="nil"/>
              <w:bottom w:val="single" w:sz="4" w:space="0" w:color="auto"/>
              <w:right w:val="nil"/>
            </w:tcBorders>
            <w:shd w:val="clear" w:color="auto" w:fill="auto"/>
            <w:hideMark/>
          </w:tcPr>
          <w:p w14:paraId="3A22DE89"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recent</w:t>
            </w:r>
            <w:r w:rsidRPr="00CA3AFC">
              <w:rPr>
                <w:rFonts w:ascii="Times New Roman" w:eastAsia="PMingLiU" w:hAnsi="Times New Roman" w:cs="Times New Roman"/>
                <w:i/>
                <w:lang w:val="en-AU"/>
              </w:rPr>
              <w:t>/SB</w:t>
            </w:r>
            <w:r w:rsidRPr="00CA3AFC">
              <w:rPr>
                <w:rFonts w:ascii="Times New Roman" w:eastAsia="Malgun Gothic" w:hAnsi="Times New Roman" w:cs="Times New Roman"/>
                <w:vertAlign w:val="subscript"/>
                <w:lang w:val="en-AU"/>
              </w:rPr>
              <w:t>MSY</w:t>
            </w:r>
          </w:p>
        </w:tc>
        <w:tc>
          <w:tcPr>
            <w:tcW w:w="1264" w:type="dxa"/>
            <w:tcBorders>
              <w:top w:val="nil"/>
              <w:left w:val="nil"/>
              <w:bottom w:val="single" w:sz="4" w:space="0" w:color="auto"/>
              <w:right w:val="nil"/>
            </w:tcBorders>
            <w:shd w:val="clear" w:color="auto" w:fill="auto"/>
            <w:vAlign w:val="bottom"/>
            <w:hideMark/>
          </w:tcPr>
          <w:p w14:paraId="66BFFDCA"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1.40</w:t>
            </w:r>
          </w:p>
        </w:tc>
        <w:tc>
          <w:tcPr>
            <w:tcW w:w="1265" w:type="dxa"/>
            <w:tcBorders>
              <w:top w:val="nil"/>
              <w:left w:val="nil"/>
              <w:bottom w:val="single" w:sz="4" w:space="0" w:color="auto"/>
              <w:right w:val="nil"/>
            </w:tcBorders>
            <w:shd w:val="clear" w:color="auto" w:fill="auto"/>
            <w:vAlign w:val="bottom"/>
            <w:hideMark/>
          </w:tcPr>
          <w:p w14:paraId="6E782E4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1.41</w:t>
            </w:r>
          </w:p>
        </w:tc>
        <w:tc>
          <w:tcPr>
            <w:tcW w:w="1265" w:type="dxa"/>
            <w:tcBorders>
              <w:top w:val="nil"/>
              <w:left w:val="nil"/>
              <w:bottom w:val="single" w:sz="4" w:space="0" w:color="auto"/>
              <w:right w:val="nil"/>
            </w:tcBorders>
            <w:shd w:val="clear" w:color="auto" w:fill="auto"/>
            <w:vAlign w:val="bottom"/>
            <w:hideMark/>
          </w:tcPr>
          <w:p w14:paraId="139482A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0.81</w:t>
            </w:r>
          </w:p>
        </w:tc>
        <w:tc>
          <w:tcPr>
            <w:tcW w:w="1265" w:type="dxa"/>
            <w:tcBorders>
              <w:top w:val="nil"/>
              <w:left w:val="nil"/>
              <w:bottom w:val="single" w:sz="4" w:space="0" w:color="auto"/>
              <w:right w:val="nil"/>
            </w:tcBorders>
            <w:shd w:val="clear" w:color="auto" w:fill="auto"/>
            <w:vAlign w:val="bottom"/>
            <w:hideMark/>
          </w:tcPr>
          <w:p w14:paraId="4366373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1.05</w:t>
            </w:r>
          </w:p>
        </w:tc>
        <w:tc>
          <w:tcPr>
            <w:tcW w:w="1265" w:type="dxa"/>
            <w:tcBorders>
              <w:top w:val="nil"/>
              <w:left w:val="nil"/>
              <w:bottom w:val="single" w:sz="4" w:space="0" w:color="auto"/>
              <w:right w:val="nil"/>
            </w:tcBorders>
            <w:shd w:val="clear" w:color="auto" w:fill="auto"/>
            <w:vAlign w:val="bottom"/>
            <w:hideMark/>
          </w:tcPr>
          <w:p w14:paraId="4361D37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1.71</w:t>
            </w:r>
          </w:p>
        </w:tc>
        <w:tc>
          <w:tcPr>
            <w:tcW w:w="1265" w:type="dxa"/>
            <w:tcBorders>
              <w:top w:val="nil"/>
              <w:left w:val="nil"/>
              <w:bottom w:val="single" w:sz="4" w:space="0" w:color="auto"/>
              <w:right w:val="nil"/>
            </w:tcBorders>
            <w:shd w:val="clear" w:color="auto" w:fill="auto"/>
            <w:vAlign w:val="bottom"/>
            <w:hideMark/>
          </w:tcPr>
          <w:p w14:paraId="1AFA2777"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1.93</w:t>
            </w:r>
          </w:p>
        </w:tc>
      </w:tr>
    </w:tbl>
    <w:p w14:paraId="78462303" w14:textId="77777777" w:rsidR="00140D64" w:rsidRPr="00CA3AFC" w:rsidRDefault="00140D64" w:rsidP="00167819">
      <w:pPr>
        <w:adjustRightInd w:val="0"/>
        <w:snapToGrid w:val="0"/>
        <w:spacing w:after="0" w:line="240" w:lineRule="auto"/>
        <w:ind w:left="567"/>
        <w:jc w:val="both"/>
        <w:rPr>
          <w:rFonts w:ascii="Times New Roman" w:eastAsia="Malgun Gothic" w:hAnsi="Times New Roman" w:cs="Times New Roman"/>
          <w:b/>
          <w:lang w:val="en-NZ" w:eastAsia="en-NZ"/>
        </w:rPr>
      </w:pPr>
    </w:p>
    <w:p w14:paraId="35BA1BD5"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noted that the central tendency of relative recent spawning biomass was median (SB</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/SB</w:t>
      </w:r>
      <w:r w:rsidRPr="00167819">
        <w:rPr>
          <w:rFonts w:ascii="Times New Roman" w:eastAsia="Malgun Gothic" w:hAnsi="Times New Roman" w:cs="Times New Roman"/>
          <w:bCs/>
          <w:vertAlign w:val="subscript"/>
          <w:lang w:val="en-AU"/>
        </w:rPr>
        <w:t>F=0</w:t>
      </w:r>
      <w:r w:rsidRPr="00167819">
        <w:rPr>
          <w:rFonts w:ascii="Times New Roman" w:eastAsia="Malgun Gothic" w:hAnsi="Times New Roman" w:cs="Times New Roman"/>
          <w:bCs/>
          <w:lang w:val="en-AU"/>
        </w:rPr>
        <w:t>) = 0.33 with a probable range of 0.20 to 0.41 (80% probable range), and there was a roughly 8% probability (4 out of 48 models) that the recent spawning biomass had breached the adopted LRP with Prob((SB</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/SB</w:t>
      </w:r>
      <w:r w:rsidRPr="00167819">
        <w:rPr>
          <w:rFonts w:ascii="Times New Roman" w:eastAsia="Malgun Gothic" w:hAnsi="Times New Roman" w:cs="Times New Roman"/>
          <w:bCs/>
          <w:vertAlign w:val="subscript"/>
          <w:lang w:val="en-AU"/>
        </w:rPr>
        <w:t>F=0</w:t>
      </w:r>
      <w:r w:rsidRPr="00167819">
        <w:rPr>
          <w:rFonts w:ascii="Times New Roman" w:eastAsia="Malgun Gothic" w:hAnsi="Times New Roman" w:cs="Times New Roman"/>
          <w:bCs/>
          <w:lang w:val="en-AU"/>
        </w:rPr>
        <w:t>)&lt;0.2) = 0.08. The median estimate (0.33) is</w:t>
      </w:r>
      <w:r w:rsidRPr="00167819">
        <w:rPr>
          <w:rFonts w:ascii="Times New Roman" w:eastAsia="Malgun Gothic" w:hAnsi="Times New Roman" w:cs="Times New Roman"/>
          <w:bCs/>
          <w:lang w:val="en-AU"/>
        </w:rPr>
        <w:t xml:space="preserve">　</w:t>
      </w:r>
      <w:r w:rsidRPr="00167819">
        <w:rPr>
          <w:rFonts w:ascii="Times New Roman" w:eastAsia="Malgun Gothic" w:hAnsi="Times New Roman" w:cs="Times New Roman"/>
          <w:bCs/>
          <w:lang w:val="en-AU"/>
        </w:rPr>
        <w:t>below that estimated from the 2014 assessment grid</w:t>
      </w:r>
      <w:r w:rsidRPr="00167819">
        <w:rPr>
          <w:rFonts w:ascii="Times New Roman" w:eastAsia="Malgun Gothic" w:hAnsi="Times New Roman" w:cs="Times New Roman"/>
          <w:bCs/>
          <w:lang w:val="en-AU" w:eastAsia="ko-KR"/>
        </w:rPr>
        <w:t xml:space="preserve"> </w:t>
      </w:r>
      <w:r w:rsidRPr="00167819">
        <w:rPr>
          <w:rFonts w:ascii="Times New Roman" w:eastAsia="Malgun Gothic" w:hAnsi="Times New Roman" w:cs="Times New Roman"/>
          <w:bCs/>
          <w:lang w:val="en-AU"/>
        </w:rPr>
        <w:t>((SB</w:t>
      </w:r>
      <w:r w:rsidRPr="00167819">
        <w:rPr>
          <w:rFonts w:ascii="Times New Roman" w:eastAsia="Malgun Gothic" w:hAnsi="Times New Roman" w:cs="Times New Roman"/>
          <w:bCs/>
          <w:vertAlign w:val="subscript"/>
          <w:lang w:val="en-AU"/>
        </w:rPr>
        <w:t>current</w:t>
      </w:r>
      <w:r w:rsidRPr="00167819">
        <w:rPr>
          <w:rFonts w:ascii="Times New Roman" w:eastAsia="Malgun Gothic" w:hAnsi="Times New Roman" w:cs="Times New Roman"/>
          <w:bCs/>
          <w:lang w:val="en-AU"/>
        </w:rPr>
        <w:t>/SB</w:t>
      </w:r>
      <w:r w:rsidRPr="00167819">
        <w:rPr>
          <w:rFonts w:ascii="Times New Roman" w:eastAsia="Malgun Gothic" w:hAnsi="Times New Roman" w:cs="Times New Roman"/>
          <w:bCs/>
          <w:vertAlign w:val="subscript"/>
          <w:lang w:val="en-AU"/>
        </w:rPr>
        <w:t>F=0</w:t>
      </w:r>
      <w:r w:rsidRPr="00167819">
        <w:rPr>
          <w:rFonts w:ascii="Times New Roman" w:eastAsia="Malgun Gothic" w:hAnsi="Times New Roman" w:cs="Times New Roman"/>
          <w:bCs/>
          <w:lang w:val="en-AU"/>
        </w:rPr>
        <w:t xml:space="preserve">) = 0.41, see SC10-SA-WP-04), noting the differences in grid uncertainty axes used in that assessment. </w:t>
      </w:r>
    </w:p>
    <w:p w14:paraId="3FCA8A07" w14:textId="77777777" w:rsidR="00140D64" w:rsidRPr="00167819" w:rsidRDefault="00140D64" w:rsidP="00167819">
      <w:pPr>
        <w:autoSpaceDE w:val="0"/>
        <w:autoSpaceDN w:val="0"/>
        <w:adjustRightInd w:val="0"/>
        <w:snapToGrid w:val="0"/>
        <w:spacing w:after="0" w:line="240" w:lineRule="auto"/>
        <w:jc w:val="both"/>
        <w:rPr>
          <w:rFonts w:ascii="Times New Roman" w:eastAsia="Malgun Gothic" w:hAnsi="Times New Roman" w:cs="Times New Roman"/>
          <w:bCs/>
          <w:lang w:val="en-AU"/>
        </w:rPr>
      </w:pPr>
    </w:p>
    <w:p w14:paraId="581E0B9A"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noted that the central tendency of relative recent fishing mortality was median (F</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 = 0.74 with an 80% probability interval of 0.62 to 0.97, and there was a roughly 4% probability (2 out of 48 models) that the recent fishing mortality was above 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 xml:space="preserve"> with Prob((F</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)&gt;1) = 0.04. The median estimate (0.74) is also comparable to that estimated from the 2014 assessment grid (F</w:t>
      </w:r>
      <w:r w:rsidRPr="00167819">
        <w:rPr>
          <w:rFonts w:ascii="Times New Roman" w:eastAsia="Malgun Gothic" w:hAnsi="Times New Roman" w:cs="Times New Roman"/>
          <w:bCs/>
          <w:vertAlign w:val="subscript"/>
          <w:lang w:val="en-AU"/>
        </w:rPr>
        <w:t>current</w:t>
      </w:r>
      <w:r w:rsidRPr="00167819">
        <w:rPr>
          <w:rFonts w:ascii="Times New Roman" w:eastAsia="Malgun Gothic" w:hAnsi="Times New Roman" w:cs="Times New Roman"/>
          <w:bCs/>
          <w:lang w:val="en-AU"/>
        </w:rPr>
        <w:t>/F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 xml:space="preserve"> = 0.76, see SC10-SA-WP-04) </w:t>
      </w:r>
    </w:p>
    <w:p w14:paraId="13B003B7" w14:textId="77777777" w:rsidR="00140D64" w:rsidRPr="00167819" w:rsidRDefault="00140D64" w:rsidP="00167819">
      <w:pPr>
        <w:adjustRightInd w:val="0"/>
        <w:snapToGrid w:val="0"/>
        <w:spacing w:after="0" w:line="240" w:lineRule="auto"/>
        <w:ind w:left="720" w:hanging="720"/>
        <w:jc w:val="both"/>
        <w:rPr>
          <w:rFonts w:ascii="Times New Roman" w:eastAsia="Malgun Gothic" w:hAnsi="Times New Roman" w:cs="Times New Roman"/>
          <w:bCs/>
          <w:lang w:val="en-AU"/>
        </w:rPr>
      </w:pPr>
    </w:p>
    <w:p w14:paraId="628B451E"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 xml:space="preserve">SC13 noted that the assessment results show that the stock has been continuously declining for about 50 years since the late 1960’s. </w:t>
      </w:r>
    </w:p>
    <w:p w14:paraId="13E76E3C" w14:textId="77777777" w:rsidR="00140D64" w:rsidRPr="00167819" w:rsidRDefault="00140D64" w:rsidP="00167819">
      <w:pPr>
        <w:adjustRightInd w:val="0"/>
        <w:snapToGrid w:val="0"/>
        <w:spacing w:after="0" w:line="240" w:lineRule="auto"/>
        <w:ind w:left="720" w:hanging="720"/>
        <w:jc w:val="both"/>
        <w:rPr>
          <w:rFonts w:ascii="Times New Roman" w:eastAsia="Malgun Gothic" w:hAnsi="Times New Roman" w:cs="Times New Roman"/>
          <w:bCs/>
          <w:lang w:val="en-AU"/>
        </w:rPr>
      </w:pPr>
    </w:p>
    <w:p w14:paraId="307CC193"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also noted that levels of fishing mortality and depletion differ between regions, and that fishery impact was highest in the tropical region (Regions 3, 4, 7 and 8 in the stock assessment model), mainly due to the purse seine fisheries in the equatorial Pacific and the “other” fisheries within the Western Pacific (as shown in Figure 44 of SC13-SA-WP-06).</w:t>
      </w:r>
    </w:p>
    <w:p w14:paraId="3D1AECB5" w14:textId="77777777" w:rsidR="00140D64" w:rsidRPr="00CA3AFC" w:rsidRDefault="00140D64" w:rsidP="00167819">
      <w:pPr>
        <w:adjustRightInd w:val="0"/>
        <w:snapToGrid w:val="0"/>
        <w:spacing w:after="0" w:line="240" w:lineRule="auto"/>
        <w:ind w:left="720" w:hanging="720"/>
        <w:jc w:val="both"/>
        <w:rPr>
          <w:rFonts w:ascii="Times New Roman" w:eastAsia="Malgun Gothic" w:hAnsi="Times New Roman" w:cs="Times New Roman"/>
          <w:b/>
          <w:lang w:val="en-AU"/>
        </w:rPr>
      </w:pPr>
    </w:p>
    <w:p w14:paraId="4CF7C075" w14:textId="77777777" w:rsidR="00140D64" w:rsidRPr="00CA3AFC" w:rsidRDefault="00140D64" w:rsidP="00F56124">
      <w:pPr>
        <w:numPr>
          <w:ilvl w:val="0"/>
          <w:numId w:val="4"/>
        </w:numPr>
        <w:adjustRightInd w:val="0"/>
        <w:snapToGrid w:val="0"/>
        <w:spacing w:after="0" w:line="240" w:lineRule="auto"/>
        <w:ind w:left="0" w:firstLine="0"/>
        <w:jc w:val="both"/>
        <w:rPr>
          <w:rFonts w:ascii="Times New Roman" w:eastAsia="Malgun Gothic" w:hAnsi="Times New Roman" w:cs="Times New Roman"/>
          <w:b/>
          <w:lang w:val="en-NZ" w:eastAsia="en-NZ"/>
        </w:rPr>
      </w:pPr>
      <w:r w:rsidRPr="00CA3AFC">
        <w:rPr>
          <w:rFonts w:ascii="Times New Roman" w:eastAsia="Malgun Gothic" w:hAnsi="Times New Roman" w:cs="Times New Roman"/>
          <w:b/>
          <w:lang w:val="en-NZ" w:eastAsia="en-NZ"/>
        </w:rPr>
        <w:t>Management advice and implications</w:t>
      </w:r>
    </w:p>
    <w:p w14:paraId="579F2723" w14:textId="77777777" w:rsidR="00140D64" w:rsidRPr="00CA3AFC" w:rsidRDefault="00140D64" w:rsidP="00167819">
      <w:pPr>
        <w:adjustRightInd w:val="0"/>
        <w:snapToGrid w:val="0"/>
        <w:spacing w:after="0" w:line="240" w:lineRule="auto"/>
        <w:ind w:left="720"/>
        <w:jc w:val="both"/>
        <w:rPr>
          <w:rFonts w:ascii="Times New Roman" w:eastAsia="Malgun Gothic" w:hAnsi="Times New Roman" w:cs="Times New Roman"/>
          <w:b/>
          <w:lang w:val="en-NZ" w:eastAsia="en-NZ"/>
        </w:rPr>
      </w:pPr>
    </w:p>
    <w:p w14:paraId="0FAD535E"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Based on the uncertainty grid adopted by SC13 the spawning biomass is highly likely above the biomass LRP and recent F is highly likely below 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 xml:space="preserve">, and therefore noting the level of uncertainties in the current assessment </w:t>
      </w:r>
      <w:r w:rsidRPr="00167819">
        <w:rPr>
          <w:rFonts w:ascii="Times New Roman" w:eastAsia="Malgun Gothic" w:hAnsi="Times New Roman" w:cs="Times New Roman"/>
          <w:bCs/>
          <w:lang w:val="en-AU" w:eastAsia="ko-KR"/>
        </w:rPr>
        <w:t>it</w:t>
      </w:r>
      <w:r w:rsidRPr="00167819">
        <w:rPr>
          <w:rFonts w:ascii="Times New Roman" w:eastAsia="Malgun Gothic" w:hAnsi="Times New Roman" w:cs="Times New Roman"/>
          <w:bCs/>
          <w:lang w:val="en-AU"/>
        </w:rPr>
        <w:t xml:space="preserve"> appears that the stock is not experiencing overfishing 96% probability) and it appears that the stock is not in an overfished condition (92% probability).</w:t>
      </w:r>
    </w:p>
    <w:p w14:paraId="0763F4F9" w14:textId="77777777" w:rsidR="00140D64" w:rsidRPr="00167819" w:rsidRDefault="00140D64" w:rsidP="00167819">
      <w:pPr>
        <w:autoSpaceDE w:val="0"/>
        <w:autoSpaceDN w:val="0"/>
        <w:adjustRightInd w:val="0"/>
        <w:snapToGrid w:val="0"/>
        <w:spacing w:after="0" w:line="240" w:lineRule="auto"/>
        <w:jc w:val="both"/>
        <w:rPr>
          <w:rFonts w:ascii="Times New Roman" w:eastAsia="Malgun Gothic" w:hAnsi="Times New Roman" w:cs="Times New Roman"/>
          <w:bCs/>
          <w:lang w:val="en-AU"/>
        </w:rPr>
      </w:pPr>
    </w:p>
    <w:p w14:paraId="20B9B44C"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lastRenderedPageBreak/>
        <w:t>Based on the diagnostic case, both juvenile and adult fishing mortality show a steady increase since the 1970s. Adult fishing mortality has increased continuously over most of the time series, while juvenile fishing mortality has stabilized since the late 1990s at a level similar to that now estimated for adult yellowfin.</w:t>
      </w:r>
    </w:p>
    <w:p w14:paraId="0F469829" w14:textId="77777777" w:rsidR="00140D64" w:rsidRPr="00167819" w:rsidRDefault="00140D64" w:rsidP="00167819">
      <w:pPr>
        <w:adjustRightInd w:val="0"/>
        <w:snapToGrid w:val="0"/>
        <w:spacing w:after="0" w:line="240" w:lineRule="auto"/>
        <w:ind w:left="720" w:hanging="720"/>
        <w:jc w:val="both"/>
        <w:rPr>
          <w:rFonts w:ascii="Times New Roman" w:eastAsia="Malgun Gothic" w:hAnsi="Times New Roman" w:cs="Times New Roman"/>
          <w:bCs/>
          <w:lang w:val="en-AU"/>
        </w:rPr>
      </w:pPr>
    </w:p>
    <w:p w14:paraId="22481A7D"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reiterates its previous advice from SC10 that WCPFC could consider measures to reduce fishing mortality from fisheries that take juveniles, with the goal to increase to maximum fishery yields and reduce any further impacts on the spawning potential for this stock in the tropical regions.</w:t>
      </w:r>
    </w:p>
    <w:p w14:paraId="432CECBA" w14:textId="77777777" w:rsidR="00140D64" w:rsidRPr="00167819" w:rsidRDefault="00140D64" w:rsidP="00167819">
      <w:pPr>
        <w:adjustRightInd w:val="0"/>
        <w:snapToGrid w:val="0"/>
        <w:spacing w:after="0" w:line="240" w:lineRule="auto"/>
        <w:ind w:left="720" w:hanging="720"/>
        <w:jc w:val="both"/>
        <w:rPr>
          <w:rFonts w:ascii="Times New Roman" w:eastAsia="Malgun Gothic" w:hAnsi="Times New Roman" w:cs="Times New Roman"/>
          <w:bCs/>
          <w:lang w:val="en-AU"/>
        </w:rPr>
      </w:pPr>
    </w:p>
    <w:p w14:paraId="2D8261B4"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also reiterates its previous advice from SC10 that measures should be implemented to maintain current spawning biomass levels until the Commission can agree on an appropriate target reference point (TRP).</w:t>
      </w:r>
    </w:p>
    <w:p w14:paraId="7DEB10D3" w14:textId="77777777" w:rsidR="00140D64" w:rsidRPr="00CA3AFC" w:rsidRDefault="00140D64" w:rsidP="00167819">
      <w:pPr>
        <w:adjustRightInd w:val="0"/>
        <w:snapToGrid w:val="0"/>
        <w:spacing w:after="0" w:line="240" w:lineRule="auto"/>
        <w:ind w:left="720" w:hanging="720"/>
        <w:jc w:val="both"/>
        <w:rPr>
          <w:rFonts w:ascii="Times New Roman" w:eastAsia="Malgun Gothic" w:hAnsi="Times New Roman" w:cs="Times New Roman"/>
          <w:b/>
          <w:lang w:val="en-AU"/>
        </w:rPr>
      </w:pPr>
    </w:p>
    <w:p w14:paraId="3DF17812" w14:textId="77777777" w:rsidR="00140D64" w:rsidRPr="00CA3AFC" w:rsidRDefault="00140D64" w:rsidP="00167819">
      <w:pPr>
        <w:adjustRightInd w:val="0"/>
        <w:snapToGrid w:val="0"/>
        <w:spacing w:after="0" w:line="240" w:lineRule="auto"/>
        <w:jc w:val="both"/>
        <w:rPr>
          <w:rFonts w:ascii="Times New Roman" w:eastAsia="Malgun Gothic" w:hAnsi="Times New Roman" w:cs="Times New Roman"/>
          <w:b/>
          <w:lang w:val="en-NZ" w:eastAsia="en-NZ"/>
        </w:rPr>
      </w:pPr>
      <w:r w:rsidRPr="00CA3AFC">
        <w:rPr>
          <w:rFonts w:ascii="Times New Roman" w:eastAsia="Malgun Gothic" w:hAnsi="Times New Roman" w:cs="Times New Roman"/>
          <w:b/>
          <w:lang w:val="en-NZ" w:eastAsia="en-NZ"/>
        </w:rPr>
        <w:t>Research Recommendations</w:t>
      </w:r>
    </w:p>
    <w:p w14:paraId="73982978" w14:textId="77777777" w:rsidR="00140D64" w:rsidRPr="00CA3AFC" w:rsidRDefault="00140D64" w:rsidP="00167819">
      <w:pPr>
        <w:adjustRightInd w:val="0"/>
        <w:snapToGrid w:val="0"/>
        <w:spacing w:after="0" w:line="240" w:lineRule="auto"/>
        <w:ind w:left="720"/>
        <w:jc w:val="both"/>
        <w:rPr>
          <w:rFonts w:ascii="Times New Roman" w:eastAsia="Malgun Gothic" w:hAnsi="Times New Roman" w:cs="Times New Roman"/>
          <w:b/>
          <w:lang w:val="en-NZ" w:eastAsia="en-NZ"/>
        </w:rPr>
      </w:pPr>
    </w:p>
    <w:p w14:paraId="2F7BE61E"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recognized that reviewing yellowfin growth through a study of yellowfin otoliths collected from the WCPO and incorporating this into future assessments should be encouraged.</w:t>
      </w:r>
    </w:p>
    <w:p w14:paraId="3F37DAC0" w14:textId="77777777" w:rsidR="005C2B8D" w:rsidRPr="00CA3AFC" w:rsidRDefault="005C2B8D" w:rsidP="00167819">
      <w:pPr>
        <w:adjustRightInd w:val="0"/>
        <w:snapToGrid w:val="0"/>
        <w:spacing w:after="0" w:line="240" w:lineRule="auto"/>
        <w:rPr>
          <w:rFonts w:ascii="Times New Roman" w:hAnsi="Times New Roman" w:cs="Times New Roman"/>
        </w:rPr>
      </w:pPr>
    </w:p>
    <w:p w14:paraId="4965440E" w14:textId="77777777" w:rsidR="00167819" w:rsidRDefault="00167819">
      <w:pPr>
        <w:rPr>
          <w:rFonts w:ascii="Times New Roman" w:eastAsia="MS Mincho" w:hAnsi="Times New Roman" w:cs="Times New Roman"/>
          <w:b/>
          <w:bCs/>
          <w:caps/>
          <w:color w:val="2F5496" w:themeColor="accent1" w:themeShade="BF"/>
          <w:sz w:val="32"/>
          <w:szCs w:val="32"/>
          <w:lang w:val="en-NZ" w:eastAsia="en-NZ"/>
        </w:rPr>
      </w:pPr>
      <w:bookmarkStart w:id="3" w:name="_Toc495323856"/>
      <w:bookmarkStart w:id="4" w:name="_Toc495391344"/>
      <w:r>
        <w:rPr>
          <w:rFonts w:ascii="Times New Roman" w:eastAsia="MS Mincho" w:hAnsi="Times New Roman" w:cs="Times New Roman"/>
          <w:b/>
          <w:bCs/>
          <w:caps/>
          <w:lang w:val="en-NZ" w:eastAsia="en-NZ"/>
        </w:rPr>
        <w:br w:type="page"/>
      </w:r>
    </w:p>
    <w:p w14:paraId="5CCFC706" w14:textId="5AC16C51" w:rsidR="007C0132" w:rsidRPr="00CA3AFC" w:rsidRDefault="007C0132" w:rsidP="00167819">
      <w:pPr>
        <w:pStyle w:val="Heading1"/>
        <w:adjustRightInd w:val="0"/>
        <w:snapToGrid w:val="0"/>
        <w:spacing w:before="0" w:line="240" w:lineRule="auto"/>
        <w:rPr>
          <w:rFonts w:ascii="Times New Roman" w:eastAsia="MS Mincho" w:hAnsi="Times New Roman" w:cs="Times New Roman"/>
          <w:b/>
          <w:bCs/>
          <w:caps/>
          <w:lang w:val="en-NZ" w:eastAsia="en-NZ"/>
        </w:rPr>
      </w:pPr>
      <w:bookmarkStart w:id="5" w:name="_Toc24966481"/>
      <w:r w:rsidRPr="00CA3AFC">
        <w:rPr>
          <w:rFonts w:ascii="Times New Roman" w:eastAsia="MS Mincho" w:hAnsi="Times New Roman" w:cs="Times New Roman"/>
          <w:b/>
          <w:bCs/>
          <w:caps/>
          <w:lang w:val="en-NZ" w:eastAsia="en-NZ"/>
        </w:rPr>
        <w:lastRenderedPageBreak/>
        <w:t>Useful References</w:t>
      </w:r>
      <w:bookmarkEnd w:id="3"/>
      <w:bookmarkEnd w:id="4"/>
      <w:bookmarkEnd w:id="5"/>
    </w:p>
    <w:p w14:paraId="2A1311C4" w14:textId="77777777" w:rsidR="007C0132" w:rsidRPr="00CA3AFC" w:rsidRDefault="007C0132" w:rsidP="00167819">
      <w:pPr>
        <w:adjustRightInd w:val="0"/>
        <w:snapToGrid w:val="0"/>
        <w:spacing w:after="0" w:line="240" w:lineRule="auto"/>
        <w:rPr>
          <w:rFonts w:ascii="Times New Roman" w:hAnsi="Times New Roman" w:cs="Times New Roman"/>
        </w:rPr>
      </w:pPr>
    </w:p>
    <w:p w14:paraId="4D602D18" w14:textId="77777777" w:rsidR="00CE0519" w:rsidRPr="00216714" w:rsidRDefault="00CE0519" w:rsidP="00CE0519">
      <w:pPr>
        <w:adjustRightInd w:val="0"/>
        <w:snapToGrid w:val="0"/>
        <w:spacing w:after="0" w:line="240" w:lineRule="auto"/>
        <w:rPr>
          <w:rFonts w:ascii="Times New Roman" w:hAnsi="Times New Roman" w:cs="Times New Roman"/>
        </w:rPr>
      </w:pPr>
      <w:r w:rsidRPr="00216714">
        <w:rPr>
          <w:rFonts w:ascii="Times New Roman" w:hAnsi="Times New Roman" w:cs="Times New Roman"/>
        </w:rPr>
        <w:t>SC15-</w:t>
      </w:r>
      <w:r w:rsidRPr="00216714">
        <w:rPr>
          <w:rFonts w:ascii="Times New Roman" w:hAnsi="Times New Roman" w:cs="Times New Roman"/>
          <w:lang w:val="en-NZ"/>
        </w:rPr>
        <w:t xml:space="preserve"> SA-WP-01 </w:t>
      </w:r>
      <w:r w:rsidRPr="00216714">
        <w:rPr>
          <w:rFonts w:ascii="Times New Roman" w:hAnsi="Times New Roman" w:cs="Times New Roman"/>
        </w:rPr>
        <w:t xml:space="preserve">A compendium of fisheries indicators for tuna stocks. </w:t>
      </w:r>
      <w:hyperlink r:id="rId23" w:history="1">
        <w:r w:rsidRPr="00216714">
          <w:rPr>
            <w:rStyle w:val="Hyperlink"/>
            <w:rFonts w:ascii="Times New Roman" w:hAnsi="Times New Roman" w:cs="Times New Roman"/>
          </w:rPr>
          <w:t>https://www.wcpfc.int/node/42927</w:t>
        </w:r>
      </w:hyperlink>
    </w:p>
    <w:p w14:paraId="736E0EE7" w14:textId="77777777" w:rsidR="00CE0519" w:rsidRDefault="00CE0519" w:rsidP="00167819">
      <w:pPr>
        <w:adjustRightInd w:val="0"/>
        <w:snapToGrid w:val="0"/>
        <w:spacing w:after="0" w:line="240" w:lineRule="auto"/>
        <w:rPr>
          <w:rFonts w:ascii="Times New Roman" w:hAnsi="Times New Roman" w:cs="Times New Roman"/>
        </w:rPr>
      </w:pPr>
    </w:p>
    <w:p w14:paraId="7778E40D" w14:textId="77777777" w:rsidR="00CE0519" w:rsidRPr="00216714" w:rsidRDefault="00CE0519" w:rsidP="00CE0519">
      <w:pPr>
        <w:adjustRightInd w:val="0"/>
        <w:snapToGrid w:val="0"/>
        <w:spacing w:after="0" w:line="240" w:lineRule="auto"/>
        <w:rPr>
          <w:rFonts w:ascii="Times New Roman" w:hAnsi="Times New Roman" w:cs="Times New Roman"/>
        </w:rPr>
      </w:pPr>
      <w:r w:rsidRPr="00216714">
        <w:rPr>
          <w:rFonts w:ascii="Times New Roman" w:hAnsi="Times New Roman" w:cs="Times New Roman"/>
        </w:rPr>
        <w:t>SC15-</w:t>
      </w:r>
      <w:r w:rsidRPr="00216714">
        <w:rPr>
          <w:rFonts w:ascii="Times New Roman" w:hAnsi="Times New Roman" w:cs="Times New Roman"/>
          <w:lang w:val="en-NZ"/>
        </w:rPr>
        <w:t xml:space="preserve"> SA-WP-02 </w:t>
      </w:r>
      <w:r w:rsidRPr="00216714">
        <w:rPr>
          <w:rFonts w:ascii="Times New Roman" w:hAnsi="Times New Roman" w:cs="Times New Roman"/>
        </w:rPr>
        <w:t xml:space="preserve">Project 94: Workshop on yellowfin and bigeye age and growth. </w:t>
      </w:r>
      <w:bookmarkStart w:id="6" w:name="_GoBack"/>
      <w:bookmarkEnd w:id="6"/>
      <w:r>
        <w:fldChar w:fldCharType="begin"/>
      </w:r>
      <w:r>
        <w:instrText xml:space="preserve"> HYPERLINK "https://www.wcpfc.int/node/42928" </w:instrText>
      </w:r>
      <w:r>
        <w:fldChar w:fldCharType="separate"/>
      </w:r>
      <w:r w:rsidRPr="00216714">
        <w:rPr>
          <w:rStyle w:val="Hyperlink"/>
          <w:rFonts w:ascii="Times New Roman" w:hAnsi="Times New Roman" w:cs="Times New Roman"/>
        </w:rPr>
        <w:t>https://www.wcpfc.int/node/42928</w:t>
      </w:r>
      <w:r>
        <w:rPr>
          <w:rStyle w:val="Hyperlink"/>
          <w:rFonts w:ascii="Times New Roman" w:hAnsi="Times New Roman" w:cs="Times New Roman"/>
        </w:rPr>
        <w:fldChar w:fldCharType="end"/>
      </w:r>
    </w:p>
    <w:p w14:paraId="5DEA7987" w14:textId="44BDF2F8" w:rsidR="00CE0519" w:rsidRDefault="00CE0519" w:rsidP="00167819">
      <w:pPr>
        <w:adjustRightInd w:val="0"/>
        <w:snapToGrid w:val="0"/>
        <w:spacing w:after="0" w:line="240" w:lineRule="auto"/>
        <w:rPr>
          <w:rFonts w:ascii="Times New Roman" w:hAnsi="Times New Roman" w:cs="Times New Roman"/>
        </w:rPr>
      </w:pPr>
    </w:p>
    <w:p w14:paraId="461EE444" w14:textId="75D7E00D" w:rsidR="00CE0519" w:rsidRPr="00CE0519" w:rsidRDefault="00CE0519" w:rsidP="00167819">
      <w:pPr>
        <w:adjustRightInd w:val="0"/>
        <w:snapToGrid w:val="0"/>
        <w:spacing w:after="0" w:line="240" w:lineRule="auto"/>
        <w:rPr>
          <w:rFonts w:ascii="Times New Roman" w:hAnsi="Times New Roman" w:cs="Times New Roman"/>
        </w:rPr>
      </w:pPr>
      <w:r w:rsidRPr="00CE0519">
        <w:rPr>
          <w:rFonts w:ascii="Times New Roman" w:hAnsi="Times New Roman" w:cs="Times New Roman"/>
        </w:rPr>
        <w:t>SC15-</w:t>
      </w:r>
      <w:r w:rsidRPr="00CE0519">
        <w:rPr>
          <w:rFonts w:ascii="Times New Roman" w:hAnsi="Times New Roman" w:cs="Times New Roman"/>
          <w:lang w:val="en-NZ"/>
        </w:rPr>
        <w:t xml:space="preserve"> SA-WP-0</w:t>
      </w:r>
      <w:r w:rsidRPr="00CE0519">
        <w:rPr>
          <w:rFonts w:ascii="Times New Roman" w:hAnsi="Times New Roman" w:cs="Times New Roman"/>
          <w:lang w:val="en-NZ"/>
        </w:rPr>
        <w:t xml:space="preserve">3 </w:t>
      </w:r>
      <w:r w:rsidRPr="00CE0519">
        <w:rPr>
          <w:rFonts w:ascii="Times New Roman" w:hAnsi="Times New Roman" w:cs="Times New Roman"/>
        </w:rPr>
        <w:t>Progress on yellowfin tuna age and growth in the WCPO (Project 82)</w:t>
      </w:r>
      <w:r w:rsidRPr="00CE0519">
        <w:rPr>
          <w:rFonts w:ascii="Times New Roman" w:hAnsi="Times New Roman" w:cs="Times New Roman"/>
        </w:rPr>
        <w:t xml:space="preserve">. </w:t>
      </w:r>
      <w:hyperlink r:id="rId24" w:history="1">
        <w:r w:rsidRPr="00CE0519">
          <w:rPr>
            <w:rStyle w:val="Hyperlink"/>
            <w:rFonts w:ascii="Times New Roman" w:hAnsi="Times New Roman" w:cs="Times New Roman"/>
          </w:rPr>
          <w:t>https://www.wcpfc.int/node/42929</w:t>
        </w:r>
      </w:hyperlink>
    </w:p>
    <w:p w14:paraId="5D44E0F8" w14:textId="3677667B" w:rsidR="00CE0519" w:rsidRDefault="00CE0519" w:rsidP="00167819">
      <w:pPr>
        <w:adjustRightInd w:val="0"/>
        <w:snapToGrid w:val="0"/>
        <w:spacing w:after="0" w:line="240" w:lineRule="auto"/>
        <w:rPr>
          <w:rFonts w:ascii="Times New Roman" w:hAnsi="Times New Roman"/>
          <w:b/>
          <w:bCs/>
        </w:rPr>
      </w:pPr>
    </w:p>
    <w:p w14:paraId="5FBEA85D" w14:textId="77777777" w:rsidR="00CE0519" w:rsidRPr="00216714" w:rsidRDefault="00CE0519" w:rsidP="00CE0519">
      <w:pPr>
        <w:adjustRightInd w:val="0"/>
        <w:snapToGrid w:val="0"/>
        <w:spacing w:after="0" w:line="240" w:lineRule="auto"/>
        <w:rPr>
          <w:rFonts w:ascii="Times New Roman" w:hAnsi="Times New Roman" w:cs="Times New Roman"/>
          <w:lang w:val="en-NZ"/>
        </w:rPr>
      </w:pPr>
      <w:r w:rsidRPr="00216714">
        <w:rPr>
          <w:rFonts w:ascii="Times New Roman" w:hAnsi="Times New Roman" w:cs="Times New Roman"/>
        </w:rPr>
        <w:t>SC15-</w:t>
      </w:r>
      <w:r w:rsidRPr="00216714">
        <w:rPr>
          <w:rFonts w:ascii="Times New Roman" w:hAnsi="Times New Roman" w:cs="Times New Roman"/>
          <w:lang w:val="en-NZ"/>
        </w:rPr>
        <w:t xml:space="preserve"> SA-IP-19 </w:t>
      </w:r>
      <w:r w:rsidRPr="00216714">
        <w:rPr>
          <w:rFonts w:ascii="Times New Roman" w:hAnsi="Times New Roman" w:cs="Times New Roman"/>
          <w:color w:val="000000"/>
        </w:rPr>
        <w:t xml:space="preserve">Report of the Workshop on Age and Growth of Bigeye and Yellowfin Tunas in the Pacific Ocean. </w:t>
      </w:r>
      <w:hyperlink r:id="rId25" w:history="1">
        <w:r w:rsidRPr="00216714">
          <w:rPr>
            <w:rStyle w:val="Hyperlink"/>
            <w:rFonts w:ascii="Times New Roman" w:hAnsi="Times New Roman" w:cs="Times New Roman"/>
          </w:rPr>
          <w:t>https://www.wcpfc.int/node/43329</w:t>
        </w:r>
      </w:hyperlink>
    </w:p>
    <w:p w14:paraId="0198723F" w14:textId="77777777" w:rsidR="00CE0519" w:rsidRDefault="00CE0519" w:rsidP="00167819">
      <w:pPr>
        <w:adjustRightInd w:val="0"/>
        <w:snapToGrid w:val="0"/>
        <w:spacing w:after="0" w:line="240" w:lineRule="auto"/>
        <w:rPr>
          <w:rFonts w:ascii="Times New Roman" w:hAnsi="Times New Roman" w:cs="Times New Roman"/>
        </w:rPr>
      </w:pPr>
    </w:p>
    <w:p w14:paraId="389D44DA" w14:textId="07451DE4" w:rsidR="00C8592D" w:rsidRPr="00CA3AFC" w:rsidRDefault="00C8592D"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SC14-SA-WP-02 A compendium of fisheries indicators for tuna stocks. </w:t>
      </w:r>
      <w:hyperlink r:id="rId26" w:history="1">
        <w:r w:rsidRPr="00CA3AFC">
          <w:rPr>
            <w:rStyle w:val="Hyperlink"/>
            <w:rFonts w:ascii="Times New Roman" w:hAnsi="Times New Roman" w:cs="Times New Roman"/>
          </w:rPr>
          <w:t>https://www.wcpfc.int/node/30987</w:t>
        </w:r>
      </w:hyperlink>
      <w:r w:rsidRPr="00CA3AFC">
        <w:rPr>
          <w:rFonts w:ascii="Times New Roman" w:hAnsi="Times New Roman" w:cs="Times New Roman"/>
        </w:rPr>
        <w:t xml:space="preserve"> </w:t>
      </w:r>
    </w:p>
    <w:p w14:paraId="04671EF7" w14:textId="77777777" w:rsidR="00C8592D" w:rsidRPr="00CA3AFC" w:rsidRDefault="00C8592D" w:rsidP="00167819">
      <w:pPr>
        <w:adjustRightInd w:val="0"/>
        <w:snapToGrid w:val="0"/>
        <w:spacing w:after="0" w:line="240" w:lineRule="auto"/>
        <w:rPr>
          <w:rFonts w:ascii="Times New Roman" w:hAnsi="Times New Roman" w:cs="Times New Roman"/>
        </w:rPr>
      </w:pPr>
    </w:p>
    <w:p w14:paraId="031B8CF3" w14:textId="77777777" w:rsidR="00C8592D" w:rsidRPr="00CA3AFC" w:rsidRDefault="00C8592D"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SC14-SA-WP-13 Progress on yellowfin tuna age and growth in the WCPO WCPFC Project 82. </w:t>
      </w:r>
      <w:hyperlink r:id="rId27" w:history="1">
        <w:r w:rsidRPr="00CA3AFC">
          <w:rPr>
            <w:rStyle w:val="Hyperlink"/>
            <w:rFonts w:ascii="Times New Roman" w:hAnsi="Times New Roman" w:cs="Times New Roman"/>
          </w:rPr>
          <w:t>https://www.wcpfc.int/node/31097</w:t>
        </w:r>
      </w:hyperlink>
      <w:r w:rsidRPr="00CA3AFC">
        <w:rPr>
          <w:rFonts w:ascii="Times New Roman" w:hAnsi="Times New Roman" w:cs="Times New Roman"/>
        </w:rPr>
        <w:t xml:space="preserve"> </w:t>
      </w:r>
    </w:p>
    <w:p w14:paraId="52FB07FD" w14:textId="77777777" w:rsidR="00C8592D" w:rsidRPr="00CA3AFC" w:rsidRDefault="00C8592D" w:rsidP="00167819">
      <w:pPr>
        <w:adjustRightInd w:val="0"/>
        <w:snapToGrid w:val="0"/>
        <w:spacing w:after="0" w:line="240" w:lineRule="auto"/>
        <w:rPr>
          <w:rFonts w:ascii="Times New Roman" w:hAnsi="Times New Roman" w:cs="Times New Roman"/>
        </w:rPr>
      </w:pPr>
    </w:p>
    <w:p w14:paraId="036E5A38" w14:textId="77777777" w:rsidR="007C0132" w:rsidRPr="00CA3AFC" w:rsidRDefault="00091B95"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SC13-SA-WP-06</w:t>
      </w:r>
      <w:r w:rsidR="007C0132" w:rsidRPr="00CA3AFC">
        <w:rPr>
          <w:rFonts w:ascii="Times New Roman" w:hAnsi="Times New Roman" w:cs="Times New Roman"/>
        </w:rPr>
        <w:t xml:space="preserve"> </w:t>
      </w:r>
      <w:r w:rsidRPr="00CA3AFC">
        <w:rPr>
          <w:rFonts w:ascii="Times New Roman" w:hAnsi="Times New Roman" w:cs="Times New Roman"/>
        </w:rPr>
        <w:t xml:space="preserve">Stock assessment of yellowfin tuna in the western and central Pacific Ocean Rev 1 (26 July 2017). </w:t>
      </w:r>
      <w:hyperlink r:id="rId28" w:history="1">
        <w:r w:rsidRPr="00CA3AFC">
          <w:rPr>
            <w:rStyle w:val="Hyperlink"/>
            <w:rFonts w:ascii="Times New Roman" w:hAnsi="Times New Roman" w:cs="Times New Roman"/>
          </w:rPr>
          <w:t>https://www.wcpfc.int/node/29519</w:t>
        </w:r>
      </w:hyperlink>
      <w:r w:rsidRPr="00CA3AFC">
        <w:rPr>
          <w:rFonts w:ascii="Times New Roman" w:hAnsi="Times New Roman" w:cs="Times New Roman"/>
        </w:rPr>
        <w:t xml:space="preserve"> </w:t>
      </w:r>
    </w:p>
    <w:p w14:paraId="3B87D0A3" w14:textId="77777777" w:rsidR="00091B95" w:rsidRPr="00CA3AFC" w:rsidRDefault="00091B95" w:rsidP="00167819">
      <w:pPr>
        <w:adjustRightInd w:val="0"/>
        <w:snapToGrid w:val="0"/>
        <w:spacing w:after="0" w:line="240" w:lineRule="auto"/>
        <w:rPr>
          <w:rFonts w:ascii="Times New Roman" w:hAnsi="Times New Roman" w:cs="Times New Roman"/>
        </w:rPr>
      </w:pPr>
    </w:p>
    <w:p w14:paraId="645BE331" w14:textId="36B20182" w:rsidR="007C0132" w:rsidRDefault="007C0132" w:rsidP="00167819">
      <w:pPr>
        <w:adjustRightInd w:val="0"/>
        <w:snapToGrid w:val="0"/>
        <w:spacing w:after="0" w:line="240" w:lineRule="auto"/>
        <w:rPr>
          <w:rStyle w:val="Hyperlink"/>
          <w:rFonts w:ascii="Times New Roman" w:hAnsi="Times New Roman" w:cs="Times New Roman"/>
        </w:rPr>
      </w:pPr>
      <w:r w:rsidRPr="00CA3AFC">
        <w:rPr>
          <w:rFonts w:ascii="Times New Roman" w:hAnsi="Times New Roman" w:cs="Times New Roman"/>
        </w:rPr>
        <w:t>SC13-SA-IP-06</w:t>
      </w:r>
      <w:r w:rsidR="007D675F" w:rsidRPr="00CA3AFC">
        <w:rPr>
          <w:rFonts w:ascii="Times New Roman" w:hAnsi="Times New Roman" w:cs="Times New Roman"/>
        </w:rPr>
        <w:t xml:space="preserve"> Background analyses for the 2017 stock assessments of bigeye and yellowfin tuna in the western and central Pacific Ocean. </w:t>
      </w:r>
      <w:hyperlink r:id="rId29" w:history="1">
        <w:r w:rsidR="007D675F" w:rsidRPr="00CA3AFC">
          <w:rPr>
            <w:rStyle w:val="Hyperlink"/>
            <w:rFonts w:ascii="Times New Roman" w:hAnsi="Times New Roman" w:cs="Times New Roman"/>
          </w:rPr>
          <w:t>https://www.wcpfc.int/node/29530</w:t>
        </w:r>
      </w:hyperlink>
    </w:p>
    <w:p w14:paraId="65F09CEF" w14:textId="391056B6" w:rsidR="00167819" w:rsidRDefault="00167819" w:rsidP="00167819">
      <w:pPr>
        <w:adjustRightInd w:val="0"/>
        <w:snapToGrid w:val="0"/>
        <w:spacing w:after="0" w:line="240" w:lineRule="auto"/>
        <w:rPr>
          <w:rFonts w:ascii="Times New Roman" w:hAnsi="Times New Roman" w:cs="Times New Roman"/>
        </w:rPr>
      </w:pPr>
    </w:p>
    <w:p w14:paraId="42DB5FE8" w14:textId="77777777" w:rsidR="00F56124" w:rsidRPr="00CA3AFC" w:rsidRDefault="00F56124" w:rsidP="00167819">
      <w:pPr>
        <w:adjustRightInd w:val="0"/>
        <w:snapToGrid w:val="0"/>
        <w:spacing w:after="0" w:line="240" w:lineRule="auto"/>
        <w:rPr>
          <w:rFonts w:ascii="Times New Roman" w:hAnsi="Times New Roman" w:cs="Times New Roman"/>
        </w:rPr>
      </w:pPr>
    </w:p>
    <w:p w14:paraId="3427B0CF" w14:textId="77777777" w:rsidR="008D68A5" w:rsidRPr="00CA3AFC" w:rsidRDefault="008D68A5" w:rsidP="00167819">
      <w:pPr>
        <w:pStyle w:val="Heading1"/>
        <w:adjustRightInd w:val="0"/>
        <w:snapToGrid w:val="0"/>
        <w:spacing w:before="0" w:line="240" w:lineRule="auto"/>
        <w:rPr>
          <w:rFonts w:ascii="Times New Roman" w:eastAsia="MS Mincho" w:hAnsi="Times New Roman" w:cs="Times New Roman"/>
          <w:b/>
          <w:bCs/>
          <w:caps/>
          <w:lang w:val="en-NZ" w:eastAsia="en-NZ"/>
        </w:rPr>
      </w:pPr>
      <w:bookmarkStart w:id="7" w:name="_Toc24966482"/>
      <w:r w:rsidRPr="00CA3AFC">
        <w:rPr>
          <w:rFonts w:ascii="Times New Roman" w:eastAsia="MS Mincho" w:hAnsi="Times New Roman" w:cs="Times New Roman"/>
          <w:b/>
          <w:bCs/>
          <w:caps/>
          <w:lang w:val="en-NZ" w:eastAsia="en-NZ"/>
        </w:rPr>
        <w:t>Previous Assessments</w:t>
      </w:r>
      <w:bookmarkEnd w:id="7"/>
    </w:p>
    <w:p w14:paraId="71B6BF27" w14:textId="77777777" w:rsidR="007D675F" w:rsidRPr="00CA3AFC" w:rsidRDefault="007D675F" w:rsidP="00167819">
      <w:pPr>
        <w:adjustRightInd w:val="0"/>
        <w:snapToGrid w:val="0"/>
        <w:spacing w:after="0" w:line="240" w:lineRule="auto"/>
        <w:rPr>
          <w:rFonts w:ascii="Times New Roman" w:hAnsi="Times New Roman" w:cs="Times New Roman"/>
        </w:rPr>
      </w:pPr>
    </w:p>
    <w:p w14:paraId="0AD01FBA" w14:textId="77777777" w:rsidR="008D68A5" w:rsidRPr="00CA3AFC" w:rsidRDefault="008D68A5"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SC10-SA-WP-04 Stock assessment of yellowfin tuna in the western and central Pacific Ocean Rev 1 (25 July 2014) </w:t>
      </w:r>
      <w:hyperlink r:id="rId30" w:history="1">
        <w:r w:rsidRPr="00CA3AFC">
          <w:rPr>
            <w:rStyle w:val="Hyperlink"/>
            <w:rFonts w:ascii="Times New Roman" w:hAnsi="Times New Roman" w:cs="Times New Roman"/>
          </w:rPr>
          <w:t>https://wcpfc.int/node/18997</w:t>
        </w:r>
      </w:hyperlink>
      <w:r w:rsidRPr="00CA3AFC">
        <w:rPr>
          <w:rFonts w:ascii="Times New Roman" w:hAnsi="Times New Roman" w:cs="Times New Roman"/>
        </w:rPr>
        <w:t xml:space="preserve"> </w:t>
      </w:r>
    </w:p>
    <w:p w14:paraId="6D5DCD0D" w14:textId="77777777" w:rsidR="008D68A5" w:rsidRPr="00CA3AFC" w:rsidRDefault="008D68A5" w:rsidP="00167819">
      <w:pPr>
        <w:adjustRightInd w:val="0"/>
        <w:snapToGrid w:val="0"/>
        <w:spacing w:after="0" w:line="240" w:lineRule="auto"/>
        <w:rPr>
          <w:rFonts w:ascii="Times New Roman" w:hAnsi="Times New Roman" w:cs="Times New Roman"/>
        </w:rPr>
      </w:pPr>
    </w:p>
    <w:p w14:paraId="42906B8D" w14:textId="77777777" w:rsidR="008D68A5" w:rsidRPr="00CA3AFC" w:rsidRDefault="00FA0B69"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SC7-SA-WP-03 Stock assessment of yellowfin tuna in the western and central Pacific Ocean (Rev.1 - 03August2011). </w:t>
      </w:r>
      <w:hyperlink r:id="rId31" w:history="1">
        <w:r w:rsidRPr="00CA3AFC">
          <w:rPr>
            <w:rStyle w:val="Hyperlink"/>
            <w:rFonts w:ascii="Times New Roman" w:hAnsi="Times New Roman" w:cs="Times New Roman"/>
          </w:rPr>
          <w:t>https://wcpfc.int/node/2786</w:t>
        </w:r>
      </w:hyperlink>
      <w:r w:rsidRPr="00CA3AFC">
        <w:rPr>
          <w:rFonts w:ascii="Times New Roman" w:hAnsi="Times New Roman" w:cs="Times New Roman"/>
        </w:rPr>
        <w:t xml:space="preserve"> </w:t>
      </w:r>
    </w:p>
    <w:p w14:paraId="397AD591" w14:textId="77777777" w:rsidR="0053386B" w:rsidRPr="00CA3AFC" w:rsidRDefault="0053386B" w:rsidP="00167819">
      <w:pPr>
        <w:adjustRightInd w:val="0"/>
        <w:snapToGrid w:val="0"/>
        <w:spacing w:after="0" w:line="240" w:lineRule="auto"/>
        <w:rPr>
          <w:rFonts w:ascii="Times New Roman" w:hAnsi="Times New Roman" w:cs="Times New Roman"/>
        </w:rPr>
      </w:pPr>
    </w:p>
    <w:p w14:paraId="385FF13F" w14:textId="77777777" w:rsidR="0053386B" w:rsidRPr="00CA3AFC" w:rsidRDefault="0053386B"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SC5-SA-WP-03 Stock assessment of yellowfin tuna in the western and central Pacific Ocean. </w:t>
      </w:r>
      <w:hyperlink r:id="rId32" w:history="1">
        <w:r w:rsidRPr="00CA3AFC">
          <w:rPr>
            <w:rStyle w:val="Hyperlink"/>
            <w:rFonts w:ascii="Times New Roman" w:hAnsi="Times New Roman" w:cs="Times New Roman"/>
          </w:rPr>
          <w:t>https://wcpfc.int/node/2175</w:t>
        </w:r>
      </w:hyperlink>
      <w:r w:rsidRPr="00CA3AFC">
        <w:rPr>
          <w:rFonts w:ascii="Times New Roman" w:hAnsi="Times New Roman" w:cs="Times New Roman"/>
        </w:rPr>
        <w:t xml:space="preserve"> </w:t>
      </w:r>
    </w:p>
    <w:p w14:paraId="53B6C1FF" w14:textId="77777777" w:rsidR="005B4A59" w:rsidRPr="00CA3AFC" w:rsidRDefault="005B4A59" w:rsidP="00167819">
      <w:pPr>
        <w:adjustRightInd w:val="0"/>
        <w:snapToGrid w:val="0"/>
        <w:spacing w:after="0" w:line="240" w:lineRule="auto"/>
        <w:rPr>
          <w:rFonts w:ascii="Times New Roman" w:hAnsi="Times New Roman" w:cs="Times New Roman"/>
        </w:rPr>
      </w:pPr>
    </w:p>
    <w:p w14:paraId="253D31C0" w14:textId="77777777" w:rsidR="005B4A59" w:rsidRPr="00CA3AFC" w:rsidRDefault="005B4A59"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SC3-SA-WP-01 Stock assessment of yellowfin tuna in the western and central Pacific Ocean, including an analysis of management options. </w:t>
      </w:r>
      <w:hyperlink r:id="rId33" w:history="1">
        <w:r w:rsidRPr="00CA3AFC">
          <w:rPr>
            <w:rStyle w:val="Hyperlink"/>
            <w:rFonts w:ascii="Times New Roman" w:hAnsi="Times New Roman" w:cs="Times New Roman"/>
          </w:rPr>
          <w:t>https://wcpfc.int/node/1649</w:t>
        </w:r>
      </w:hyperlink>
      <w:r w:rsidRPr="00CA3AFC">
        <w:rPr>
          <w:rFonts w:ascii="Times New Roman" w:hAnsi="Times New Roman" w:cs="Times New Roman"/>
        </w:rPr>
        <w:t xml:space="preserve"> </w:t>
      </w:r>
    </w:p>
    <w:p w14:paraId="37AA4B9F" w14:textId="77777777" w:rsidR="00990636" w:rsidRPr="00CA3AFC" w:rsidRDefault="00990636" w:rsidP="00167819">
      <w:pPr>
        <w:adjustRightInd w:val="0"/>
        <w:snapToGrid w:val="0"/>
        <w:spacing w:after="0" w:line="240" w:lineRule="auto"/>
        <w:rPr>
          <w:rFonts w:ascii="Times New Roman" w:hAnsi="Times New Roman" w:cs="Times New Roman"/>
        </w:rPr>
      </w:pPr>
    </w:p>
    <w:p w14:paraId="1B23E76F" w14:textId="77777777" w:rsidR="00990636" w:rsidRPr="00CA3AFC" w:rsidRDefault="00990636"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SC2-SA-WP-01 Stock assessment of yellowfin tuna in the western and central Pacific Ocean, including an analysis of management options. </w:t>
      </w:r>
      <w:hyperlink r:id="rId34" w:history="1">
        <w:r w:rsidRPr="00CA3AFC">
          <w:rPr>
            <w:rStyle w:val="Hyperlink"/>
            <w:rFonts w:ascii="Times New Roman" w:hAnsi="Times New Roman" w:cs="Times New Roman"/>
          </w:rPr>
          <w:t>https://wcpfc.int/node/1746</w:t>
        </w:r>
      </w:hyperlink>
      <w:r w:rsidRPr="00CA3AFC">
        <w:rPr>
          <w:rFonts w:ascii="Times New Roman" w:hAnsi="Times New Roman" w:cs="Times New Roman"/>
        </w:rPr>
        <w:t xml:space="preserve"> </w:t>
      </w:r>
    </w:p>
    <w:p w14:paraId="4B724A8A" w14:textId="77777777" w:rsidR="008D172D" w:rsidRPr="00CA3AFC" w:rsidRDefault="008D172D" w:rsidP="00167819">
      <w:pPr>
        <w:adjustRightInd w:val="0"/>
        <w:snapToGrid w:val="0"/>
        <w:spacing w:after="0" w:line="240" w:lineRule="auto"/>
        <w:rPr>
          <w:rFonts w:ascii="Times New Roman" w:hAnsi="Times New Roman" w:cs="Times New Roman"/>
        </w:rPr>
      </w:pPr>
    </w:p>
    <w:p w14:paraId="7AA27954" w14:textId="77777777" w:rsidR="008D172D" w:rsidRPr="00CA3AFC" w:rsidRDefault="008D172D"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SC1-SA-WP-01 Stock assessment of yellowfin tuna in the Western and Central Pacific Ocean. </w:t>
      </w:r>
      <w:hyperlink r:id="rId35" w:history="1">
        <w:r w:rsidRPr="00CA3AFC">
          <w:rPr>
            <w:rStyle w:val="Hyperlink"/>
            <w:rFonts w:ascii="Times New Roman" w:hAnsi="Times New Roman" w:cs="Times New Roman"/>
          </w:rPr>
          <w:t>https://wcpfc.int/node/1881</w:t>
        </w:r>
      </w:hyperlink>
      <w:r w:rsidRPr="00CA3AFC">
        <w:rPr>
          <w:rFonts w:ascii="Times New Roman" w:hAnsi="Times New Roman" w:cs="Times New Roman"/>
        </w:rPr>
        <w:t xml:space="preserve"> </w:t>
      </w:r>
    </w:p>
    <w:p w14:paraId="46158C9E" w14:textId="77777777" w:rsidR="008D68A5" w:rsidRPr="00CA3AFC" w:rsidRDefault="008D68A5" w:rsidP="00167819">
      <w:pPr>
        <w:adjustRightInd w:val="0"/>
        <w:snapToGrid w:val="0"/>
        <w:spacing w:after="0" w:line="240" w:lineRule="auto"/>
        <w:rPr>
          <w:rFonts w:ascii="Times New Roman" w:hAnsi="Times New Roman" w:cs="Times New Roman"/>
        </w:rPr>
      </w:pPr>
    </w:p>
    <w:p w14:paraId="43C0620A" w14:textId="77777777" w:rsidR="008D68A5" w:rsidRPr="00CA3AFC" w:rsidRDefault="008D68A5" w:rsidP="00167819">
      <w:pPr>
        <w:adjustRightInd w:val="0"/>
        <w:snapToGrid w:val="0"/>
        <w:spacing w:after="0" w:line="240" w:lineRule="auto"/>
        <w:rPr>
          <w:rFonts w:ascii="Times New Roman" w:hAnsi="Times New Roman" w:cs="Times New Roman"/>
        </w:rPr>
      </w:pPr>
    </w:p>
    <w:sectPr w:rsidR="008D68A5" w:rsidRPr="00CA3AFC" w:rsidSect="00C8592D">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F66A9" w14:textId="77777777" w:rsidR="000F33FB" w:rsidRDefault="000F33FB" w:rsidP="005C2B8D">
      <w:pPr>
        <w:spacing w:after="0" w:line="240" w:lineRule="auto"/>
      </w:pPr>
      <w:r>
        <w:separator/>
      </w:r>
    </w:p>
  </w:endnote>
  <w:endnote w:type="continuationSeparator" w:id="0">
    <w:p w14:paraId="6AFC4BEB" w14:textId="77777777" w:rsidR="000F33FB" w:rsidRDefault="000F33FB"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663040"/>
      <w:docPartObj>
        <w:docPartGallery w:val="Page Numbers (Bottom of Page)"/>
        <w:docPartUnique/>
      </w:docPartObj>
    </w:sdtPr>
    <w:sdtEndPr>
      <w:rPr>
        <w:noProof/>
      </w:rPr>
    </w:sdtEndPr>
    <w:sdtContent>
      <w:p w14:paraId="6B528175" w14:textId="77777777" w:rsidR="00C8592D" w:rsidRDefault="00C859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3D6781" w14:textId="77777777" w:rsidR="00C8592D" w:rsidRDefault="00C85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E6F1D" w14:textId="77777777" w:rsidR="000F33FB" w:rsidRDefault="000F33FB" w:rsidP="005C2B8D">
      <w:pPr>
        <w:spacing w:after="0" w:line="240" w:lineRule="auto"/>
      </w:pPr>
      <w:r>
        <w:separator/>
      </w:r>
    </w:p>
  </w:footnote>
  <w:footnote w:type="continuationSeparator" w:id="0">
    <w:p w14:paraId="1A2E4FA3" w14:textId="77777777" w:rsidR="000F33FB" w:rsidRDefault="000F33FB"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71959"/>
    <w:multiLevelType w:val="hybridMultilevel"/>
    <w:tmpl w:val="32DA25B4"/>
    <w:lvl w:ilvl="0" w:tplc="7D7A123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9F4D5D"/>
    <w:multiLevelType w:val="hybridMultilevel"/>
    <w:tmpl w:val="71F66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09250E"/>
    <w:multiLevelType w:val="hybridMultilevel"/>
    <w:tmpl w:val="2EE8D966"/>
    <w:lvl w:ilvl="0" w:tplc="DA741BA0">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66D78E8"/>
    <w:multiLevelType w:val="hybridMultilevel"/>
    <w:tmpl w:val="D5A48B8C"/>
    <w:lvl w:ilvl="0" w:tplc="5F64F0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8934E3"/>
    <w:multiLevelType w:val="hybridMultilevel"/>
    <w:tmpl w:val="793A0904"/>
    <w:lvl w:ilvl="0" w:tplc="5F64F0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F34EE8"/>
    <w:multiLevelType w:val="hybridMultilevel"/>
    <w:tmpl w:val="5D90E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66825332"/>
    <w:multiLevelType w:val="hybridMultilevel"/>
    <w:tmpl w:val="DB7CC87A"/>
    <w:lvl w:ilvl="0" w:tplc="BF64E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531024"/>
    <w:multiLevelType w:val="hybridMultilevel"/>
    <w:tmpl w:val="71ECFD7C"/>
    <w:lvl w:ilvl="0" w:tplc="56BE15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43F0AA78">
      <w:start w:val="1"/>
      <w:numFmt w:val="lowerRoman"/>
      <w:lvlText w:val="(%5)"/>
      <w:lvlJc w:val="left"/>
      <w:pPr>
        <w:ind w:left="4320" w:hanging="720"/>
      </w:pPr>
      <w:rPr>
        <w:rFonts w:hint="default"/>
      </w:rPr>
    </w:lvl>
    <w:lvl w:ilvl="5" w:tplc="0B702994">
      <w:start w:val="3"/>
      <w:numFmt w:val="low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750BEB"/>
    <w:multiLevelType w:val="hybridMultilevel"/>
    <w:tmpl w:val="0D84D964"/>
    <w:lvl w:ilvl="0" w:tplc="26A040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1"/>
  </w:num>
  <w:num w:numId="5">
    <w:abstractNumId w:val="4"/>
  </w:num>
  <w:num w:numId="6">
    <w:abstractNumId w:val="9"/>
  </w:num>
  <w:num w:numId="7">
    <w:abstractNumId w:val="2"/>
  </w:num>
  <w:num w:numId="8">
    <w:abstractNumId w:val="2"/>
  </w:num>
  <w:num w:numId="9">
    <w:abstractNumId w:val="2"/>
  </w:num>
  <w:num w:numId="10">
    <w:abstractNumId w:val="2"/>
  </w:num>
  <w:num w:numId="11">
    <w:abstractNumId w:val="2"/>
  </w:num>
  <w:num w:numId="12">
    <w:abstractNumId w:val="7"/>
  </w:num>
  <w:num w:numId="13">
    <w:abstractNumId w:val="3"/>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169F2"/>
    <w:rsid w:val="00077441"/>
    <w:rsid w:val="00091B95"/>
    <w:rsid w:val="000C0863"/>
    <w:rsid w:val="000F33FB"/>
    <w:rsid w:val="00105696"/>
    <w:rsid w:val="00140D64"/>
    <w:rsid w:val="00167819"/>
    <w:rsid w:val="00173F6C"/>
    <w:rsid w:val="0032426C"/>
    <w:rsid w:val="00406E9C"/>
    <w:rsid w:val="0041374C"/>
    <w:rsid w:val="004920E1"/>
    <w:rsid w:val="00493657"/>
    <w:rsid w:val="004B05DF"/>
    <w:rsid w:val="004C58D3"/>
    <w:rsid w:val="0053386B"/>
    <w:rsid w:val="005374AB"/>
    <w:rsid w:val="00570E6C"/>
    <w:rsid w:val="005828AD"/>
    <w:rsid w:val="005B4A59"/>
    <w:rsid w:val="005C2B8D"/>
    <w:rsid w:val="00687FB1"/>
    <w:rsid w:val="0073054D"/>
    <w:rsid w:val="007C0132"/>
    <w:rsid w:val="007D675F"/>
    <w:rsid w:val="007F084A"/>
    <w:rsid w:val="00867480"/>
    <w:rsid w:val="008C61EE"/>
    <w:rsid w:val="008D172D"/>
    <w:rsid w:val="008D68A5"/>
    <w:rsid w:val="00990636"/>
    <w:rsid w:val="00AA7885"/>
    <w:rsid w:val="00B33258"/>
    <w:rsid w:val="00C64AF4"/>
    <w:rsid w:val="00C73552"/>
    <w:rsid w:val="00C8592D"/>
    <w:rsid w:val="00CA3AFC"/>
    <w:rsid w:val="00CC3DC6"/>
    <w:rsid w:val="00CC59BE"/>
    <w:rsid w:val="00CE0519"/>
    <w:rsid w:val="00D03F79"/>
    <w:rsid w:val="00DA0F75"/>
    <w:rsid w:val="00E33C0B"/>
    <w:rsid w:val="00E52163"/>
    <w:rsid w:val="00E75A5E"/>
    <w:rsid w:val="00ED455D"/>
    <w:rsid w:val="00F463D5"/>
    <w:rsid w:val="00F56124"/>
    <w:rsid w:val="00FA0B69"/>
    <w:rsid w:val="00FB657D"/>
    <w:rsid w:val="00FC1F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0AB9A"/>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73054D"/>
    <w:rPr>
      <w:sz w:val="20"/>
      <w:szCs w:val="20"/>
    </w:rPr>
  </w:style>
  <w:style w:type="character" w:styleId="FootnoteReference">
    <w:name w:val="footnote reference"/>
    <w:basedOn w:val="DefaultParagraphFont"/>
    <w:uiPriority w:val="99"/>
    <w:semiHidden/>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CPFC">
    <w:name w:val="WCPFC"/>
    <w:link w:val="WCPFCChar"/>
    <w:qFormat/>
    <w:rsid w:val="00570E6C"/>
    <w:pPr>
      <w:numPr>
        <w:numId w:val="2"/>
      </w:numPr>
      <w:snapToGrid w:val="0"/>
      <w:spacing w:after="240" w:line="240" w:lineRule="auto"/>
      <w:jc w:val="both"/>
    </w:pPr>
    <w:rPr>
      <w:rFonts w:ascii="Times New Roman" w:eastAsia="Malgun Gothic" w:hAnsi="Times New Roman" w:cs="Times New Roman"/>
      <w:lang w:val="en-NZ" w:eastAsia="en-NZ"/>
    </w:rPr>
  </w:style>
  <w:style w:type="table" w:customStyle="1" w:styleId="TableGrid1">
    <w:name w:val="Table Grid1"/>
    <w:basedOn w:val="TableNormal"/>
    <w:next w:val="TableGrid"/>
    <w:uiPriority w:val="59"/>
    <w:rsid w:val="00570E6C"/>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0132"/>
    <w:rPr>
      <w:color w:val="808080"/>
      <w:shd w:val="clear" w:color="auto" w:fill="E6E6E6"/>
    </w:rPr>
  </w:style>
  <w:style w:type="table" w:customStyle="1" w:styleId="TableGrid2">
    <w:name w:val="Table Grid2"/>
    <w:basedOn w:val="TableNormal"/>
    <w:next w:val="TableGrid"/>
    <w:uiPriority w:val="59"/>
    <w:rsid w:val="00140D64"/>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E52163"/>
    <w:pPr>
      <w:widowControl w:val="0"/>
      <w:autoSpaceDE w:val="0"/>
      <w:autoSpaceDN w:val="0"/>
      <w:spacing w:after="0" w:line="240" w:lineRule="auto"/>
      <w:ind w:left="100"/>
    </w:pPr>
    <w:rPr>
      <w:rFonts w:ascii="Calibri" w:eastAsia="Calibri" w:hAnsi="Calibri" w:cs="Calibri"/>
    </w:rPr>
  </w:style>
  <w:style w:type="character" w:customStyle="1" w:styleId="WCPFCChar">
    <w:name w:val="WCPFC Char"/>
    <w:basedOn w:val="DefaultParagraphFont"/>
    <w:link w:val="WCPFC"/>
    <w:rsid w:val="00E52163"/>
    <w:rPr>
      <w:rFonts w:ascii="Times New Roman" w:eastAsia="Malgun Gothic" w:hAnsi="Times New Roman" w:cs="Times New Roman"/>
      <w:lang w:val="en-NZ" w:eastAsia="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1"/>
    <w:qFormat/>
    <w:rsid w:val="00E52163"/>
    <w:rPr>
      <w:rFonts w:ascii="Calibri" w:eastAsia="Calibri" w:hAnsi="Calibri" w:cs="Calibri"/>
    </w:rPr>
  </w:style>
  <w:style w:type="paragraph" w:styleId="Header">
    <w:name w:val="header"/>
    <w:basedOn w:val="Normal"/>
    <w:link w:val="HeaderChar"/>
    <w:uiPriority w:val="99"/>
    <w:unhideWhenUsed/>
    <w:rsid w:val="00C85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92D"/>
  </w:style>
  <w:style w:type="paragraph" w:styleId="Footer">
    <w:name w:val="footer"/>
    <w:basedOn w:val="Normal"/>
    <w:link w:val="FooterChar"/>
    <w:uiPriority w:val="99"/>
    <w:unhideWhenUsed/>
    <w:rsid w:val="00C85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wcpfc.int/node/30987"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cpfc.int/node/1746"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wcpfc.int/node/43329" TargetMode="External"/><Relationship Id="rId33" Type="http://schemas.openxmlformats.org/officeDocument/2006/relationships/hyperlink" Target="https://wcpfc.int/node/164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wcpfc.int/node/295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wcpfc.int/node/42929" TargetMode="External"/><Relationship Id="rId32" Type="http://schemas.openxmlformats.org/officeDocument/2006/relationships/hyperlink" Target="https://wcpfc.int/node/217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wcpfc.int/node/42927" TargetMode="External"/><Relationship Id="rId28" Type="http://schemas.openxmlformats.org/officeDocument/2006/relationships/hyperlink" Target="https://www.wcpfc.int/node/29519" TargetMode="External"/><Relationship Id="rId36" Type="http://schemas.openxmlformats.org/officeDocument/2006/relationships/footer" Target="footer1.xml"/><Relationship Id="rId10" Type="http://schemas.openxmlformats.org/officeDocument/2006/relationships/hyperlink" Target="https://www.wcpfc.int/node/29904" TargetMode="External"/><Relationship Id="rId19" Type="http://schemas.openxmlformats.org/officeDocument/2006/relationships/image" Target="media/image10.png"/><Relationship Id="rId31" Type="http://schemas.openxmlformats.org/officeDocument/2006/relationships/hyperlink" Target="https://wcpfc.int/node/2786" TargetMode="External"/><Relationship Id="rId4" Type="http://schemas.openxmlformats.org/officeDocument/2006/relationships/settings" Target="settings.xml"/><Relationship Id="rId9" Type="http://schemas.openxmlformats.org/officeDocument/2006/relationships/hyperlink" Target="https://www.wcpfc.int/node/29904"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wcpfc.int/node/31097" TargetMode="External"/><Relationship Id="rId30" Type="http://schemas.openxmlformats.org/officeDocument/2006/relationships/hyperlink" Target="https://wcpfc.int/node/18997" TargetMode="External"/><Relationship Id="rId35" Type="http://schemas.openxmlformats.org/officeDocument/2006/relationships/hyperlink" Target="https://wcpfc.int/node/18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EB759-8578-4C82-9703-1AA928191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2687</Words>
  <Characters>15318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SungKwon Soh</cp:lastModifiedBy>
  <cp:revision>4</cp:revision>
  <dcterms:created xsi:type="dcterms:W3CDTF">2019-11-17T23:05:00Z</dcterms:created>
  <dcterms:modified xsi:type="dcterms:W3CDTF">2019-11-19T04:56:00Z</dcterms:modified>
</cp:coreProperties>
</file>