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21CFE"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bookmarkStart w:id="0" w:name="_GoBack"/>
      <w:bookmarkEnd w:id="0"/>
    </w:p>
    <w:p w14:paraId="0F3F17C4"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p>
    <w:p w14:paraId="027F655E"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r w:rsidRPr="00124668">
        <w:rPr>
          <w:rFonts w:ascii="Times New Roman" w:hAnsi="Times New Roman" w:cs="Times New Roman"/>
          <w:noProof/>
          <w:lang w:eastAsia="zh-CN" w:bidi="mn-Mong-CN"/>
        </w:rPr>
        <w:drawing>
          <wp:inline distT="0" distB="0" distL="0" distR="0" wp14:anchorId="2F8CBD35" wp14:editId="454371EC">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6C606C3C"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p>
    <w:p w14:paraId="4A2536A1"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p>
    <w:p w14:paraId="10ADA093"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r w:rsidRPr="00124668">
        <w:rPr>
          <w:rFonts w:ascii="Times New Roman" w:hAnsi="Times New Roman" w:cs="Times New Roman"/>
          <w:b/>
          <w:lang w:val="en-NZ"/>
        </w:rPr>
        <w:t xml:space="preserve">The Commission for the Conservation and Management of </w:t>
      </w:r>
    </w:p>
    <w:p w14:paraId="6FF5D1F6"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r w:rsidRPr="00124668">
        <w:rPr>
          <w:rFonts w:ascii="Times New Roman" w:hAnsi="Times New Roman" w:cs="Times New Roman"/>
          <w:b/>
          <w:lang w:val="en-NZ"/>
        </w:rPr>
        <w:t xml:space="preserve">Highly Migratory Fish Stocks in the Western and Central Pacific Ocean </w:t>
      </w:r>
    </w:p>
    <w:p w14:paraId="4484AACD"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30994B9F"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03F6E1BD"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313ED45F" w14:textId="77777777" w:rsidR="00A76559" w:rsidRPr="00124668" w:rsidRDefault="00A76559" w:rsidP="00A76559">
      <w:pPr>
        <w:adjustRightInd w:val="0"/>
        <w:snapToGrid w:val="0"/>
        <w:spacing w:after="0" w:line="240" w:lineRule="auto"/>
        <w:jc w:val="center"/>
        <w:rPr>
          <w:rFonts w:ascii="Times New Roman" w:hAnsi="Times New Roman" w:cs="Times New Roman"/>
          <w:b/>
          <w:caps/>
          <w:lang w:val="en-NZ"/>
        </w:rPr>
      </w:pPr>
      <w:r w:rsidRPr="00124668">
        <w:rPr>
          <w:rFonts w:ascii="Times New Roman" w:hAnsi="Times New Roman" w:cs="Times New Roman"/>
          <w:b/>
          <w:caps/>
          <w:lang w:val="en-NZ"/>
        </w:rPr>
        <w:t>Scientific Committee</w:t>
      </w:r>
    </w:p>
    <w:p w14:paraId="526609A4"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745DC669" w14:textId="77777777" w:rsidR="005305E3" w:rsidRPr="00124668" w:rsidRDefault="005305E3" w:rsidP="00A76559">
      <w:pPr>
        <w:adjustRightInd w:val="0"/>
        <w:snapToGrid w:val="0"/>
        <w:spacing w:after="0" w:line="240" w:lineRule="auto"/>
        <w:jc w:val="center"/>
        <w:rPr>
          <w:rFonts w:ascii="Times New Roman" w:hAnsi="Times New Roman" w:cs="Times New Roman"/>
          <w:b/>
        </w:rPr>
      </w:pPr>
    </w:p>
    <w:p w14:paraId="36152F48" w14:textId="4DBCF9B4" w:rsidR="004B05DF" w:rsidRPr="00124668" w:rsidRDefault="004B05DF" w:rsidP="00A76559">
      <w:pPr>
        <w:adjustRightInd w:val="0"/>
        <w:snapToGrid w:val="0"/>
        <w:spacing w:after="0" w:line="240" w:lineRule="auto"/>
        <w:jc w:val="center"/>
        <w:rPr>
          <w:rFonts w:ascii="Times New Roman" w:hAnsi="Times New Roman" w:cs="Times New Roman"/>
          <w:b/>
          <w:caps/>
          <w:sz w:val="28"/>
          <w:szCs w:val="28"/>
        </w:rPr>
      </w:pPr>
      <w:r w:rsidRPr="00124668">
        <w:rPr>
          <w:rFonts w:ascii="Times New Roman" w:hAnsi="Times New Roman" w:cs="Times New Roman"/>
          <w:b/>
          <w:caps/>
          <w:sz w:val="28"/>
          <w:szCs w:val="28"/>
        </w:rPr>
        <w:t>South Pacific Albacore Tuna (</w:t>
      </w:r>
      <w:r w:rsidR="00A76559" w:rsidRPr="00124668">
        <w:rPr>
          <w:rFonts w:ascii="Times New Roman" w:hAnsi="Times New Roman" w:cs="Times New Roman"/>
          <w:b/>
          <w:i/>
          <w:sz w:val="28"/>
          <w:szCs w:val="28"/>
        </w:rPr>
        <w:t>Thunnus alalunga</w:t>
      </w:r>
      <w:r w:rsidRPr="00124668">
        <w:rPr>
          <w:rFonts w:ascii="Times New Roman" w:hAnsi="Times New Roman" w:cs="Times New Roman"/>
          <w:b/>
          <w:caps/>
          <w:sz w:val="28"/>
          <w:szCs w:val="28"/>
        </w:rPr>
        <w:t>)</w:t>
      </w:r>
    </w:p>
    <w:p w14:paraId="48710B11" w14:textId="77777777" w:rsidR="00A76559" w:rsidRPr="00124668" w:rsidRDefault="00A76559" w:rsidP="00A76559">
      <w:pPr>
        <w:adjustRightInd w:val="0"/>
        <w:snapToGrid w:val="0"/>
        <w:spacing w:after="0" w:line="240" w:lineRule="auto"/>
        <w:jc w:val="center"/>
        <w:rPr>
          <w:rFonts w:ascii="Times New Roman" w:hAnsi="Times New Roman" w:cs="Times New Roman"/>
          <w:bCs/>
        </w:rPr>
      </w:pPr>
    </w:p>
    <w:p w14:paraId="65C39F13" w14:textId="33C2756D" w:rsidR="004B05DF" w:rsidRPr="00124668" w:rsidRDefault="004B05DF" w:rsidP="00A76559">
      <w:pPr>
        <w:adjustRightInd w:val="0"/>
        <w:snapToGrid w:val="0"/>
        <w:spacing w:after="0" w:line="240" w:lineRule="auto"/>
        <w:jc w:val="center"/>
        <w:rPr>
          <w:rFonts w:ascii="Times New Roman" w:hAnsi="Times New Roman" w:cs="Times New Roman"/>
          <w:bCs/>
          <w:caps/>
        </w:rPr>
      </w:pPr>
      <w:r w:rsidRPr="00124668">
        <w:rPr>
          <w:rFonts w:ascii="Times New Roman" w:hAnsi="Times New Roman" w:cs="Times New Roman"/>
          <w:bCs/>
          <w:caps/>
        </w:rPr>
        <w:t xml:space="preserve">Stock Status </w:t>
      </w:r>
      <w:r w:rsidR="00A76559" w:rsidRPr="00124668">
        <w:rPr>
          <w:rFonts w:ascii="Times New Roman" w:hAnsi="Times New Roman" w:cs="Times New Roman"/>
          <w:bCs/>
          <w:caps/>
        </w:rPr>
        <w:t xml:space="preserve">And </w:t>
      </w:r>
      <w:r w:rsidRPr="00124668">
        <w:rPr>
          <w:rFonts w:ascii="Times New Roman" w:hAnsi="Times New Roman" w:cs="Times New Roman"/>
          <w:bCs/>
          <w:caps/>
        </w:rPr>
        <w:t>Management Advice</w:t>
      </w:r>
    </w:p>
    <w:p w14:paraId="461F9FCD" w14:textId="46426712"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7C78F115" w14:textId="46C5A0C6"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26B5A65F" w14:textId="21BC4735"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4F0474AD" w14:textId="78FCE211"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1879A27C" w14:textId="0D5B2FB7"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7E422996" w14:textId="4B4262D7"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4CD6BBFB" w14:textId="64F658E9"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59BDBC7B" w14:textId="5EF4B2B8"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6C79163B" w14:textId="7C56CA05"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1CBA779E" w14:textId="77777777" w:rsidR="004B05DF" w:rsidRPr="00124668" w:rsidRDefault="004B05DF" w:rsidP="00A76559">
      <w:pPr>
        <w:adjustRightInd w:val="0"/>
        <w:snapToGrid w:val="0"/>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388BA877" w14:textId="77777777" w:rsidR="004B05DF" w:rsidRPr="00124668" w:rsidRDefault="004B05DF" w:rsidP="00124668">
          <w:pPr>
            <w:pStyle w:val="TOCHeading"/>
            <w:adjustRightInd w:val="0"/>
            <w:snapToGrid w:val="0"/>
            <w:spacing w:before="0" w:after="240" w:line="240" w:lineRule="auto"/>
            <w:rPr>
              <w:rFonts w:ascii="Times New Roman" w:hAnsi="Times New Roman" w:cs="Times New Roman"/>
              <w:b/>
              <w:bCs/>
              <w:sz w:val="28"/>
              <w:szCs w:val="28"/>
            </w:rPr>
          </w:pPr>
          <w:r w:rsidRPr="00124668">
            <w:rPr>
              <w:rFonts w:ascii="Times New Roman" w:hAnsi="Times New Roman" w:cs="Times New Roman"/>
              <w:b/>
              <w:bCs/>
              <w:sz w:val="28"/>
              <w:szCs w:val="28"/>
            </w:rPr>
            <w:t>Contents</w:t>
          </w:r>
        </w:p>
        <w:p w14:paraId="771C796D" w14:textId="5DD00574" w:rsidR="00BB3AE5" w:rsidRPr="00BB3AE5" w:rsidRDefault="004B05DF" w:rsidP="00BB3AE5">
          <w:pPr>
            <w:pStyle w:val="TOC1"/>
            <w:rPr>
              <w:rFonts w:asciiTheme="minorHAnsi" w:eastAsiaTheme="minorEastAsia" w:hAnsiTheme="minorHAnsi" w:cstheme="minorBidi"/>
              <w:lang w:val="en-US" w:eastAsia="ko-KR"/>
            </w:rPr>
          </w:pPr>
          <w:r w:rsidRPr="00BB3AE5">
            <w:rPr>
              <w:noProof w:val="0"/>
            </w:rPr>
            <w:fldChar w:fldCharType="begin"/>
          </w:r>
          <w:r w:rsidRPr="00BB3AE5">
            <w:instrText xml:space="preserve"> TOC \o "1-3" \h \z \u </w:instrText>
          </w:r>
          <w:r w:rsidRPr="00BB3AE5">
            <w:rPr>
              <w:noProof w:val="0"/>
            </w:rPr>
            <w:fldChar w:fldCharType="separate"/>
          </w:r>
          <w:hyperlink w:anchor="_Toc24979562" w:history="1">
            <w:r w:rsidR="00BB3AE5" w:rsidRPr="00BB3AE5">
              <w:rPr>
                <w:rStyle w:val="Hyperlink"/>
              </w:rPr>
              <w:t>SC15 2019 (FISHERY INDICATORS UPDATED)</w:t>
            </w:r>
            <w:r w:rsidR="00BB3AE5" w:rsidRPr="00BB3AE5">
              <w:rPr>
                <w:webHidden/>
              </w:rPr>
              <w:tab/>
            </w:r>
            <w:r w:rsidR="00BB3AE5" w:rsidRPr="00BB3AE5">
              <w:rPr>
                <w:webHidden/>
              </w:rPr>
              <w:fldChar w:fldCharType="begin"/>
            </w:r>
            <w:r w:rsidR="00BB3AE5" w:rsidRPr="00BB3AE5">
              <w:rPr>
                <w:webHidden/>
              </w:rPr>
              <w:instrText xml:space="preserve"> PAGEREF _Toc24979562 \h </w:instrText>
            </w:r>
            <w:r w:rsidR="00BB3AE5" w:rsidRPr="00BB3AE5">
              <w:rPr>
                <w:webHidden/>
              </w:rPr>
            </w:r>
            <w:r w:rsidR="00BB3AE5" w:rsidRPr="00BB3AE5">
              <w:rPr>
                <w:webHidden/>
              </w:rPr>
              <w:fldChar w:fldCharType="separate"/>
            </w:r>
            <w:r w:rsidR="00BB3AE5" w:rsidRPr="00BB3AE5">
              <w:rPr>
                <w:webHidden/>
              </w:rPr>
              <w:t>2</w:t>
            </w:r>
            <w:r w:rsidR="00BB3AE5" w:rsidRPr="00BB3AE5">
              <w:rPr>
                <w:webHidden/>
              </w:rPr>
              <w:fldChar w:fldCharType="end"/>
            </w:r>
          </w:hyperlink>
        </w:p>
        <w:p w14:paraId="1A6B4D46" w14:textId="5A03C170" w:rsidR="00BB3AE5" w:rsidRPr="00BB3AE5" w:rsidRDefault="001435AC" w:rsidP="00BB3AE5">
          <w:pPr>
            <w:pStyle w:val="TOC1"/>
            <w:rPr>
              <w:rFonts w:asciiTheme="minorHAnsi" w:eastAsiaTheme="minorEastAsia" w:hAnsiTheme="minorHAnsi" w:cstheme="minorBidi"/>
              <w:lang w:val="en-US" w:eastAsia="ko-KR"/>
            </w:rPr>
          </w:pPr>
          <w:hyperlink w:anchor="_Toc24979563" w:history="1">
            <w:r w:rsidR="00BB3AE5" w:rsidRPr="00BB3AE5">
              <w:rPr>
                <w:rStyle w:val="Hyperlink"/>
              </w:rPr>
              <w:t>SC14 2018 (STOCK ASSESSMENT CONDUCTED)</w:t>
            </w:r>
            <w:r w:rsidR="00BB3AE5" w:rsidRPr="00BB3AE5">
              <w:rPr>
                <w:webHidden/>
              </w:rPr>
              <w:tab/>
            </w:r>
            <w:r w:rsidR="00BB3AE5" w:rsidRPr="00BB3AE5">
              <w:rPr>
                <w:webHidden/>
              </w:rPr>
              <w:fldChar w:fldCharType="begin"/>
            </w:r>
            <w:r w:rsidR="00BB3AE5" w:rsidRPr="00BB3AE5">
              <w:rPr>
                <w:webHidden/>
              </w:rPr>
              <w:instrText xml:space="preserve"> PAGEREF _Toc24979563 \h </w:instrText>
            </w:r>
            <w:r w:rsidR="00BB3AE5" w:rsidRPr="00BB3AE5">
              <w:rPr>
                <w:webHidden/>
              </w:rPr>
            </w:r>
            <w:r w:rsidR="00BB3AE5" w:rsidRPr="00BB3AE5">
              <w:rPr>
                <w:webHidden/>
              </w:rPr>
              <w:fldChar w:fldCharType="separate"/>
            </w:r>
            <w:r w:rsidR="00BB3AE5" w:rsidRPr="00BB3AE5">
              <w:rPr>
                <w:webHidden/>
              </w:rPr>
              <w:t>3</w:t>
            </w:r>
            <w:r w:rsidR="00BB3AE5" w:rsidRPr="00BB3AE5">
              <w:rPr>
                <w:webHidden/>
              </w:rPr>
              <w:fldChar w:fldCharType="end"/>
            </w:r>
          </w:hyperlink>
        </w:p>
        <w:p w14:paraId="218047E1" w14:textId="5A269FEE" w:rsidR="00BB3AE5" w:rsidRPr="00BB3AE5" w:rsidRDefault="001435AC" w:rsidP="00BB3AE5">
          <w:pPr>
            <w:pStyle w:val="TOC1"/>
            <w:rPr>
              <w:rFonts w:asciiTheme="minorHAnsi" w:eastAsiaTheme="minorEastAsia" w:hAnsiTheme="minorHAnsi" w:cstheme="minorBidi"/>
              <w:lang w:val="en-US" w:eastAsia="ko-KR"/>
            </w:rPr>
          </w:pPr>
          <w:hyperlink w:anchor="_Toc24979564" w:history="1">
            <w:r w:rsidR="00BB3AE5" w:rsidRPr="00BB3AE5">
              <w:rPr>
                <w:rStyle w:val="Hyperlink"/>
              </w:rPr>
              <w:t>SC13 2017 (FISHERY INDICATORS UPDATED)</w:t>
            </w:r>
            <w:r w:rsidR="00BB3AE5" w:rsidRPr="00BB3AE5">
              <w:rPr>
                <w:webHidden/>
              </w:rPr>
              <w:tab/>
            </w:r>
            <w:r w:rsidR="00BB3AE5" w:rsidRPr="00BB3AE5">
              <w:rPr>
                <w:webHidden/>
              </w:rPr>
              <w:fldChar w:fldCharType="begin"/>
            </w:r>
            <w:r w:rsidR="00BB3AE5" w:rsidRPr="00BB3AE5">
              <w:rPr>
                <w:webHidden/>
              </w:rPr>
              <w:instrText xml:space="preserve"> PAGEREF _Toc24979564 \h </w:instrText>
            </w:r>
            <w:r w:rsidR="00BB3AE5" w:rsidRPr="00BB3AE5">
              <w:rPr>
                <w:webHidden/>
              </w:rPr>
            </w:r>
            <w:r w:rsidR="00BB3AE5" w:rsidRPr="00BB3AE5">
              <w:rPr>
                <w:webHidden/>
              </w:rPr>
              <w:fldChar w:fldCharType="separate"/>
            </w:r>
            <w:r w:rsidR="00BB3AE5" w:rsidRPr="00BB3AE5">
              <w:rPr>
                <w:webHidden/>
              </w:rPr>
              <w:t>9</w:t>
            </w:r>
            <w:r w:rsidR="00BB3AE5" w:rsidRPr="00BB3AE5">
              <w:rPr>
                <w:webHidden/>
              </w:rPr>
              <w:fldChar w:fldCharType="end"/>
            </w:r>
          </w:hyperlink>
        </w:p>
        <w:p w14:paraId="51524739" w14:textId="76E1787F" w:rsidR="00BB3AE5" w:rsidRPr="00BB3AE5" w:rsidRDefault="001435AC" w:rsidP="00BB3AE5">
          <w:pPr>
            <w:pStyle w:val="TOC1"/>
            <w:rPr>
              <w:rFonts w:eastAsiaTheme="minorEastAsia" w:cstheme="minorBidi"/>
              <w:lang w:val="en-US" w:eastAsia="ko-KR"/>
            </w:rPr>
          </w:pPr>
          <w:hyperlink w:anchor="_Toc24979565" w:history="1">
            <w:r w:rsidR="00BB3AE5" w:rsidRPr="00BB3AE5">
              <w:rPr>
                <w:rStyle w:val="Hyperlink"/>
              </w:rPr>
              <w:t>Useful References</w:t>
            </w:r>
            <w:r w:rsidR="00BB3AE5" w:rsidRPr="00BB3AE5">
              <w:rPr>
                <w:webHidden/>
              </w:rPr>
              <w:tab/>
            </w:r>
            <w:r w:rsidR="00BB3AE5" w:rsidRPr="00BB3AE5">
              <w:rPr>
                <w:webHidden/>
              </w:rPr>
              <w:fldChar w:fldCharType="begin"/>
            </w:r>
            <w:r w:rsidR="00BB3AE5" w:rsidRPr="00BB3AE5">
              <w:rPr>
                <w:webHidden/>
              </w:rPr>
              <w:instrText xml:space="preserve"> PAGEREF _Toc24979565 \h </w:instrText>
            </w:r>
            <w:r w:rsidR="00BB3AE5" w:rsidRPr="00BB3AE5">
              <w:rPr>
                <w:webHidden/>
              </w:rPr>
            </w:r>
            <w:r w:rsidR="00BB3AE5" w:rsidRPr="00BB3AE5">
              <w:rPr>
                <w:webHidden/>
              </w:rPr>
              <w:fldChar w:fldCharType="separate"/>
            </w:r>
            <w:r w:rsidR="00BB3AE5" w:rsidRPr="00BB3AE5">
              <w:rPr>
                <w:webHidden/>
              </w:rPr>
              <w:t>11</w:t>
            </w:r>
            <w:r w:rsidR="00BB3AE5" w:rsidRPr="00BB3AE5">
              <w:rPr>
                <w:webHidden/>
              </w:rPr>
              <w:fldChar w:fldCharType="end"/>
            </w:r>
          </w:hyperlink>
        </w:p>
        <w:p w14:paraId="5C83304B" w14:textId="2D7813C8" w:rsidR="00BB3AE5" w:rsidRPr="00BB3AE5" w:rsidRDefault="001435AC" w:rsidP="00BB3AE5">
          <w:pPr>
            <w:pStyle w:val="TOC1"/>
            <w:rPr>
              <w:rFonts w:asciiTheme="minorHAnsi" w:eastAsiaTheme="minorEastAsia" w:hAnsiTheme="minorHAnsi" w:cstheme="minorBidi"/>
              <w:lang w:val="en-US" w:eastAsia="ko-KR"/>
            </w:rPr>
          </w:pPr>
          <w:hyperlink w:anchor="_Toc24979566" w:history="1">
            <w:r w:rsidR="00BB3AE5" w:rsidRPr="00BB3AE5">
              <w:rPr>
                <w:rStyle w:val="Hyperlink"/>
              </w:rPr>
              <w:t>Previous Assessments</w:t>
            </w:r>
            <w:r w:rsidR="00BB3AE5" w:rsidRPr="00BB3AE5">
              <w:rPr>
                <w:webHidden/>
              </w:rPr>
              <w:tab/>
            </w:r>
            <w:r w:rsidR="00BB3AE5" w:rsidRPr="00BB3AE5">
              <w:rPr>
                <w:webHidden/>
              </w:rPr>
              <w:fldChar w:fldCharType="begin"/>
            </w:r>
            <w:r w:rsidR="00BB3AE5" w:rsidRPr="00BB3AE5">
              <w:rPr>
                <w:webHidden/>
              </w:rPr>
              <w:instrText xml:space="preserve"> PAGEREF _Toc24979566 \h </w:instrText>
            </w:r>
            <w:r w:rsidR="00BB3AE5" w:rsidRPr="00BB3AE5">
              <w:rPr>
                <w:webHidden/>
              </w:rPr>
            </w:r>
            <w:r w:rsidR="00BB3AE5" w:rsidRPr="00BB3AE5">
              <w:rPr>
                <w:webHidden/>
              </w:rPr>
              <w:fldChar w:fldCharType="separate"/>
            </w:r>
            <w:r w:rsidR="00BB3AE5" w:rsidRPr="00BB3AE5">
              <w:rPr>
                <w:webHidden/>
              </w:rPr>
              <w:t>11</w:t>
            </w:r>
            <w:r w:rsidR="00BB3AE5" w:rsidRPr="00BB3AE5">
              <w:rPr>
                <w:webHidden/>
              </w:rPr>
              <w:fldChar w:fldCharType="end"/>
            </w:r>
          </w:hyperlink>
        </w:p>
        <w:p w14:paraId="61195B11" w14:textId="2FE09E3D" w:rsidR="004B05DF" w:rsidRPr="00124668" w:rsidRDefault="004B05DF" w:rsidP="00124668">
          <w:pPr>
            <w:adjustRightInd w:val="0"/>
            <w:snapToGrid w:val="0"/>
            <w:spacing w:after="240" w:line="240" w:lineRule="auto"/>
            <w:rPr>
              <w:rFonts w:ascii="Times New Roman" w:hAnsi="Times New Roman" w:cs="Times New Roman"/>
            </w:rPr>
          </w:pPr>
          <w:r w:rsidRPr="00BB3AE5">
            <w:rPr>
              <w:rFonts w:ascii="Times New Roman" w:hAnsi="Times New Roman" w:cs="Times New Roman"/>
              <w:noProof/>
            </w:rPr>
            <w:fldChar w:fldCharType="end"/>
          </w:r>
        </w:p>
      </w:sdtContent>
    </w:sdt>
    <w:p w14:paraId="54EE103A" w14:textId="77777777" w:rsidR="00A76559" w:rsidRPr="00124668" w:rsidRDefault="00A76559" w:rsidP="00A76559">
      <w:pPr>
        <w:adjustRightInd w:val="0"/>
        <w:snapToGrid w:val="0"/>
        <w:spacing w:after="0" w:line="240" w:lineRule="auto"/>
        <w:rPr>
          <w:rFonts w:ascii="Times New Roman" w:eastAsiaTheme="majorEastAsia" w:hAnsi="Times New Roman" w:cs="Times New Roman"/>
          <w:color w:val="2F5496" w:themeColor="accent1" w:themeShade="BF"/>
          <w:sz w:val="32"/>
          <w:szCs w:val="32"/>
        </w:rPr>
      </w:pPr>
      <w:r w:rsidRPr="00124668">
        <w:rPr>
          <w:rFonts w:ascii="Times New Roman" w:hAnsi="Times New Roman" w:cs="Times New Roman"/>
        </w:rPr>
        <w:br w:type="page"/>
      </w:r>
    </w:p>
    <w:p w14:paraId="6286838B" w14:textId="15FA9883" w:rsidR="00A76559" w:rsidRPr="00124668" w:rsidRDefault="00A76559" w:rsidP="00A76559">
      <w:pPr>
        <w:pStyle w:val="Heading1"/>
        <w:adjustRightInd w:val="0"/>
        <w:snapToGrid w:val="0"/>
        <w:spacing w:before="0" w:line="240" w:lineRule="auto"/>
        <w:rPr>
          <w:rFonts w:ascii="Times New Roman" w:hAnsi="Times New Roman" w:cs="Times New Roman"/>
          <w:b/>
          <w:bCs/>
          <w:sz w:val="28"/>
          <w:szCs w:val="28"/>
        </w:rPr>
      </w:pPr>
      <w:bookmarkStart w:id="1" w:name="_Toc24979562"/>
      <w:r w:rsidRPr="00124668">
        <w:rPr>
          <w:rFonts w:ascii="Times New Roman" w:hAnsi="Times New Roman" w:cs="Times New Roman"/>
          <w:b/>
          <w:bCs/>
          <w:sz w:val="28"/>
          <w:szCs w:val="28"/>
        </w:rPr>
        <w:lastRenderedPageBreak/>
        <w:t>SC15 2019 (FISHERY INDICATORS UPDATED)</w:t>
      </w:r>
      <w:bookmarkEnd w:id="1"/>
    </w:p>
    <w:p w14:paraId="5D7168ED" w14:textId="77777777" w:rsidR="00A76559" w:rsidRPr="00124668" w:rsidRDefault="00A76559" w:rsidP="00A76559">
      <w:pPr>
        <w:adjustRightInd w:val="0"/>
        <w:snapToGrid w:val="0"/>
        <w:spacing w:after="0" w:line="240" w:lineRule="auto"/>
        <w:rPr>
          <w:rFonts w:ascii="Times New Roman" w:hAnsi="Times New Roman" w:cs="Times New Roman"/>
        </w:rPr>
      </w:pPr>
    </w:p>
    <w:p w14:paraId="4F4C35CC" w14:textId="77777777" w:rsidR="00124668" w:rsidRPr="00124668" w:rsidRDefault="00124668" w:rsidP="00124668">
      <w:pPr>
        <w:pStyle w:val="ListParagraph"/>
        <w:numPr>
          <w:ilvl w:val="0"/>
          <w:numId w:val="7"/>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b/>
          <w:bCs/>
        </w:rPr>
      </w:pPr>
      <w:r w:rsidRPr="00124668">
        <w:rPr>
          <w:rFonts w:ascii="Times New Roman" w:hAnsi="Times New Roman" w:cs="Times New Roman"/>
          <w:b/>
          <w:bCs/>
        </w:rPr>
        <w:t xml:space="preserve">Stock status and trends </w:t>
      </w:r>
    </w:p>
    <w:p w14:paraId="39B8B0EC"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7D681117" w14:textId="77777777" w:rsidR="00124668" w:rsidRPr="00124668" w:rsidRDefault="00124668" w:rsidP="00124668">
      <w:pPr>
        <w:pStyle w:val="WCPFC"/>
        <w:adjustRightInd w:val="0"/>
        <w:spacing w:after="0"/>
        <w:ind w:left="0" w:firstLine="0"/>
        <w:rPr>
          <w:rFonts w:cs="Times New Roman"/>
          <w:bCs/>
          <w:lang w:val="en-AU"/>
        </w:rPr>
      </w:pPr>
      <w:r w:rsidRPr="00124668">
        <w:rPr>
          <w:rFonts w:cs="Times New Roman"/>
          <w:bCs/>
          <w:lang w:val="en-AU"/>
        </w:rPr>
        <w:t xml:space="preserve">SC15 noted that no stock assessments were conducted for South Pacific albacore in 2019. Therefore, the stock status descriptions from SC14 are still current for South Pacific albacore. </w:t>
      </w:r>
      <w:r w:rsidRPr="00124668">
        <w:rPr>
          <w:rFonts w:cs="Times New Roman"/>
        </w:rPr>
        <w:t xml:space="preserve">For further information on the stock status and trends from SC14, please see </w:t>
      </w:r>
      <w:hyperlink r:id="rId9" w:history="1">
        <w:r w:rsidRPr="00124668">
          <w:rPr>
            <w:rStyle w:val="Hyperlink"/>
            <w:rFonts w:cs="Times New Roman"/>
          </w:rPr>
          <w:t>https://www.wcpfc.int/node/32155</w:t>
        </w:r>
      </w:hyperlink>
      <w:r w:rsidRPr="00124668">
        <w:rPr>
          <w:rFonts w:cs="Times New Roman"/>
          <w:color w:val="0000FF"/>
        </w:rPr>
        <w:t>.</w:t>
      </w:r>
      <w:r w:rsidRPr="00124668">
        <w:rPr>
          <w:rFonts w:cs="Times New Roman"/>
          <w:b/>
          <w:bCs/>
          <w:color w:val="0000FF"/>
        </w:rPr>
        <w:t xml:space="preserve"> </w:t>
      </w:r>
      <w:r w:rsidRPr="00124668">
        <w:rPr>
          <w:rFonts w:cs="Times New Roman"/>
          <w:bCs/>
          <w:lang w:val="en-AU"/>
        </w:rPr>
        <w:t>Updated information on fishery trends and indicators were compiled for and reviewed by SC15.</w:t>
      </w:r>
    </w:p>
    <w:p w14:paraId="1C64AAE0" w14:textId="77777777" w:rsidR="00124668" w:rsidRPr="00124668" w:rsidRDefault="00124668" w:rsidP="00124668">
      <w:pPr>
        <w:autoSpaceDE w:val="0"/>
        <w:autoSpaceDN w:val="0"/>
        <w:adjustRightInd w:val="0"/>
        <w:snapToGrid w:val="0"/>
        <w:spacing w:after="0" w:line="240" w:lineRule="auto"/>
        <w:jc w:val="both"/>
        <w:rPr>
          <w:rFonts w:ascii="Times New Roman" w:hAnsi="Times New Roman" w:cs="Times New Roman"/>
          <w:bCs/>
          <w:lang w:val="en-AU"/>
        </w:rPr>
      </w:pPr>
    </w:p>
    <w:p w14:paraId="5CFC0F3E" w14:textId="77777777" w:rsidR="00124668" w:rsidRPr="00124668" w:rsidRDefault="00124668" w:rsidP="00124668">
      <w:pPr>
        <w:pStyle w:val="WCPFC"/>
        <w:adjustRightInd w:val="0"/>
        <w:spacing w:after="0"/>
        <w:ind w:left="0" w:firstLine="0"/>
        <w:rPr>
          <w:rFonts w:cs="Times New Roman"/>
          <w:bCs/>
          <w:lang w:val="en-AU"/>
        </w:rPr>
      </w:pPr>
      <w:r w:rsidRPr="00124668">
        <w:rPr>
          <w:rFonts w:cs="Times New Roman"/>
          <w:bCs/>
        </w:rPr>
        <w:t>SC15 noted that the total</w:t>
      </w:r>
      <w:r w:rsidRPr="00124668">
        <w:rPr>
          <w:rFonts w:cs="Times New Roman"/>
          <w:bCs/>
          <w:lang w:val="en-AU"/>
        </w:rPr>
        <w:t xml:space="preserve"> provisional Pacific Ocean catch south of the equator in 2018, updated since the paper was submitted, was 80,820 mt, a 13% decrease from 2017 and a 2% decrease from the average 2013-2017. Longline catch in 2018 (77,776 mt) was a 14% decrease from 2017 and an 8% decrease from the 2013-2017 average.</w:t>
      </w:r>
    </w:p>
    <w:p w14:paraId="4CE19C62" w14:textId="77777777" w:rsidR="00124668" w:rsidRPr="00124668" w:rsidRDefault="00124668" w:rsidP="00124668">
      <w:pPr>
        <w:pStyle w:val="ListParagraph"/>
        <w:adjustRightInd w:val="0"/>
        <w:snapToGrid w:val="0"/>
        <w:spacing w:after="0" w:line="240" w:lineRule="auto"/>
        <w:ind w:left="0"/>
        <w:contextualSpacing w:val="0"/>
        <w:jc w:val="both"/>
        <w:rPr>
          <w:rFonts w:ascii="Times New Roman" w:hAnsi="Times New Roman" w:cs="Times New Roman"/>
          <w:bCs/>
          <w:lang w:val="en-AU"/>
        </w:rPr>
      </w:pPr>
    </w:p>
    <w:p w14:paraId="063933CC" w14:textId="77777777" w:rsidR="00124668" w:rsidRPr="00124668" w:rsidRDefault="00124668" w:rsidP="00124668">
      <w:pPr>
        <w:pStyle w:val="WCPFC"/>
        <w:adjustRightInd w:val="0"/>
        <w:spacing w:after="0"/>
        <w:ind w:left="0" w:firstLine="0"/>
        <w:rPr>
          <w:rFonts w:cs="Times New Roman"/>
          <w:bCs/>
          <w:lang w:val="en-AU"/>
        </w:rPr>
      </w:pPr>
      <w:r w:rsidRPr="00124668">
        <w:rPr>
          <w:rFonts w:cs="Times New Roman"/>
        </w:rPr>
        <w:t>The average stock status in 2016 (the last year of the assessment) across the 72 model runs was SB</w:t>
      </w:r>
      <w:r w:rsidRPr="00124668">
        <w:rPr>
          <w:rFonts w:cs="Times New Roman"/>
          <w:vertAlign w:val="subscript"/>
        </w:rPr>
        <w:t>latest</w:t>
      </w:r>
      <w:r w:rsidRPr="00124668">
        <w:rPr>
          <w:rFonts w:cs="Times New Roman"/>
        </w:rPr>
        <w:t>/SB</w:t>
      </w:r>
      <w:r w:rsidRPr="00124668">
        <w:rPr>
          <w:rFonts w:cs="Times New Roman"/>
          <w:vertAlign w:val="subscript"/>
        </w:rPr>
        <w:t>F=0</w:t>
      </w:r>
      <w:r w:rsidRPr="00124668">
        <w:rPr>
          <w:rFonts w:cs="Times New Roman"/>
        </w:rPr>
        <w:t xml:space="preserve"> = 0.52, below the interim target reference point (SB</w:t>
      </w:r>
      <w:r w:rsidRPr="00124668">
        <w:rPr>
          <w:rFonts w:cs="Times New Roman"/>
          <w:vertAlign w:val="subscript"/>
        </w:rPr>
        <w:t>latest</w:t>
      </w:r>
      <w:r w:rsidRPr="00124668">
        <w:rPr>
          <w:rFonts w:cs="Times New Roman"/>
        </w:rPr>
        <w:t>/SB</w:t>
      </w:r>
      <w:r w:rsidRPr="00124668">
        <w:rPr>
          <w:rFonts w:cs="Times New Roman"/>
          <w:vertAlign w:val="subscript"/>
        </w:rPr>
        <w:t>F=0</w:t>
      </w:r>
      <w:r w:rsidRPr="00124668">
        <w:rPr>
          <w:rFonts w:cs="Times New Roman"/>
        </w:rPr>
        <w:t xml:space="preserve"> = 0.56) established by the WCPFC in 2018. The probability of being below the TRP in 2016 is 63%. The stock is not overfished nor is overfishing occurring.</w:t>
      </w:r>
    </w:p>
    <w:p w14:paraId="5B84C491" w14:textId="77777777" w:rsidR="00124668" w:rsidRPr="00124668" w:rsidRDefault="00124668" w:rsidP="00124668">
      <w:pPr>
        <w:autoSpaceDE w:val="0"/>
        <w:autoSpaceDN w:val="0"/>
        <w:adjustRightInd w:val="0"/>
        <w:snapToGrid w:val="0"/>
        <w:spacing w:after="0" w:line="240" w:lineRule="auto"/>
        <w:jc w:val="both"/>
        <w:rPr>
          <w:rFonts w:ascii="Times New Roman" w:hAnsi="Times New Roman" w:cs="Times New Roman"/>
          <w:bCs/>
          <w:lang w:val="en-AU"/>
        </w:rPr>
      </w:pPr>
    </w:p>
    <w:p w14:paraId="0F75D601" w14:textId="77777777" w:rsidR="00124668" w:rsidRPr="00124668" w:rsidRDefault="00124668" w:rsidP="00124668">
      <w:pPr>
        <w:pStyle w:val="WCPFC"/>
        <w:adjustRightInd w:val="0"/>
        <w:spacing w:after="0"/>
        <w:ind w:left="0" w:firstLine="0"/>
        <w:rPr>
          <w:rFonts w:cs="Times New Roman"/>
          <w:bCs/>
          <w:lang w:val="en-AU"/>
        </w:rPr>
      </w:pPr>
      <w:r w:rsidRPr="00124668">
        <w:rPr>
          <w:rFonts w:cs="Times New Roman"/>
        </w:rPr>
        <w:t xml:space="preserve">SC15 noted projections from the 2018 assessment which apply to the WCPFC Convention Area. The historical status and projections have a greater uncertainty in spawning stock depletion than observed for bigeye and yellowfin tuna because </w:t>
      </w:r>
      <w:r w:rsidRPr="00124668">
        <w:rPr>
          <w:rFonts w:cs="Times New Roman"/>
          <w:bCs/>
          <w:lang w:val="en-AU"/>
        </w:rPr>
        <w:t xml:space="preserve">South Pacific albacore </w:t>
      </w:r>
      <w:r w:rsidRPr="00124668">
        <w:rPr>
          <w:rFonts w:cs="Times New Roman"/>
        </w:rPr>
        <w:t>has a different grid which incorporates natural mortality and growth, and this gives a wider spread of uncertainty. 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historical estimates The projections indicate that median F</w:t>
      </w:r>
      <w:r w:rsidRPr="00124668">
        <w:rPr>
          <w:rFonts w:cs="Times New Roman"/>
          <w:vertAlign w:val="subscript"/>
        </w:rPr>
        <w:t>2020</w:t>
      </w:r>
      <w:r w:rsidRPr="00124668">
        <w:rPr>
          <w:rFonts w:cs="Times New Roman"/>
        </w:rPr>
        <w:t>/F</w:t>
      </w:r>
      <w:r w:rsidRPr="00124668">
        <w:rPr>
          <w:rFonts w:cs="Times New Roman"/>
          <w:vertAlign w:val="subscript"/>
        </w:rPr>
        <w:t>MSY</w:t>
      </w:r>
      <w:r w:rsidRPr="00124668">
        <w:rPr>
          <w:rFonts w:cs="Times New Roman"/>
        </w:rPr>
        <w:t xml:space="preserve"> = 0.24; median SB</w:t>
      </w:r>
      <w:r w:rsidRPr="00124668">
        <w:rPr>
          <w:rFonts w:cs="Times New Roman"/>
          <w:vertAlign w:val="subscript"/>
        </w:rPr>
        <w:t>2020</w:t>
      </w:r>
      <w:r w:rsidRPr="00124668">
        <w:rPr>
          <w:rFonts w:cs="Times New Roman"/>
        </w:rPr>
        <w:t>/SB</w:t>
      </w:r>
      <w:r w:rsidRPr="00124668">
        <w:rPr>
          <w:rFonts w:cs="Times New Roman"/>
          <w:vertAlign w:val="subscript"/>
        </w:rPr>
        <w:t>F=0</w:t>
      </w:r>
      <w:r w:rsidRPr="00124668">
        <w:rPr>
          <w:rFonts w:cs="Times New Roman"/>
        </w:rPr>
        <w:t xml:space="preserve"> = 0.43; and median SB</w:t>
      </w:r>
      <w:r w:rsidRPr="00124668">
        <w:rPr>
          <w:rFonts w:cs="Times New Roman"/>
          <w:vertAlign w:val="subscript"/>
        </w:rPr>
        <w:t>2020</w:t>
      </w:r>
      <w:r w:rsidRPr="00124668">
        <w:rPr>
          <w:rFonts w:cs="Times New Roman"/>
        </w:rPr>
        <w:t>/SB</w:t>
      </w:r>
      <w:r w:rsidRPr="00124668">
        <w:rPr>
          <w:rFonts w:cs="Times New Roman"/>
          <w:vertAlign w:val="subscript"/>
        </w:rPr>
        <w:t>MSY</w:t>
      </w:r>
      <w:r w:rsidRPr="00124668">
        <w:rPr>
          <w:rFonts w:cs="Times New Roman"/>
        </w:rPr>
        <w:t xml:space="preserve"> = 3.2. The risk that SB</w:t>
      </w:r>
      <w:r w:rsidRPr="00124668">
        <w:rPr>
          <w:rFonts w:cs="Times New Roman"/>
          <w:vertAlign w:val="subscript"/>
        </w:rPr>
        <w:t>2020</w:t>
      </w:r>
      <w:r w:rsidRPr="00124668">
        <w:rPr>
          <w:rFonts w:cs="Times New Roman"/>
        </w:rPr>
        <w:t>/SB</w:t>
      </w:r>
      <w:r w:rsidRPr="00124668">
        <w:rPr>
          <w:rFonts w:cs="Times New Roman"/>
          <w:vertAlign w:val="subscript"/>
        </w:rPr>
        <w:t>F=0</w:t>
      </w:r>
      <w:r w:rsidRPr="00124668">
        <w:rPr>
          <w:rFonts w:cs="Times New Roman"/>
        </w:rPr>
        <w:t xml:space="preserve"> &lt; LRP = 0%, SB</w:t>
      </w:r>
      <w:r w:rsidRPr="00124668">
        <w:rPr>
          <w:rFonts w:cs="Times New Roman"/>
          <w:vertAlign w:val="subscript"/>
        </w:rPr>
        <w:t>2020</w:t>
      </w:r>
      <w:r w:rsidRPr="00124668">
        <w:rPr>
          <w:rFonts w:cs="Times New Roman"/>
        </w:rPr>
        <w:t xml:space="preserve"> &lt; SB</w:t>
      </w:r>
      <w:r w:rsidRPr="00124668">
        <w:rPr>
          <w:rFonts w:cs="Times New Roman"/>
          <w:vertAlign w:val="subscript"/>
        </w:rPr>
        <w:t>MSY</w:t>
      </w:r>
      <w:r w:rsidRPr="00124668">
        <w:rPr>
          <w:rFonts w:cs="Times New Roman"/>
        </w:rPr>
        <w:t xml:space="preserve"> = 0% and F</w:t>
      </w:r>
      <w:r w:rsidRPr="00124668">
        <w:rPr>
          <w:rFonts w:cs="Times New Roman"/>
          <w:vertAlign w:val="subscript"/>
        </w:rPr>
        <w:t>2020</w:t>
      </w:r>
      <w:r w:rsidRPr="00124668">
        <w:rPr>
          <w:rFonts w:cs="Times New Roman"/>
        </w:rPr>
        <w:t xml:space="preserve"> &gt; F</w:t>
      </w:r>
      <w:r w:rsidRPr="00124668">
        <w:rPr>
          <w:rFonts w:cs="Times New Roman"/>
          <w:vertAlign w:val="subscript"/>
        </w:rPr>
        <w:t>MSY</w:t>
      </w:r>
      <w:r w:rsidRPr="00124668">
        <w:rPr>
          <w:rFonts w:cs="Times New Roman"/>
        </w:rPr>
        <w:t xml:space="preserve"> = 0%.</w:t>
      </w:r>
    </w:p>
    <w:p w14:paraId="369FAA59" w14:textId="77777777" w:rsidR="00124668" w:rsidRPr="00124668" w:rsidRDefault="00124668" w:rsidP="00124668">
      <w:pPr>
        <w:autoSpaceDE w:val="0"/>
        <w:autoSpaceDN w:val="0"/>
        <w:adjustRightInd w:val="0"/>
        <w:snapToGrid w:val="0"/>
        <w:spacing w:after="0" w:line="240" w:lineRule="auto"/>
        <w:jc w:val="both"/>
        <w:rPr>
          <w:rFonts w:ascii="Times New Roman" w:hAnsi="Times New Roman" w:cs="Times New Roman"/>
        </w:rPr>
      </w:pPr>
    </w:p>
    <w:p w14:paraId="2656E4D6" w14:textId="77777777" w:rsidR="00124668" w:rsidRPr="00124668" w:rsidRDefault="00124668" w:rsidP="00124668">
      <w:pPr>
        <w:pStyle w:val="WCPFC"/>
        <w:adjustRightInd w:val="0"/>
        <w:spacing w:after="0"/>
        <w:ind w:left="0" w:firstLine="0"/>
        <w:rPr>
          <w:rFonts w:cs="Times New Roman"/>
        </w:rPr>
      </w:pPr>
      <w:r w:rsidRPr="00124668">
        <w:rPr>
          <w:rFonts w:cs="Times New Roman"/>
        </w:rPr>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6E95AAAC"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7EC18CE1" w14:textId="77777777" w:rsidR="00124668" w:rsidRPr="00124668" w:rsidRDefault="00124668" w:rsidP="00124668">
      <w:pPr>
        <w:pStyle w:val="ListParagraph"/>
        <w:numPr>
          <w:ilvl w:val="0"/>
          <w:numId w:val="7"/>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b/>
          <w:bCs/>
        </w:rPr>
      </w:pPr>
      <w:r w:rsidRPr="00124668">
        <w:rPr>
          <w:rFonts w:ascii="Times New Roman" w:hAnsi="Times New Roman" w:cs="Times New Roman"/>
          <w:b/>
          <w:bCs/>
        </w:rPr>
        <w:t xml:space="preserve">Management advice and implications </w:t>
      </w:r>
    </w:p>
    <w:p w14:paraId="62469271"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486CD8E2" w14:textId="77777777" w:rsidR="00124668" w:rsidRPr="00124668" w:rsidRDefault="00124668" w:rsidP="00124668">
      <w:pPr>
        <w:pStyle w:val="WCPFC"/>
        <w:adjustRightInd w:val="0"/>
        <w:spacing w:after="0"/>
        <w:ind w:left="0" w:firstLine="0"/>
        <w:rPr>
          <w:rFonts w:cs="Times New Roman"/>
        </w:rPr>
      </w:pPr>
      <w:r w:rsidRPr="00124668">
        <w:rPr>
          <w:rFonts w:cs="Times New Roman"/>
        </w:rPr>
        <w:t xml:space="preserve">Given the stock assessment in 2018 and SC15 projections, SC15 advises that WCPFC develop comprehensive binding </w:t>
      </w:r>
      <w:r w:rsidRPr="00124668">
        <w:rPr>
          <w:rFonts w:cs="Times New Roman"/>
          <w:bCs/>
          <w:lang w:val="en-AU"/>
        </w:rPr>
        <w:t xml:space="preserve">South Pacific albacore </w:t>
      </w:r>
      <w:r w:rsidRPr="00124668">
        <w:rPr>
          <w:rFonts w:cs="Times New Roman"/>
        </w:rPr>
        <w:t>management measures which will result in the stock reaching the TRP within the 20-year time horizon. SC15 advises WCPFC16 may consider establishing a CMM to further reduce total catch or effort in order to reverse the projected decline in the vulnerable biomass.</w:t>
      </w:r>
    </w:p>
    <w:p w14:paraId="12C93C28"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4D158D24" w14:textId="77777777" w:rsidR="00124668" w:rsidRPr="00124668" w:rsidRDefault="00124668" w:rsidP="00124668">
      <w:pPr>
        <w:pStyle w:val="WCPFC"/>
        <w:adjustRightInd w:val="0"/>
        <w:spacing w:after="0"/>
        <w:ind w:left="0" w:firstLine="0"/>
        <w:rPr>
          <w:rFonts w:cs="Times New Roman"/>
        </w:rPr>
      </w:pPr>
      <w:r w:rsidRPr="00124668">
        <w:rPr>
          <w:rFonts w:cs="Times New Roman"/>
        </w:rPr>
        <w:t xml:space="preserve">SC15 notes that the 2018 </w:t>
      </w:r>
      <w:r w:rsidRPr="00124668">
        <w:rPr>
          <w:rFonts w:cs="Times New Roman"/>
          <w:bCs/>
          <w:lang w:val="en-AU"/>
        </w:rPr>
        <w:t xml:space="preserve">South Pacific albacore </w:t>
      </w:r>
      <w:r w:rsidRPr="00124668">
        <w:rPr>
          <w:rFonts w:cs="Times New Roman"/>
        </w:rPr>
        <w:t xml:space="preserve">stock assessment pertained to the WCPFC Convention Area. The </w:t>
      </w:r>
      <w:r w:rsidRPr="00124668">
        <w:rPr>
          <w:rFonts w:cs="Times New Roman"/>
          <w:bCs/>
          <w:lang w:val="en-AU"/>
        </w:rPr>
        <w:t xml:space="preserve">South Pacific albacore </w:t>
      </w:r>
      <w:r w:rsidRPr="00124668">
        <w:rPr>
          <w:rFonts w:cs="Times New Roman"/>
        </w:rPr>
        <w:t xml:space="preserve">catch in the eastern Pacific Ocean has recently increased and the scheduled 2021 </w:t>
      </w:r>
      <w:r w:rsidRPr="00124668">
        <w:rPr>
          <w:rFonts w:cs="Times New Roman"/>
          <w:bCs/>
          <w:lang w:val="en-AU"/>
        </w:rPr>
        <w:t xml:space="preserve">South Pacific albacore </w:t>
      </w:r>
      <w:r w:rsidRPr="00124668">
        <w:rPr>
          <w:rFonts w:cs="Times New Roman"/>
        </w:rPr>
        <w:t>assessment may pertain to the entire south Pacific stock in order to incorporate all population dynamics. WCPFC and IATTC compatible measures would be more easily implemented should an entire south Pacific assessment be conducted.</w:t>
      </w:r>
    </w:p>
    <w:p w14:paraId="4ED48A46"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4AC9845C" w14:textId="77777777" w:rsidR="00124668" w:rsidRPr="00124668" w:rsidRDefault="00124668" w:rsidP="00124668">
      <w:pPr>
        <w:pStyle w:val="ListParagraph"/>
        <w:numPr>
          <w:ilvl w:val="0"/>
          <w:numId w:val="7"/>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b/>
          <w:bCs/>
        </w:rPr>
      </w:pPr>
      <w:r w:rsidRPr="00124668">
        <w:rPr>
          <w:rFonts w:ascii="Times New Roman" w:hAnsi="Times New Roman" w:cs="Times New Roman"/>
          <w:b/>
          <w:bCs/>
        </w:rPr>
        <w:t>Research recommendation</w:t>
      </w:r>
    </w:p>
    <w:p w14:paraId="2FE78A99"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60BCECDE" w14:textId="77777777" w:rsidR="00124668" w:rsidRPr="00124668" w:rsidRDefault="00124668" w:rsidP="00124668">
      <w:pPr>
        <w:pStyle w:val="WCPFC"/>
        <w:adjustRightInd w:val="0"/>
        <w:spacing w:after="0"/>
        <w:ind w:left="0" w:firstLine="0"/>
        <w:rPr>
          <w:rFonts w:cs="Times New Roman"/>
        </w:rPr>
      </w:pPr>
      <w:r w:rsidRPr="00124668">
        <w:rPr>
          <w:rFonts w:cs="Times New Roman"/>
        </w:rPr>
        <w:lastRenderedPageBreak/>
        <w:t>SC15 noted that the assumed future recruitment can have a large impact on the projection result. It was recommended that research be undertaken to quantify autocorrelation behavior of recruitment to be included in the future projection.</w:t>
      </w:r>
    </w:p>
    <w:p w14:paraId="4AD7DFF5"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13BBFCCB" w14:textId="77777777" w:rsidR="00A76559" w:rsidRPr="00124668" w:rsidRDefault="00A76559" w:rsidP="00A76559">
      <w:pPr>
        <w:pStyle w:val="Heading1"/>
        <w:adjustRightInd w:val="0"/>
        <w:snapToGrid w:val="0"/>
        <w:spacing w:before="0" w:line="240" w:lineRule="auto"/>
        <w:rPr>
          <w:rFonts w:ascii="Times New Roman" w:hAnsi="Times New Roman" w:cs="Times New Roman"/>
          <w:sz w:val="22"/>
          <w:szCs w:val="22"/>
        </w:rPr>
      </w:pPr>
    </w:p>
    <w:p w14:paraId="24C791DD" w14:textId="270C08D8" w:rsidR="004B0229" w:rsidRPr="00124668" w:rsidRDefault="004B0229" w:rsidP="00A76559">
      <w:pPr>
        <w:pStyle w:val="Heading1"/>
        <w:adjustRightInd w:val="0"/>
        <w:snapToGrid w:val="0"/>
        <w:spacing w:before="0" w:line="240" w:lineRule="auto"/>
        <w:rPr>
          <w:rFonts w:ascii="Times New Roman" w:hAnsi="Times New Roman" w:cs="Times New Roman"/>
          <w:b/>
          <w:bCs/>
          <w:sz w:val="28"/>
          <w:szCs w:val="28"/>
        </w:rPr>
      </w:pPr>
      <w:bookmarkStart w:id="2" w:name="_Toc24979563"/>
      <w:r w:rsidRPr="00124668">
        <w:rPr>
          <w:rFonts w:ascii="Times New Roman" w:hAnsi="Times New Roman" w:cs="Times New Roman"/>
          <w:b/>
          <w:bCs/>
          <w:sz w:val="28"/>
          <w:szCs w:val="28"/>
        </w:rPr>
        <w:t>SC14 2018 (STOCK ASSESSMENT CONDUCTED)</w:t>
      </w:r>
      <w:bookmarkEnd w:id="2"/>
    </w:p>
    <w:p w14:paraId="3472F825" w14:textId="18D6F3B9" w:rsidR="004B0229" w:rsidRPr="00124668" w:rsidRDefault="004B0229" w:rsidP="00A76559">
      <w:pPr>
        <w:adjustRightInd w:val="0"/>
        <w:snapToGrid w:val="0"/>
        <w:spacing w:after="0" w:line="240" w:lineRule="auto"/>
        <w:rPr>
          <w:rFonts w:ascii="Times New Roman" w:hAnsi="Times New Roman" w:cs="Times New Roman"/>
        </w:rPr>
      </w:pPr>
    </w:p>
    <w:p w14:paraId="6D3653FD" w14:textId="628D8ACA" w:rsidR="00A76559" w:rsidRPr="00124668"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 xml:space="preserve">SC14 accepted as SC14-SA-WP-05 as providing the best available scientific information for the purpose of stock assessment determination. </w:t>
      </w:r>
    </w:p>
    <w:p w14:paraId="5841152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53D5904C" w14:textId="5749FDB5" w:rsidR="00A76559" w:rsidRPr="00124668" w:rsidRDefault="00A76559" w:rsidP="00A76559">
      <w:pPr>
        <w:pStyle w:val="ListParagraph"/>
        <w:numPr>
          <w:ilvl w:val="0"/>
          <w:numId w:val="4"/>
        </w:numPr>
        <w:adjustRightInd w:val="0"/>
        <w:snapToGrid w:val="0"/>
        <w:spacing w:after="0" w:line="240" w:lineRule="auto"/>
        <w:ind w:left="0" w:right="114" w:firstLine="0"/>
        <w:contextualSpacing w:val="0"/>
        <w:jc w:val="both"/>
        <w:rPr>
          <w:rFonts w:ascii="Times New Roman" w:hAnsi="Times New Roman" w:cs="Times New Roman"/>
          <w:b/>
          <w:bCs/>
        </w:rPr>
      </w:pPr>
      <w:r w:rsidRPr="00124668">
        <w:rPr>
          <w:rFonts w:ascii="Times New Roman" w:hAnsi="Times New Roman" w:cs="Times New Roman"/>
          <w:b/>
          <w:bCs/>
        </w:rPr>
        <w:t>Stock status and trends</w:t>
      </w:r>
    </w:p>
    <w:p w14:paraId="430D9B9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7C178E01" w14:textId="77777777" w:rsidR="00A76559" w:rsidRPr="00124668"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The median, 10 percentile and 90 percentile values of recent (2013-2016) spawning biomass ratio (SBrecent/ SBF=0) and recent fishing mortality in relation to FMSY (Frecent/FMSY) over the structural uncertainty grid were used to characterize uncertainty and describe the stock status.</w:t>
      </w:r>
    </w:p>
    <w:p w14:paraId="2EAFB0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5130D52" w14:textId="77777777" w:rsidR="00A76559" w:rsidRPr="00124668"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 xml:space="preserve">A description of the structural sensitivity grid used to characterize uncertainty in the assessment is set out in Table SPA-1. The regional structure used within the assessment is presented in Figure SPA-1, and the time series of total annual catch by fishing gear for the diagnostic case model over the full assessment period is shown in Figure SPA-2 for the total assessment region, and Figure SPA-3 by model region. Estimated annual average recruitment, spawning potential, juvenile and adult fishing mortality and fishing depletion for the diagnostic case model are shown in Figures SPA-4 – SPA-7. Figure SPA-8 displays Majuro plots </w:t>
      </w:r>
      <w:proofErr w:type="spellStart"/>
      <w:r w:rsidRPr="00124668">
        <w:rPr>
          <w:rFonts w:ascii="Times New Roman" w:hAnsi="Times New Roman" w:cs="Times New Roman"/>
        </w:rPr>
        <w:t>summarising</w:t>
      </w:r>
      <w:proofErr w:type="spellEnd"/>
      <w:r w:rsidRPr="00124668">
        <w:rPr>
          <w:rFonts w:ascii="Times New Roman" w:hAnsi="Times New Roman" w:cs="Times New Roman"/>
        </w:rPr>
        <w:t xml:space="preserve"> the results for each of the models in the structural uncertainty grid, while Figure SPA-9 shows equivalent Kobe plots for SBrecent and SBlatest across the structural uncertainty grid. Figure SPA-10 provides estimates of reduction in spawning potential due to fishing by region, and over all regions attributed to various fishery groups (gear-types) for the diagnostic case model. Table SPA-2 provides a summary of reference points over the 72 models in the structural uncertainty grid. Figure SPA-11 presents the history of the annual estimates of MSY for the diagnostic case model, compared with annual catch by the main gear types. Finally, Figure SPA-12 presents the estimated time-series (or ‘dynamic’) Kobe plots for four example models from the assessment (one from each of the combinations of growth types, and natural mortality M set to 0.3 or 0.4)</w:t>
      </w:r>
    </w:p>
    <w:p w14:paraId="66F2CF1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0BFE9592"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 xml:space="preserve">SC14 noted that the median level of spawning biomass depletion from the uncertainty grid was SBrecent/SBF=0 = 0.52 with a probable range of 0.37 to 0.63 (80% probability interval). There were no individual models where (SBrecent/SBF=0) &lt; 0.2 which indicated that the probability that recent </w:t>
      </w:r>
      <w:r w:rsidRPr="00A76559">
        <w:rPr>
          <w:rFonts w:ascii="Times New Roman" w:hAnsi="Times New Roman" w:cs="Times New Roman"/>
        </w:rPr>
        <w:t xml:space="preserve">spawning biomass was below the LRP was zero. SC14 noted that the grid median Frecent/FMSY was 0.20, with a range of 0.08 to 0.41 (80% probability interval) and that no values of Frecent/FMSY in the grid exceeded 1. </w:t>
      </w:r>
    </w:p>
    <w:p w14:paraId="40BCC613"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5079E0C"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also noted that there was a 0% probability (0 out of 72 models) that the recent fishing mortality had exceeded FMSY. </w:t>
      </w:r>
    </w:p>
    <w:p w14:paraId="3046EF5A"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C5923FE"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noted that the structural uncertainty grid for the south Pacific albacore had changed since the 2015 assessment, with the 2018 assessment examining additional axes of uncertainty including assumptions on growth and CPUE standardization approach. </w:t>
      </w:r>
      <w:proofErr w:type="gramStart"/>
      <w:r w:rsidRPr="00A76559">
        <w:rPr>
          <w:rFonts w:ascii="Times New Roman" w:hAnsi="Times New Roman" w:cs="Times New Roman"/>
        </w:rPr>
        <w:t>As a consequence</w:t>
      </w:r>
      <w:proofErr w:type="gramEnd"/>
      <w:r w:rsidRPr="00A76559">
        <w:rPr>
          <w:rFonts w:ascii="Times New Roman" w:hAnsi="Times New Roman" w:cs="Times New Roman"/>
        </w:rPr>
        <w:t>, the uncertainty identified is higher than in previous assessments.</w:t>
      </w:r>
    </w:p>
    <w:p w14:paraId="72C68802"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455CB288"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also noted that the assessment results show that while the stock depletion (SB/SBF=0) has exhibited a long-term decline (Figure SPA-7) the stock is not in an overfished state and overfishing is not taking place. </w:t>
      </w:r>
    </w:p>
    <w:p w14:paraId="1039E45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17F9F51D"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b/>
          <w:bCs/>
        </w:rPr>
      </w:pPr>
      <w:r w:rsidRPr="00A76559">
        <w:rPr>
          <w:rFonts w:ascii="Times New Roman" w:hAnsi="Times New Roman" w:cs="Times New Roman"/>
          <w:b/>
          <w:bCs/>
        </w:rPr>
        <w:t>b.</w:t>
      </w:r>
      <w:r w:rsidRPr="00A76559">
        <w:rPr>
          <w:rFonts w:ascii="Times New Roman" w:hAnsi="Times New Roman" w:cs="Times New Roman"/>
          <w:b/>
          <w:bCs/>
        </w:rPr>
        <w:tab/>
        <w:t>Management Advice and implications</w:t>
      </w:r>
    </w:p>
    <w:p w14:paraId="6B3D17A6"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1C12B66"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noted that the preliminary estimate of total catch of south Pacific albacore (within the WCPFC Convention Area south of the equator) for 2017 was 75,707mt, which was a 33% increase from 2016 and a 13% increase over 2012-2016. (see SC14-SA-WP-02). </w:t>
      </w:r>
    </w:p>
    <w:p w14:paraId="0AAAB7B5"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52565173"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Preliminary catch for longliners in 2017 (72,785mt) was 34% higher compared with 2016 and a 14% increase over 2012-2016. Preliminary other gear (primarily troll) catch in 2017 (2,896t) was 17% higher compared with 2016 but a 1% decrease over 2012-2016. (see SC14-SA-WP-02). </w:t>
      </w:r>
    </w:p>
    <w:p w14:paraId="547F998B"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3E32517F"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Based on the uncertainty grid adopted by SC14, the South Pacific albacore tuna spawning biomass is very likely to be above the biomass LRP and recent F is very likely below FMSY, and therefore the stock is not experiencing overfishing (100% probability F &lt; FMSY) and is not in an overfished condition (100% probability SBrecent &gt; LRP). </w:t>
      </w:r>
    </w:p>
    <w:p w14:paraId="2B6D537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1C2816BC"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recalled its previous advice from SC11, SC12, and SC13 that longline fishing mortality and longline catch be reduced to avoid decline in the vulnerable biomass so that economically viable catch rates can be maintained, especially for longline catch of adult albacore. SC14 recommends that this advice be taken into consideration when the TRP for South Pacific albacore is discussed at WCPFC15. </w:t>
      </w:r>
    </w:p>
    <w:p w14:paraId="48FCF29A"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786B2DEA" w14:textId="77777777" w:rsidR="00124668" w:rsidRDefault="00124668">
      <w:pPr>
        <w:rPr>
          <w:rFonts w:ascii="Times New Roman" w:hAnsi="Times New Roman" w:cs="Times New Roman"/>
          <w:b/>
          <w:bCs/>
        </w:rPr>
      </w:pPr>
      <w:r>
        <w:rPr>
          <w:rFonts w:ascii="Times New Roman" w:hAnsi="Times New Roman" w:cs="Times New Roman"/>
          <w:b/>
          <w:bCs/>
        </w:rPr>
        <w:br w:type="page"/>
      </w:r>
    </w:p>
    <w:p w14:paraId="2AF3E2A7" w14:textId="3AB6230B"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A76559">
        <w:rPr>
          <w:rFonts w:ascii="Times New Roman" w:hAnsi="Times New Roman" w:cs="Times New Roman"/>
          <w:b/>
          <w:bCs/>
        </w:rPr>
        <w:lastRenderedPageBreak/>
        <w:t>Table SPA-1.</w:t>
      </w:r>
      <w:r w:rsidRPr="00A76559">
        <w:rPr>
          <w:rFonts w:ascii="Times New Roman" w:hAnsi="Times New Roman" w:cs="Times New Roman"/>
        </w:rPr>
        <w:t xml:space="preserve"> Description of the structural sensitivity grid used to characterize uncertainty in the 2018 south Pacific albacore assessment. Levels used within the diagnostic case are starred.</w:t>
      </w:r>
      <w:r w:rsidRPr="00A76559" w:rsidDel="00F64A7D">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560"/>
        <w:gridCol w:w="4955"/>
      </w:tblGrid>
      <w:tr w:rsidR="00A76559" w:rsidRPr="00A76559" w14:paraId="43F35560" w14:textId="77777777" w:rsidTr="00124668">
        <w:tc>
          <w:tcPr>
            <w:tcW w:w="2835" w:type="dxa"/>
            <w:tcBorders>
              <w:top w:val="single" w:sz="4" w:space="0" w:color="auto"/>
              <w:bottom w:val="single" w:sz="4" w:space="0" w:color="auto"/>
            </w:tcBorders>
          </w:tcPr>
          <w:p w14:paraId="694AD8F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Axis</w:t>
            </w:r>
          </w:p>
        </w:tc>
        <w:tc>
          <w:tcPr>
            <w:tcW w:w="1560" w:type="dxa"/>
            <w:tcBorders>
              <w:top w:val="single" w:sz="4" w:space="0" w:color="auto"/>
              <w:bottom w:val="single" w:sz="4" w:space="0" w:color="auto"/>
            </w:tcBorders>
          </w:tcPr>
          <w:p w14:paraId="777158D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Levels</w:t>
            </w:r>
          </w:p>
        </w:tc>
        <w:tc>
          <w:tcPr>
            <w:tcW w:w="4955" w:type="dxa"/>
            <w:tcBorders>
              <w:top w:val="single" w:sz="4" w:space="0" w:color="auto"/>
              <w:bottom w:val="single" w:sz="4" w:space="0" w:color="auto"/>
            </w:tcBorders>
          </w:tcPr>
          <w:p w14:paraId="5269E7ED"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Option</w:t>
            </w:r>
          </w:p>
        </w:tc>
      </w:tr>
      <w:tr w:rsidR="00A76559" w:rsidRPr="00A76559" w14:paraId="5E9711E3" w14:textId="77777777" w:rsidTr="00124668">
        <w:tc>
          <w:tcPr>
            <w:tcW w:w="2835" w:type="dxa"/>
            <w:tcBorders>
              <w:top w:val="single" w:sz="4" w:space="0" w:color="auto"/>
            </w:tcBorders>
          </w:tcPr>
          <w:p w14:paraId="691F1B64"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Steepness</w:t>
            </w:r>
          </w:p>
        </w:tc>
        <w:tc>
          <w:tcPr>
            <w:tcW w:w="1560" w:type="dxa"/>
            <w:tcBorders>
              <w:top w:val="single" w:sz="4" w:space="0" w:color="auto"/>
            </w:tcBorders>
          </w:tcPr>
          <w:p w14:paraId="696AAB2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3</w:t>
            </w:r>
          </w:p>
        </w:tc>
        <w:tc>
          <w:tcPr>
            <w:tcW w:w="4955" w:type="dxa"/>
            <w:tcBorders>
              <w:top w:val="single" w:sz="4" w:space="0" w:color="auto"/>
            </w:tcBorders>
          </w:tcPr>
          <w:p w14:paraId="3C3529F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0.65, 0.80*, 0.95</w:t>
            </w:r>
          </w:p>
        </w:tc>
      </w:tr>
      <w:tr w:rsidR="00A76559" w:rsidRPr="00A76559" w14:paraId="274325F4" w14:textId="77777777" w:rsidTr="00124668">
        <w:tc>
          <w:tcPr>
            <w:tcW w:w="2835" w:type="dxa"/>
          </w:tcPr>
          <w:p w14:paraId="64961DA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Natural mortality</w:t>
            </w:r>
          </w:p>
        </w:tc>
        <w:tc>
          <w:tcPr>
            <w:tcW w:w="1560" w:type="dxa"/>
          </w:tcPr>
          <w:p w14:paraId="6DFCC152"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2</w:t>
            </w:r>
          </w:p>
        </w:tc>
        <w:tc>
          <w:tcPr>
            <w:tcW w:w="4955" w:type="dxa"/>
          </w:tcPr>
          <w:p w14:paraId="14915A5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0.3*, 0.4</w:t>
            </w:r>
          </w:p>
        </w:tc>
      </w:tr>
      <w:tr w:rsidR="00A76559" w:rsidRPr="00A76559" w14:paraId="6FFE59B3" w14:textId="77777777" w:rsidTr="00124668">
        <w:tc>
          <w:tcPr>
            <w:tcW w:w="2835" w:type="dxa"/>
          </w:tcPr>
          <w:p w14:paraId="5613C886"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Growth</w:t>
            </w:r>
          </w:p>
        </w:tc>
        <w:tc>
          <w:tcPr>
            <w:tcW w:w="1560" w:type="dxa"/>
          </w:tcPr>
          <w:p w14:paraId="5000901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2</w:t>
            </w:r>
          </w:p>
        </w:tc>
        <w:tc>
          <w:tcPr>
            <w:tcW w:w="4955" w:type="dxa"/>
          </w:tcPr>
          <w:p w14:paraId="40A4091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Estimated* (K, L∞) or fixed (Chen-Wells)</w:t>
            </w:r>
          </w:p>
        </w:tc>
      </w:tr>
      <w:tr w:rsidR="00A76559" w:rsidRPr="00A76559" w14:paraId="28DB11E2" w14:textId="77777777" w:rsidTr="00124668">
        <w:tc>
          <w:tcPr>
            <w:tcW w:w="2835" w:type="dxa"/>
          </w:tcPr>
          <w:p w14:paraId="0BC422C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Size frequency weighting</w:t>
            </w:r>
          </w:p>
        </w:tc>
        <w:tc>
          <w:tcPr>
            <w:tcW w:w="1560" w:type="dxa"/>
          </w:tcPr>
          <w:p w14:paraId="7E765AB1"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3</w:t>
            </w:r>
          </w:p>
        </w:tc>
        <w:tc>
          <w:tcPr>
            <w:tcW w:w="4955" w:type="dxa"/>
          </w:tcPr>
          <w:p w14:paraId="1D823FE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Sample sizes divided by 20, 50* or 80</w:t>
            </w:r>
          </w:p>
        </w:tc>
      </w:tr>
      <w:tr w:rsidR="00A76559" w:rsidRPr="00A76559" w14:paraId="05E76EC8" w14:textId="77777777" w:rsidTr="00124668">
        <w:tc>
          <w:tcPr>
            <w:tcW w:w="2835" w:type="dxa"/>
            <w:tcBorders>
              <w:bottom w:val="single" w:sz="4" w:space="0" w:color="auto"/>
            </w:tcBorders>
          </w:tcPr>
          <w:p w14:paraId="7749DA1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CPUE</w:t>
            </w:r>
          </w:p>
        </w:tc>
        <w:tc>
          <w:tcPr>
            <w:tcW w:w="1560" w:type="dxa"/>
            <w:tcBorders>
              <w:bottom w:val="single" w:sz="4" w:space="0" w:color="auto"/>
            </w:tcBorders>
          </w:tcPr>
          <w:p w14:paraId="673FF5F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2</w:t>
            </w:r>
          </w:p>
        </w:tc>
        <w:tc>
          <w:tcPr>
            <w:tcW w:w="4955" w:type="dxa"/>
            <w:tcBorders>
              <w:bottom w:val="single" w:sz="4" w:space="0" w:color="auto"/>
            </w:tcBorders>
          </w:tcPr>
          <w:p w14:paraId="1BCC4107"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Geostatistical*, Traditional</w:t>
            </w:r>
          </w:p>
        </w:tc>
      </w:tr>
    </w:tbl>
    <w:p w14:paraId="1A919BD7"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3D066E5" w14:textId="77777777" w:rsidR="00124668" w:rsidRDefault="00124668" w:rsidP="00A76559">
      <w:pPr>
        <w:pStyle w:val="ListParagraph"/>
        <w:adjustRightInd w:val="0"/>
        <w:snapToGrid w:val="0"/>
        <w:spacing w:after="0" w:line="240" w:lineRule="auto"/>
        <w:ind w:left="0" w:right="114"/>
        <w:contextualSpacing w:val="0"/>
        <w:jc w:val="both"/>
        <w:rPr>
          <w:rFonts w:ascii="Times New Roman" w:hAnsi="Times New Roman" w:cs="Times New Roman"/>
          <w:b/>
          <w:bCs/>
        </w:rPr>
      </w:pPr>
    </w:p>
    <w:p w14:paraId="5F144EE3" w14:textId="05F50513"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A76559">
        <w:rPr>
          <w:rFonts w:ascii="Times New Roman" w:hAnsi="Times New Roman" w:cs="Times New Roman"/>
          <w:b/>
          <w:bCs/>
        </w:rPr>
        <w:t>Table SPA-2</w:t>
      </w:r>
      <w:r w:rsidRPr="00A76559">
        <w:rPr>
          <w:rFonts w:ascii="Times New Roman" w:hAnsi="Times New Roman" w:cs="Times New Roman"/>
        </w:rPr>
        <w:t>. Summary of reference points over all the 72 individual models in the structural uncertainty grid.</w:t>
      </w:r>
    </w:p>
    <w:tbl>
      <w:tblPr>
        <w:tblW w:w="5000" w:type="pct"/>
        <w:tblLook w:val="04A0" w:firstRow="1" w:lastRow="0" w:firstColumn="1" w:lastColumn="0" w:noHBand="0" w:noVBand="1"/>
      </w:tblPr>
      <w:tblGrid>
        <w:gridCol w:w="1944"/>
        <w:gridCol w:w="1138"/>
        <w:gridCol w:w="1054"/>
        <w:gridCol w:w="1306"/>
        <w:gridCol w:w="1306"/>
        <w:gridCol w:w="1306"/>
        <w:gridCol w:w="1306"/>
      </w:tblGrid>
      <w:tr w:rsidR="00A76559" w:rsidRPr="00124668" w14:paraId="6C9C013B" w14:textId="77777777" w:rsidTr="00124668">
        <w:tc>
          <w:tcPr>
            <w:tcW w:w="938" w:type="pct"/>
            <w:tcBorders>
              <w:top w:val="single" w:sz="4" w:space="0" w:color="auto"/>
              <w:left w:val="nil"/>
              <w:bottom w:val="single" w:sz="4" w:space="0" w:color="auto"/>
              <w:right w:val="nil"/>
            </w:tcBorders>
            <w:shd w:val="clear" w:color="auto" w:fill="auto"/>
            <w:noWrap/>
            <w:vAlign w:val="bottom"/>
            <w:hideMark/>
          </w:tcPr>
          <w:p w14:paraId="292334C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c>
        <w:tc>
          <w:tcPr>
            <w:tcW w:w="625" w:type="pct"/>
            <w:tcBorders>
              <w:top w:val="single" w:sz="4" w:space="0" w:color="auto"/>
              <w:left w:val="nil"/>
              <w:bottom w:val="single" w:sz="4" w:space="0" w:color="auto"/>
              <w:right w:val="nil"/>
            </w:tcBorders>
            <w:shd w:val="clear" w:color="auto" w:fill="auto"/>
            <w:noWrap/>
            <w:vAlign w:val="bottom"/>
            <w:hideMark/>
          </w:tcPr>
          <w:p w14:paraId="46ABA53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Mean</w:t>
            </w:r>
          </w:p>
        </w:tc>
        <w:tc>
          <w:tcPr>
            <w:tcW w:w="580" w:type="pct"/>
            <w:tcBorders>
              <w:top w:val="single" w:sz="4" w:space="0" w:color="auto"/>
              <w:left w:val="nil"/>
              <w:bottom w:val="single" w:sz="4" w:space="0" w:color="auto"/>
              <w:right w:val="nil"/>
            </w:tcBorders>
            <w:shd w:val="clear" w:color="auto" w:fill="auto"/>
            <w:noWrap/>
            <w:vAlign w:val="bottom"/>
            <w:hideMark/>
          </w:tcPr>
          <w:p w14:paraId="41EEAF7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Median</w:t>
            </w:r>
          </w:p>
        </w:tc>
        <w:tc>
          <w:tcPr>
            <w:tcW w:w="714" w:type="pct"/>
            <w:tcBorders>
              <w:top w:val="single" w:sz="4" w:space="0" w:color="auto"/>
              <w:left w:val="nil"/>
              <w:bottom w:val="single" w:sz="4" w:space="0" w:color="auto"/>
              <w:right w:val="nil"/>
            </w:tcBorders>
            <w:shd w:val="clear" w:color="auto" w:fill="auto"/>
            <w:noWrap/>
            <w:vAlign w:val="bottom"/>
            <w:hideMark/>
          </w:tcPr>
          <w:p w14:paraId="7CCE125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Min</w:t>
            </w:r>
          </w:p>
        </w:tc>
        <w:tc>
          <w:tcPr>
            <w:tcW w:w="714" w:type="pct"/>
            <w:tcBorders>
              <w:top w:val="single" w:sz="4" w:space="0" w:color="auto"/>
              <w:left w:val="nil"/>
              <w:bottom w:val="single" w:sz="4" w:space="0" w:color="auto"/>
              <w:right w:val="nil"/>
            </w:tcBorders>
            <w:shd w:val="clear" w:color="auto" w:fill="auto"/>
            <w:noWrap/>
            <w:vAlign w:val="bottom"/>
            <w:hideMark/>
          </w:tcPr>
          <w:p w14:paraId="08A2709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w:t>
            </w:r>
          </w:p>
        </w:tc>
        <w:tc>
          <w:tcPr>
            <w:tcW w:w="714" w:type="pct"/>
            <w:tcBorders>
              <w:top w:val="single" w:sz="4" w:space="0" w:color="auto"/>
              <w:left w:val="nil"/>
              <w:bottom w:val="single" w:sz="4" w:space="0" w:color="auto"/>
              <w:right w:val="nil"/>
            </w:tcBorders>
            <w:shd w:val="clear" w:color="auto" w:fill="auto"/>
            <w:noWrap/>
            <w:vAlign w:val="bottom"/>
            <w:hideMark/>
          </w:tcPr>
          <w:p w14:paraId="5AC63AB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90%</w:t>
            </w:r>
          </w:p>
        </w:tc>
        <w:tc>
          <w:tcPr>
            <w:tcW w:w="714" w:type="pct"/>
            <w:tcBorders>
              <w:top w:val="single" w:sz="4" w:space="0" w:color="auto"/>
              <w:left w:val="nil"/>
              <w:bottom w:val="single" w:sz="4" w:space="0" w:color="auto"/>
              <w:right w:val="nil"/>
            </w:tcBorders>
            <w:shd w:val="clear" w:color="auto" w:fill="auto"/>
            <w:noWrap/>
            <w:vAlign w:val="bottom"/>
            <w:hideMark/>
          </w:tcPr>
          <w:p w14:paraId="01C7E4A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Max</w:t>
            </w:r>
          </w:p>
        </w:tc>
      </w:tr>
      <w:tr w:rsidR="00A76559" w:rsidRPr="00124668" w14:paraId="24055ABC" w14:textId="77777777" w:rsidTr="00124668">
        <w:tc>
          <w:tcPr>
            <w:tcW w:w="938" w:type="pct"/>
            <w:tcBorders>
              <w:top w:val="single" w:sz="4" w:space="0" w:color="auto"/>
              <w:left w:val="nil"/>
              <w:bottom w:val="nil"/>
              <w:right w:val="nil"/>
            </w:tcBorders>
            <w:shd w:val="clear" w:color="auto" w:fill="auto"/>
            <w:noWrap/>
            <w:vAlign w:val="bottom"/>
            <w:hideMark/>
          </w:tcPr>
          <w:p w14:paraId="37E82C7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Clatest</w:t>
            </w:r>
          </w:p>
        </w:tc>
        <w:tc>
          <w:tcPr>
            <w:tcW w:w="625" w:type="pct"/>
            <w:tcBorders>
              <w:top w:val="single" w:sz="4" w:space="0" w:color="auto"/>
              <w:left w:val="nil"/>
              <w:bottom w:val="nil"/>
              <w:right w:val="nil"/>
            </w:tcBorders>
            <w:shd w:val="clear" w:color="auto" w:fill="auto"/>
            <w:noWrap/>
            <w:vAlign w:val="bottom"/>
            <w:hideMark/>
          </w:tcPr>
          <w:p w14:paraId="60FEE80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61719</w:t>
            </w:r>
          </w:p>
        </w:tc>
        <w:tc>
          <w:tcPr>
            <w:tcW w:w="580" w:type="pct"/>
            <w:tcBorders>
              <w:top w:val="single" w:sz="4" w:space="0" w:color="auto"/>
              <w:left w:val="nil"/>
              <w:bottom w:val="nil"/>
              <w:right w:val="nil"/>
            </w:tcBorders>
            <w:shd w:val="clear" w:color="auto" w:fill="auto"/>
            <w:noWrap/>
            <w:vAlign w:val="bottom"/>
            <w:hideMark/>
          </w:tcPr>
          <w:p w14:paraId="2E1979F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61635</w:t>
            </w:r>
          </w:p>
        </w:tc>
        <w:tc>
          <w:tcPr>
            <w:tcW w:w="714" w:type="pct"/>
            <w:tcBorders>
              <w:top w:val="single" w:sz="4" w:space="0" w:color="auto"/>
              <w:left w:val="nil"/>
              <w:bottom w:val="nil"/>
              <w:right w:val="nil"/>
            </w:tcBorders>
            <w:shd w:val="clear" w:color="auto" w:fill="auto"/>
            <w:noWrap/>
            <w:vAlign w:val="bottom"/>
            <w:hideMark/>
          </w:tcPr>
          <w:p w14:paraId="2267DB0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60669</w:t>
            </w:r>
          </w:p>
        </w:tc>
        <w:tc>
          <w:tcPr>
            <w:tcW w:w="714" w:type="pct"/>
            <w:tcBorders>
              <w:top w:val="single" w:sz="4" w:space="0" w:color="auto"/>
              <w:left w:val="nil"/>
              <w:bottom w:val="nil"/>
              <w:right w:val="nil"/>
            </w:tcBorders>
            <w:shd w:val="clear" w:color="auto" w:fill="auto"/>
            <w:noWrap/>
            <w:vAlign w:val="bottom"/>
            <w:hideMark/>
          </w:tcPr>
          <w:p w14:paraId="0549A80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60833</w:t>
            </w:r>
          </w:p>
        </w:tc>
        <w:tc>
          <w:tcPr>
            <w:tcW w:w="714" w:type="pct"/>
            <w:tcBorders>
              <w:top w:val="single" w:sz="4" w:space="0" w:color="auto"/>
              <w:left w:val="nil"/>
              <w:bottom w:val="nil"/>
              <w:right w:val="nil"/>
            </w:tcBorders>
            <w:shd w:val="clear" w:color="auto" w:fill="auto"/>
            <w:noWrap/>
            <w:vAlign w:val="bottom"/>
            <w:hideMark/>
          </w:tcPr>
          <w:p w14:paraId="75BF04C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62704</w:t>
            </w:r>
          </w:p>
        </w:tc>
        <w:tc>
          <w:tcPr>
            <w:tcW w:w="714" w:type="pct"/>
            <w:tcBorders>
              <w:top w:val="single" w:sz="4" w:space="0" w:color="auto"/>
              <w:left w:val="nil"/>
              <w:bottom w:val="nil"/>
              <w:right w:val="nil"/>
            </w:tcBorders>
            <w:shd w:val="clear" w:color="auto" w:fill="auto"/>
            <w:noWrap/>
            <w:vAlign w:val="bottom"/>
            <w:hideMark/>
          </w:tcPr>
          <w:p w14:paraId="3C264A8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63180</w:t>
            </w:r>
          </w:p>
        </w:tc>
      </w:tr>
      <w:tr w:rsidR="00A76559" w:rsidRPr="00124668" w14:paraId="3D06DA40" w14:textId="77777777" w:rsidTr="00124668">
        <w:tc>
          <w:tcPr>
            <w:tcW w:w="938" w:type="pct"/>
            <w:tcBorders>
              <w:top w:val="nil"/>
              <w:left w:val="nil"/>
              <w:bottom w:val="nil"/>
              <w:right w:val="nil"/>
            </w:tcBorders>
            <w:shd w:val="clear" w:color="auto" w:fill="auto"/>
            <w:noWrap/>
            <w:vAlign w:val="bottom"/>
            <w:hideMark/>
          </w:tcPr>
          <w:p w14:paraId="7C769B4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MSY</w:t>
            </w:r>
          </w:p>
        </w:tc>
        <w:tc>
          <w:tcPr>
            <w:tcW w:w="625" w:type="pct"/>
            <w:tcBorders>
              <w:top w:val="nil"/>
              <w:left w:val="nil"/>
              <w:bottom w:val="nil"/>
              <w:right w:val="nil"/>
            </w:tcBorders>
            <w:shd w:val="clear" w:color="auto" w:fill="auto"/>
            <w:noWrap/>
            <w:vAlign w:val="bottom"/>
            <w:hideMark/>
          </w:tcPr>
          <w:p w14:paraId="6D303A2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100074</w:t>
            </w:r>
          </w:p>
        </w:tc>
        <w:tc>
          <w:tcPr>
            <w:tcW w:w="580" w:type="pct"/>
            <w:tcBorders>
              <w:top w:val="nil"/>
              <w:left w:val="nil"/>
              <w:bottom w:val="nil"/>
              <w:right w:val="nil"/>
            </w:tcBorders>
            <w:shd w:val="clear" w:color="auto" w:fill="auto"/>
            <w:noWrap/>
            <w:vAlign w:val="bottom"/>
            <w:hideMark/>
          </w:tcPr>
          <w:p w14:paraId="6E34B785"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98080</w:t>
            </w:r>
          </w:p>
        </w:tc>
        <w:tc>
          <w:tcPr>
            <w:tcW w:w="714" w:type="pct"/>
            <w:tcBorders>
              <w:top w:val="nil"/>
              <w:left w:val="nil"/>
              <w:bottom w:val="nil"/>
              <w:right w:val="nil"/>
            </w:tcBorders>
            <w:shd w:val="clear" w:color="auto" w:fill="auto"/>
            <w:noWrap/>
            <w:vAlign w:val="bottom"/>
            <w:hideMark/>
          </w:tcPr>
          <w:p w14:paraId="77716E2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65040</w:t>
            </w:r>
          </w:p>
        </w:tc>
        <w:tc>
          <w:tcPr>
            <w:tcW w:w="714" w:type="pct"/>
            <w:tcBorders>
              <w:top w:val="nil"/>
              <w:left w:val="nil"/>
              <w:bottom w:val="nil"/>
              <w:right w:val="nil"/>
            </w:tcBorders>
            <w:shd w:val="clear" w:color="auto" w:fill="auto"/>
            <w:noWrap/>
            <w:vAlign w:val="bottom"/>
            <w:hideMark/>
          </w:tcPr>
          <w:p w14:paraId="559C1D0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70856</w:t>
            </w:r>
          </w:p>
        </w:tc>
        <w:tc>
          <w:tcPr>
            <w:tcW w:w="714" w:type="pct"/>
            <w:tcBorders>
              <w:top w:val="nil"/>
              <w:left w:val="nil"/>
              <w:bottom w:val="nil"/>
              <w:right w:val="nil"/>
            </w:tcBorders>
            <w:shd w:val="clear" w:color="auto" w:fill="auto"/>
            <w:noWrap/>
            <w:vAlign w:val="bottom"/>
            <w:hideMark/>
          </w:tcPr>
          <w:p w14:paraId="61131C77"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130220</w:t>
            </w:r>
          </w:p>
        </w:tc>
        <w:tc>
          <w:tcPr>
            <w:tcW w:w="714" w:type="pct"/>
            <w:tcBorders>
              <w:top w:val="nil"/>
              <w:left w:val="nil"/>
              <w:bottom w:val="nil"/>
              <w:right w:val="nil"/>
            </w:tcBorders>
            <w:shd w:val="clear" w:color="auto" w:fill="auto"/>
            <w:noWrap/>
            <w:vAlign w:val="bottom"/>
            <w:hideMark/>
          </w:tcPr>
          <w:p w14:paraId="3537E98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162000</w:t>
            </w:r>
          </w:p>
        </w:tc>
      </w:tr>
      <w:tr w:rsidR="00A76559" w:rsidRPr="00124668" w14:paraId="16722439" w14:textId="77777777" w:rsidTr="00124668">
        <w:tc>
          <w:tcPr>
            <w:tcW w:w="938" w:type="pct"/>
            <w:tcBorders>
              <w:top w:val="nil"/>
              <w:left w:val="nil"/>
              <w:bottom w:val="nil"/>
              <w:right w:val="nil"/>
            </w:tcBorders>
            <w:shd w:val="clear" w:color="auto" w:fill="auto"/>
            <w:noWrap/>
            <w:vAlign w:val="bottom"/>
            <w:hideMark/>
          </w:tcPr>
          <w:p w14:paraId="4AEFACE7"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roofErr w:type="spellStart"/>
            <w:r w:rsidRPr="00124668">
              <w:rPr>
                <w:rFonts w:ascii="Times New Roman" w:hAnsi="Times New Roman" w:cs="Times New Roman"/>
              </w:rPr>
              <w:t>YFrecentt</w:t>
            </w:r>
            <w:proofErr w:type="spellEnd"/>
          </w:p>
        </w:tc>
        <w:tc>
          <w:tcPr>
            <w:tcW w:w="625" w:type="pct"/>
            <w:tcBorders>
              <w:top w:val="nil"/>
              <w:left w:val="nil"/>
              <w:bottom w:val="nil"/>
              <w:right w:val="nil"/>
            </w:tcBorders>
            <w:shd w:val="clear" w:color="auto" w:fill="auto"/>
            <w:noWrap/>
            <w:vAlign w:val="bottom"/>
            <w:hideMark/>
          </w:tcPr>
          <w:p w14:paraId="67C90A15"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71579</w:t>
            </w:r>
          </w:p>
        </w:tc>
        <w:tc>
          <w:tcPr>
            <w:tcW w:w="580" w:type="pct"/>
            <w:tcBorders>
              <w:top w:val="nil"/>
              <w:left w:val="nil"/>
              <w:bottom w:val="nil"/>
              <w:right w:val="nil"/>
            </w:tcBorders>
            <w:shd w:val="clear" w:color="auto" w:fill="auto"/>
            <w:noWrap/>
            <w:vAlign w:val="bottom"/>
            <w:hideMark/>
          </w:tcPr>
          <w:p w14:paraId="2694C49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71780</w:t>
            </w:r>
          </w:p>
        </w:tc>
        <w:tc>
          <w:tcPr>
            <w:tcW w:w="714" w:type="pct"/>
            <w:tcBorders>
              <w:top w:val="nil"/>
              <w:left w:val="nil"/>
              <w:bottom w:val="nil"/>
              <w:right w:val="nil"/>
            </w:tcBorders>
            <w:shd w:val="clear" w:color="auto" w:fill="auto"/>
            <w:noWrap/>
            <w:vAlign w:val="bottom"/>
            <w:hideMark/>
          </w:tcPr>
          <w:p w14:paraId="34476D9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56680</w:t>
            </w:r>
          </w:p>
        </w:tc>
        <w:tc>
          <w:tcPr>
            <w:tcW w:w="714" w:type="pct"/>
            <w:tcBorders>
              <w:top w:val="nil"/>
              <w:left w:val="nil"/>
              <w:bottom w:val="nil"/>
              <w:right w:val="nil"/>
            </w:tcBorders>
            <w:shd w:val="clear" w:color="auto" w:fill="auto"/>
            <w:noWrap/>
            <w:vAlign w:val="bottom"/>
            <w:hideMark/>
          </w:tcPr>
          <w:p w14:paraId="3344EAD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62480</w:t>
            </w:r>
          </w:p>
        </w:tc>
        <w:tc>
          <w:tcPr>
            <w:tcW w:w="714" w:type="pct"/>
            <w:tcBorders>
              <w:top w:val="nil"/>
              <w:left w:val="nil"/>
              <w:bottom w:val="nil"/>
              <w:right w:val="nil"/>
            </w:tcBorders>
            <w:shd w:val="clear" w:color="auto" w:fill="auto"/>
            <w:noWrap/>
            <w:vAlign w:val="bottom"/>
            <w:hideMark/>
          </w:tcPr>
          <w:p w14:paraId="75F1120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80432</w:t>
            </w:r>
          </w:p>
        </w:tc>
        <w:tc>
          <w:tcPr>
            <w:tcW w:w="714" w:type="pct"/>
            <w:tcBorders>
              <w:top w:val="nil"/>
              <w:left w:val="nil"/>
              <w:bottom w:val="nil"/>
              <w:right w:val="nil"/>
            </w:tcBorders>
            <w:shd w:val="clear" w:color="auto" w:fill="auto"/>
            <w:noWrap/>
            <w:vAlign w:val="bottom"/>
            <w:hideMark/>
          </w:tcPr>
          <w:p w14:paraId="3C4DF9B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89000</w:t>
            </w:r>
          </w:p>
        </w:tc>
      </w:tr>
      <w:tr w:rsidR="00A76559" w:rsidRPr="00124668" w14:paraId="4B2977F4" w14:textId="77777777" w:rsidTr="00124668">
        <w:tc>
          <w:tcPr>
            <w:tcW w:w="938" w:type="pct"/>
            <w:tcBorders>
              <w:top w:val="nil"/>
              <w:left w:val="nil"/>
              <w:bottom w:val="nil"/>
              <w:right w:val="nil"/>
            </w:tcBorders>
            <w:shd w:val="clear" w:color="auto" w:fill="auto"/>
            <w:noWrap/>
            <w:vAlign w:val="bottom"/>
            <w:hideMark/>
          </w:tcPr>
          <w:p w14:paraId="33E4556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fmult</w:t>
            </w:r>
          </w:p>
        </w:tc>
        <w:tc>
          <w:tcPr>
            <w:tcW w:w="625" w:type="pct"/>
            <w:tcBorders>
              <w:top w:val="nil"/>
              <w:left w:val="nil"/>
              <w:bottom w:val="nil"/>
              <w:right w:val="nil"/>
            </w:tcBorders>
            <w:shd w:val="clear" w:color="auto" w:fill="auto"/>
            <w:noWrap/>
            <w:vAlign w:val="bottom"/>
            <w:hideMark/>
          </w:tcPr>
          <w:p w14:paraId="59AD412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w:t>
            </w:r>
          </w:p>
        </w:tc>
        <w:tc>
          <w:tcPr>
            <w:tcW w:w="580" w:type="pct"/>
            <w:tcBorders>
              <w:top w:val="nil"/>
              <w:left w:val="nil"/>
              <w:bottom w:val="nil"/>
              <w:right w:val="nil"/>
            </w:tcBorders>
            <w:shd w:val="clear" w:color="auto" w:fill="auto"/>
            <w:noWrap/>
            <w:vAlign w:val="bottom"/>
            <w:hideMark/>
          </w:tcPr>
          <w:p w14:paraId="66AA901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4.96</w:t>
            </w:r>
          </w:p>
        </w:tc>
        <w:tc>
          <w:tcPr>
            <w:tcW w:w="714" w:type="pct"/>
            <w:tcBorders>
              <w:top w:val="nil"/>
              <w:left w:val="nil"/>
              <w:bottom w:val="nil"/>
              <w:right w:val="nil"/>
            </w:tcBorders>
            <w:shd w:val="clear" w:color="auto" w:fill="auto"/>
            <w:noWrap/>
            <w:vAlign w:val="bottom"/>
            <w:hideMark/>
          </w:tcPr>
          <w:p w14:paraId="3866073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1.89</w:t>
            </w:r>
          </w:p>
        </w:tc>
        <w:tc>
          <w:tcPr>
            <w:tcW w:w="714" w:type="pct"/>
            <w:tcBorders>
              <w:top w:val="nil"/>
              <w:left w:val="nil"/>
              <w:bottom w:val="nil"/>
              <w:right w:val="nil"/>
            </w:tcBorders>
            <w:shd w:val="clear" w:color="auto" w:fill="auto"/>
            <w:noWrap/>
            <w:vAlign w:val="bottom"/>
            <w:hideMark/>
          </w:tcPr>
          <w:p w14:paraId="3D307CF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2.44</w:t>
            </w:r>
          </w:p>
        </w:tc>
        <w:tc>
          <w:tcPr>
            <w:tcW w:w="714" w:type="pct"/>
            <w:tcBorders>
              <w:top w:val="nil"/>
              <w:left w:val="nil"/>
              <w:bottom w:val="nil"/>
              <w:right w:val="nil"/>
            </w:tcBorders>
            <w:shd w:val="clear" w:color="auto" w:fill="auto"/>
            <w:noWrap/>
            <w:vAlign w:val="bottom"/>
            <w:hideMark/>
          </w:tcPr>
          <w:p w14:paraId="0835CB7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12.05</w:t>
            </w:r>
          </w:p>
        </w:tc>
        <w:tc>
          <w:tcPr>
            <w:tcW w:w="714" w:type="pct"/>
            <w:tcBorders>
              <w:top w:val="nil"/>
              <w:left w:val="nil"/>
              <w:bottom w:val="nil"/>
              <w:right w:val="nil"/>
            </w:tcBorders>
            <w:shd w:val="clear" w:color="auto" w:fill="auto"/>
            <w:noWrap/>
            <w:vAlign w:val="bottom"/>
            <w:hideMark/>
          </w:tcPr>
          <w:p w14:paraId="12CC857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17.18</w:t>
            </w:r>
          </w:p>
        </w:tc>
      </w:tr>
      <w:tr w:rsidR="00A76559" w:rsidRPr="00124668" w14:paraId="43C13C45" w14:textId="77777777" w:rsidTr="00124668">
        <w:tc>
          <w:tcPr>
            <w:tcW w:w="938" w:type="pct"/>
            <w:tcBorders>
              <w:top w:val="nil"/>
              <w:left w:val="nil"/>
              <w:bottom w:val="nil"/>
              <w:right w:val="nil"/>
            </w:tcBorders>
            <w:shd w:val="clear" w:color="auto" w:fill="auto"/>
            <w:noWrap/>
            <w:vAlign w:val="bottom"/>
            <w:hideMark/>
          </w:tcPr>
          <w:p w14:paraId="10EBB54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FMSY</w:t>
            </w:r>
          </w:p>
        </w:tc>
        <w:tc>
          <w:tcPr>
            <w:tcW w:w="625" w:type="pct"/>
            <w:tcBorders>
              <w:top w:val="nil"/>
              <w:left w:val="nil"/>
              <w:bottom w:val="nil"/>
              <w:right w:val="nil"/>
            </w:tcBorders>
            <w:shd w:val="clear" w:color="auto" w:fill="auto"/>
            <w:noWrap/>
            <w:vAlign w:val="bottom"/>
            <w:hideMark/>
          </w:tcPr>
          <w:p w14:paraId="3D96B61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0.07</w:t>
            </w:r>
          </w:p>
        </w:tc>
        <w:tc>
          <w:tcPr>
            <w:tcW w:w="580" w:type="pct"/>
            <w:tcBorders>
              <w:top w:val="nil"/>
              <w:left w:val="nil"/>
              <w:bottom w:val="nil"/>
              <w:right w:val="nil"/>
            </w:tcBorders>
            <w:shd w:val="clear" w:color="auto" w:fill="auto"/>
            <w:noWrap/>
            <w:vAlign w:val="bottom"/>
            <w:hideMark/>
          </w:tcPr>
          <w:p w14:paraId="59D3906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0.07</w:t>
            </w:r>
          </w:p>
        </w:tc>
        <w:tc>
          <w:tcPr>
            <w:tcW w:w="714" w:type="pct"/>
            <w:tcBorders>
              <w:top w:val="nil"/>
              <w:left w:val="nil"/>
              <w:bottom w:val="nil"/>
              <w:right w:val="nil"/>
            </w:tcBorders>
            <w:shd w:val="clear" w:color="auto" w:fill="auto"/>
            <w:noWrap/>
            <w:vAlign w:val="bottom"/>
            <w:hideMark/>
          </w:tcPr>
          <w:p w14:paraId="2456A9C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0.05</w:t>
            </w:r>
          </w:p>
        </w:tc>
        <w:tc>
          <w:tcPr>
            <w:tcW w:w="714" w:type="pct"/>
            <w:tcBorders>
              <w:top w:val="nil"/>
              <w:left w:val="nil"/>
              <w:bottom w:val="nil"/>
              <w:right w:val="nil"/>
            </w:tcBorders>
            <w:shd w:val="clear" w:color="auto" w:fill="auto"/>
            <w:noWrap/>
            <w:vAlign w:val="bottom"/>
            <w:hideMark/>
          </w:tcPr>
          <w:p w14:paraId="2BBC67F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0.05</w:t>
            </w:r>
          </w:p>
        </w:tc>
        <w:tc>
          <w:tcPr>
            <w:tcW w:w="714" w:type="pct"/>
            <w:tcBorders>
              <w:top w:val="nil"/>
              <w:left w:val="nil"/>
              <w:bottom w:val="nil"/>
              <w:right w:val="nil"/>
            </w:tcBorders>
            <w:shd w:val="clear" w:color="auto" w:fill="auto"/>
            <w:noWrap/>
            <w:vAlign w:val="bottom"/>
            <w:hideMark/>
          </w:tcPr>
          <w:p w14:paraId="75EDA12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0.09</w:t>
            </w:r>
          </w:p>
        </w:tc>
        <w:tc>
          <w:tcPr>
            <w:tcW w:w="714" w:type="pct"/>
            <w:tcBorders>
              <w:top w:val="nil"/>
              <w:left w:val="nil"/>
              <w:bottom w:val="nil"/>
              <w:right w:val="nil"/>
            </w:tcBorders>
            <w:shd w:val="clear" w:color="auto" w:fill="auto"/>
            <w:noWrap/>
            <w:vAlign w:val="bottom"/>
            <w:hideMark/>
          </w:tcPr>
          <w:p w14:paraId="384B81D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w:t>
            </w:r>
          </w:p>
        </w:tc>
      </w:tr>
      <w:tr w:rsidR="00A76559" w:rsidRPr="00124668" w14:paraId="6DEFA9EC" w14:textId="77777777" w:rsidTr="00124668">
        <w:tc>
          <w:tcPr>
            <w:tcW w:w="938" w:type="pct"/>
            <w:tcBorders>
              <w:top w:val="nil"/>
              <w:left w:val="nil"/>
              <w:bottom w:val="nil"/>
              <w:right w:val="nil"/>
            </w:tcBorders>
            <w:shd w:val="clear" w:color="auto" w:fill="auto"/>
            <w:noWrap/>
            <w:vAlign w:val="bottom"/>
            <w:hideMark/>
          </w:tcPr>
          <w:p w14:paraId="6732061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Frecent/FMSY</w:t>
            </w:r>
          </w:p>
        </w:tc>
        <w:tc>
          <w:tcPr>
            <w:tcW w:w="625" w:type="pct"/>
            <w:tcBorders>
              <w:top w:val="nil"/>
              <w:left w:val="nil"/>
              <w:bottom w:val="nil"/>
              <w:right w:val="nil"/>
            </w:tcBorders>
            <w:shd w:val="clear" w:color="auto" w:fill="auto"/>
            <w:noWrap/>
            <w:vAlign w:val="bottom"/>
            <w:hideMark/>
          </w:tcPr>
          <w:p w14:paraId="0521B20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0.23</w:t>
            </w:r>
          </w:p>
        </w:tc>
        <w:tc>
          <w:tcPr>
            <w:tcW w:w="580" w:type="pct"/>
            <w:tcBorders>
              <w:top w:val="nil"/>
              <w:left w:val="nil"/>
              <w:bottom w:val="nil"/>
              <w:right w:val="nil"/>
            </w:tcBorders>
            <w:shd w:val="clear" w:color="auto" w:fill="auto"/>
            <w:noWrap/>
            <w:vAlign w:val="bottom"/>
            <w:hideMark/>
          </w:tcPr>
          <w:p w14:paraId="78B8479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w:t>
            </w:r>
          </w:p>
        </w:tc>
        <w:tc>
          <w:tcPr>
            <w:tcW w:w="714" w:type="pct"/>
            <w:tcBorders>
              <w:top w:val="nil"/>
              <w:left w:val="nil"/>
              <w:bottom w:val="nil"/>
              <w:right w:val="nil"/>
            </w:tcBorders>
            <w:shd w:val="clear" w:color="auto" w:fill="auto"/>
            <w:noWrap/>
            <w:vAlign w:val="bottom"/>
            <w:hideMark/>
          </w:tcPr>
          <w:p w14:paraId="509EF51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0.06</w:t>
            </w:r>
          </w:p>
        </w:tc>
        <w:tc>
          <w:tcPr>
            <w:tcW w:w="714" w:type="pct"/>
            <w:tcBorders>
              <w:top w:val="nil"/>
              <w:left w:val="nil"/>
              <w:bottom w:val="nil"/>
              <w:right w:val="nil"/>
            </w:tcBorders>
            <w:shd w:val="clear" w:color="auto" w:fill="auto"/>
            <w:noWrap/>
            <w:vAlign w:val="bottom"/>
            <w:hideMark/>
          </w:tcPr>
          <w:p w14:paraId="7D2C9A9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0.08</w:t>
            </w:r>
          </w:p>
        </w:tc>
        <w:tc>
          <w:tcPr>
            <w:tcW w:w="714" w:type="pct"/>
            <w:tcBorders>
              <w:top w:val="nil"/>
              <w:left w:val="nil"/>
              <w:bottom w:val="nil"/>
              <w:right w:val="nil"/>
            </w:tcBorders>
            <w:shd w:val="clear" w:color="auto" w:fill="auto"/>
            <w:noWrap/>
            <w:vAlign w:val="bottom"/>
            <w:hideMark/>
          </w:tcPr>
          <w:p w14:paraId="33327D2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0.41</w:t>
            </w:r>
          </w:p>
        </w:tc>
        <w:tc>
          <w:tcPr>
            <w:tcW w:w="714" w:type="pct"/>
            <w:tcBorders>
              <w:top w:val="nil"/>
              <w:left w:val="nil"/>
              <w:bottom w:val="nil"/>
              <w:right w:val="nil"/>
            </w:tcBorders>
            <w:shd w:val="clear" w:color="auto" w:fill="auto"/>
            <w:noWrap/>
            <w:vAlign w:val="bottom"/>
            <w:hideMark/>
          </w:tcPr>
          <w:p w14:paraId="32F7F7F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0.53</w:t>
            </w:r>
          </w:p>
        </w:tc>
      </w:tr>
      <w:tr w:rsidR="00A76559" w:rsidRPr="00124668" w14:paraId="6996A2BF" w14:textId="77777777" w:rsidTr="00124668">
        <w:tc>
          <w:tcPr>
            <w:tcW w:w="938" w:type="pct"/>
            <w:tcBorders>
              <w:top w:val="nil"/>
              <w:left w:val="nil"/>
              <w:bottom w:val="nil"/>
              <w:right w:val="nil"/>
            </w:tcBorders>
            <w:shd w:val="clear" w:color="auto" w:fill="auto"/>
            <w:noWrap/>
            <w:vAlign w:val="bottom"/>
            <w:hideMark/>
          </w:tcPr>
          <w:p w14:paraId="1E56A69E"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SBMSY</w:t>
            </w:r>
          </w:p>
        </w:tc>
        <w:tc>
          <w:tcPr>
            <w:tcW w:w="625" w:type="pct"/>
            <w:tcBorders>
              <w:top w:val="nil"/>
              <w:left w:val="nil"/>
              <w:bottom w:val="nil"/>
              <w:right w:val="nil"/>
            </w:tcBorders>
            <w:shd w:val="clear" w:color="auto" w:fill="auto"/>
            <w:noWrap/>
            <w:vAlign w:val="bottom"/>
            <w:hideMark/>
          </w:tcPr>
          <w:p w14:paraId="7D42B3D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71407</w:t>
            </w:r>
          </w:p>
        </w:tc>
        <w:tc>
          <w:tcPr>
            <w:tcW w:w="580" w:type="pct"/>
            <w:tcBorders>
              <w:top w:val="nil"/>
              <w:left w:val="nil"/>
              <w:bottom w:val="nil"/>
              <w:right w:val="nil"/>
            </w:tcBorders>
            <w:shd w:val="clear" w:color="auto" w:fill="auto"/>
            <w:noWrap/>
            <w:vAlign w:val="bottom"/>
            <w:hideMark/>
          </w:tcPr>
          <w:p w14:paraId="02F9508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68650</w:t>
            </w:r>
          </w:p>
        </w:tc>
        <w:tc>
          <w:tcPr>
            <w:tcW w:w="714" w:type="pct"/>
            <w:tcBorders>
              <w:top w:val="nil"/>
              <w:left w:val="nil"/>
              <w:bottom w:val="nil"/>
              <w:right w:val="nil"/>
            </w:tcBorders>
            <w:shd w:val="clear" w:color="auto" w:fill="auto"/>
            <w:noWrap/>
            <w:vAlign w:val="bottom"/>
            <w:hideMark/>
          </w:tcPr>
          <w:p w14:paraId="3192878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26760</w:t>
            </w:r>
          </w:p>
        </w:tc>
        <w:tc>
          <w:tcPr>
            <w:tcW w:w="714" w:type="pct"/>
            <w:tcBorders>
              <w:top w:val="nil"/>
              <w:left w:val="nil"/>
              <w:bottom w:val="nil"/>
              <w:right w:val="nil"/>
            </w:tcBorders>
            <w:shd w:val="clear" w:color="auto" w:fill="auto"/>
            <w:noWrap/>
            <w:vAlign w:val="bottom"/>
            <w:hideMark/>
          </w:tcPr>
          <w:p w14:paraId="5D66535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39872</w:t>
            </w:r>
          </w:p>
        </w:tc>
        <w:tc>
          <w:tcPr>
            <w:tcW w:w="714" w:type="pct"/>
            <w:tcBorders>
              <w:top w:val="nil"/>
              <w:left w:val="nil"/>
              <w:bottom w:val="nil"/>
              <w:right w:val="nil"/>
            </w:tcBorders>
            <w:shd w:val="clear" w:color="auto" w:fill="auto"/>
            <w:noWrap/>
            <w:vAlign w:val="bottom"/>
            <w:hideMark/>
          </w:tcPr>
          <w:p w14:paraId="3998D0EE"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100773</w:t>
            </w:r>
          </w:p>
        </w:tc>
        <w:tc>
          <w:tcPr>
            <w:tcW w:w="714" w:type="pct"/>
            <w:tcBorders>
              <w:top w:val="nil"/>
              <w:left w:val="nil"/>
              <w:bottom w:val="nil"/>
              <w:right w:val="nil"/>
            </w:tcBorders>
            <w:shd w:val="clear" w:color="auto" w:fill="auto"/>
            <w:noWrap/>
            <w:vAlign w:val="bottom"/>
            <w:hideMark/>
          </w:tcPr>
          <w:p w14:paraId="369412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134000</w:t>
            </w:r>
          </w:p>
        </w:tc>
      </w:tr>
      <w:tr w:rsidR="00A76559" w:rsidRPr="00124668" w14:paraId="21EDCAF1" w14:textId="77777777" w:rsidTr="00124668">
        <w:tc>
          <w:tcPr>
            <w:tcW w:w="938" w:type="pct"/>
            <w:tcBorders>
              <w:top w:val="nil"/>
              <w:left w:val="nil"/>
              <w:bottom w:val="nil"/>
              <w:right w:val="nil"/>
            </w:tcBorders>
            <w:shd w:val="clear" w:color="auto" w:fill="auto"/>
            <w:noWrap/>
            <w:vAlign w:val="bottom"/>
            <w:hideMark/>
          </w:tcPr>
          <w:p w14:paraId="52EE68F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SB0</w:t>
            </w:r>
          </w:p>
        </w:tc>
        <w:tc>
          <w:tcPr>
            <w:tcW w:w="625" w:type="pct"/>
            <w:tcBorders>
              <w:top w:val="nil"/>
              <w:left w:val="nil"/>
              <w:bottom w:val="nil"/>
              <w:right w:val="nil"/>
            </w:tcBorders>
            <w:shd w:val="clear" w:color="auto" w:fill="auto"/>
            <w:noWrap/>
            <w:vAlign w:val="bottom"/>
            <w:hideMark/>
          </w:tcPr>
          <w:p w14:paraId="1F3D443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443794</w:t>
            </w:r>
          </w:p>
        </w:tc>
        <w:tc>
          <w:tcPr>
            <w:tcW w:w="580" w:type="pct"/>
            <w:tcBorders>
              <w:top w:val="nil"/>
              <w:left w:val="nil"/>
              <w:bottom w:val="nil"/>
              <w:right w:val="nil"/>
            </w:tcBorders>
            <w:shd w:val="clear" w:color="auto" w:fill="auto"/>
            <w:noWrap/>
            <w:vAlign w:val="bottom"/>
            <w:hideMark/>
          </w:tcPr>
          <w:p w14:paraId="0C6FABB5"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439800</w:t>
            </w:r>
          </w:p>
        </w:tc>
        <w:tc>
          <w:tcPr>
            <w:tcW w:w="714" w:type="pct"/>
            <w:tcBorders>
              <w:top w:val="nil"/>
              <w:left w:val="nil"/>
              <w:bottom w:val="nil"/>
              <w:right w:val="nil"/>
            </w:tcBorders>
            <w:shd w:val="clear" w:color="auto" w:fill="auto"/>
            <w:noWrap/>
            <w:vAlign w:val="bottom"/>
            <w:hideMark/>
          </w:tcPr>
          <w:p w14:paraId="331B068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308800</w:t>
            </w:r>
          </w:p>
        </w:tc>
        <w:tc>
          <w:tcPr>
            <w:tcW w:w="714" w:type="pct"/>
            <w:tcBorders>
              <w:top w:val="nil"/>
              <w:left w:val="nil"/>
              <w:bottom w:val="nil"/>
              <w:right w:val="nil"/>
            </w:tcBorders>
            <w:shd w:val="clear" w:color="auto" w:fill="auto"/>
            <w:noWrap/>
            <w:vAlign w:val="bottom"/>
            <w:hideMark/>
          </w:tcPr>
          <w:p w14:paraId="2ED6900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353870</w:t>
            </w:r>
          </w:p>
        </w:tc>
        <w:tc>
          <w:tcPr>
            <w:tcW w:w="714" w:type="pct"/>
            <w:tcBorders>
              <w:top w:val="nil"/>
              <w:left w:val="nil"/>
              <w:bottom w:val="nil"/>
              <w:right w:val="nil"/>
            </w:tcBorders>
            <w:shd w:val="clear" w:color="auto" w:fill="auto"/>
            <w:noWrap/>
            <w:vAlign w:val="bottom"/>
            <w:hideMark/>
          </w:tcPr>
          <w:p w14:paraId="7861649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510530</w:t>
            </w:r>
          </w:p>
        </w:tc>
        <w:tc>
          <w:tcPr>
            <w:tcW w:w="714" w:type="pct"/>
            <w:tcBorders>
              <w:top w:val="nil"/>
              <w:left w:val="nil"/>
              <w:bottom w:val="nil"/>
              <w:right w:val="nil"/>
            </w:tcBorders>
            <w:shd w:val="clear" w:color="auto" w:fill="auto"/>
            <w:noWrap/>
            <w:vAlign w:val="bottom"/>
            <w:hideMark/>
          </w:tcPr>
          <w:p w14:paraId="4B5BF5B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696200</w:t>
            </w:r>
          </w:p>
        </w:tc>
      </w:tr>
      <w:tr w:rsidR="00A76559" w:rsidRPr="00124668" w14:paraId="6CBF8A61" w14:textId="77777777" w:rsidTr="00124668">
        <w:tc>
          <w:tcPr>
            <w:tcW w:w="938" w:type="pct"/>
            <w:tcBorders>
              <w:top w:val="nil"/>
              <w:left w:val="nil"/>
              <w:bottom w:val="nil"/>
              <w:right w:val="nil"/>
            </w:tcBorders>
            <w:shd w:val="clear" w:color="auto" w:fill="auto"/>
            <w:noWrap/>
            <w:vAlign w:val="bottom"/>
            <w:hideMark/>
          </w:tcPr>
          <w:p w14:paraId="3A8F3D2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SBMSY/SB0</w:t>
            </w:r>
          </w:p>
        </w:tc>
        <w:tc>
          <w:tcPr>
            <w:tcW w:w="625" w:type="pct"/>
            <w:tcBorders>
              <w:top w:val="nil"/>
              <w:left w:val="nil"/>
              <w:bottom w:val="nil"/>
              <w:right w:val="nil"/>
            </w:tcBorders>
            <w:shd w:val="clear" w:color="auto" w:fill="auto"/>
            <w:noWrap/>
            <w:vAlign w:val="bottom"/>
            <w:hideMark/>
          </w:tcPr>
          <w:p w14:paraId="242973C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0.16</w:t>
            </w:r>
          </w:p>
        </w:tc>
        <w:tc>
          <w:tcPr>
            <w:tcW w:w="580" w:type="pct"/>
            <w:tcBorders>
              <w:top w:val="nil"/>
              <w:left w:val="nil"/>
              <w:bottom w:val="nil"/>
              <w:right w:val="nil"/>
            </w:tcBorders>
            <w:shd w:val="clear" w:color="auto" w:fill="auto"/>
            <w:noWrap/>
            <w:vAlign w:val="bottom"/>
            <w:hideMark/>
          </w:tcPr>
          <w:p w14:paraId="654A9F9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0.17</w:t>
            </w:r>
          </w:p>
        </w:tc>
        <w:tc>
          <w:tcPr>
            <w:tcW w:w="714" w:type="pct"/>
            <w:tcBorders>
              <w:top w:val="nil"/>
              <w:left w:val="nil"/>
              <w:bottom w:val="nil"/>
              <w:right w:val="nil"/>
            </w:tcBorders>
            <w:shd w:val="clear" w:color="auto" w:fill="auto"/>
            <w:noWrap/>
            <w:vAlign w:val="bottom"/>
            <w:hideMark/>
          </w:tcPr>
          <w:p w14:paraId="7AD9FE1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0.07</w:t>
            </w:r>
          </w:p>
        </w:tc>
        <w:tc>
          <w:tcPr>
            <w:tcW w:w="714" w:type="pct"/>
            <w:tcBorders>
              <w:top w:val="nil"/>
              <w:left w:val="nil"/>
              <w:bottom w:val="nil"/>
              <w:right w:val="nil"/>
            </w:tcBorders>
            <w:shd w:val="clear" w:color="auto" w:fill="auto"/>
            <w:noWrap/>
            <w:vAlign w:val="bottom"/>
            <w:hideMark/>
          </w:tcPr>
          <w:p w14:paraId="17F65B3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w:t>
            </w:r>
          </w:p>
        </w:tc>
        <w:tc>
          <w:tcPr>
            <w:tcW w:w="714" w:type="pct"/>
            <w:tcBorders>
              <w:top w:val="nil"/>
              <w:left w:val="nil"/>
              <w:bottom w:val="nil"/>
              <w:right w:val="nil"/>
            </w:tcBorders>
            <w:shd w:val="clear" w:color="auto" w:fill="auto"/>
            <w:noWrap/>
            <w:vAlign w:val="bottom"/>
            <w:hideMark/>
          </w:tcPr>
          <w:p w14:paraId="61169F0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0.21</w:t>
            </w:r>
          </w:p>
        </w:tc>
        <w:tc>
          <w:tcPr>
            <w:tcW w:w="714" w:type="pct"/>
            <w:tcBorders>
              <w:top w:val="nil"/>
              <w:left w:val="nil"/>
              <w:bottom w:val="nil"/>
              <w:right w:val="nil"/>
            </w:tcBorders>
            <w:shd w:val="clear" w:color="auto" w:fill="auto"/>
            <w:noWrap/>
            <w:vAlign w:val="bottom"/>
            <w:hideMark/>
          </w:tcPr>
          <w:p w14:paraId="3BDEC88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0.23</w:t>
            </w:r>
          </w:p>
        </w:tc>
      </w:tr>
      <w:tr w:rsidR="00A76559" w:rsidRPr="00124668" w14:paraId="7DFF1AB0" w14:textId="77777777" w:rsidTr="00124668">
        <w:tc>
          <w:tcPr>
            <w:tcW w:w="938" w:type="pct"/>
            <w:tcBorders>
              <w:top w:val="nil"/>
              <w:left w:val="nil"/>
              <w:bottom w:val="nil"/>
              <w:right w:val="nil"/>
            </w:tcBorders>
            <w:shd w:val="clear" w:color="auto" w:fill="auto"/>
            <w:noWrap/>
            <w:vAlign w:val="bottom"/>
            <w:hideMark/>
          </w:tcPr>
          <w:p w14:paraId="0B2C92F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SBF=0</w:t>
            </w:r>
          </w:p>
        </w:tc>
        <w:tc>
          <w:tcPr>
            <w:tcW w:w="625" w:type="pct"/>
            <w:tcBorders>
              <w:top w:val="nil"/>
              <w:left w:val="nil"/>
              <w:bottom w:val="nil"/>
              <w:right w:val="nil"/>
            </w:tcBorders>
            <w:shd w:val="clear" w:color="auto" w:fill="auto"/>
            <w:noWrap/>
            <w:vAlign w:val="bottom"/>
            <w:hideMark/>
          </w:tcPr>
          <w:p w14:paraId="480DEA0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469004</w:t>
            </w:r>
          </w:p>
        </w:tc>
        <w:tc>
          <w:tcPr>
            <w:tcW w:w="580" w:type="pct"/>
            <w:tcBorders>
              <w:top w:val="nil"/>
              <w:left w:val="nil"/>
              <w:bottom w:val="nil"/>
              <w:right w:val="nil"/>
            </w:tcBorders>
            <w:shd w:val="clear" w:color="auto" w:fill="auto"/>
            <w:noWrap/>
            <w:vAlign w:val="bottom"/>
            <w:hideMark/>
          </w:tcPr>
          <w:p w14:paraId="58D7535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462633</w:t>
            </w:r>
          </w:p>
        </w:tc>
        <w:tc>
          <w:tcPr>
            <w:tcW w:w="714" w:type="pct"/>
            <w:tcBorders>
              <w:top w:val="nil"/>
              <w:left w:val="nil"/>
              <w:bottom w:val="nil"/>
              <w:right w:val="nil"/>
            </w:tcBorders>
            <w:shd w:val="clear" w:color="auto" w:fill="auto"/>
            <w:noWrap/>
            <w:vAlign w:val="bottom"/>
            <w:hideMark/>
          </w:tcPr>
          <w:p w14:paraId="57A56A8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380092</w:t>
            </w:r>
          </w:p>
        </w:tc>
        <w:tc>
          <w:tcPr>
            <w:tcW w:w="714" w:type="pct"/>
            <w:tcBorders>
              <w:top w:val="nil"/>
              <w:left w:val="nil"/>
              <w:bottom w:val="nil"/>
              <w:right w:val="nil"/>
            </w:tcBorders>
            <w:shd w:val="clear" w:color="auto" w:fill="auto"/>
            <w:noWrap/>
            <w:vAlign w:val="bottom"/>
            <w:hideMark/>
          </w:tcPr>
          <w:p w14:paraId="7FF3A34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407792</w:t>
            </w:r>
          </w:p>
        </w:tc>
        <w:tc>
          <w:tcPr>
            <w:tcW w:w="714" w:type="pct"/>
            <w:tcBorders>
              <w:top w:val="nil"/>
              <w:left w:val="nil"/>
              <w:bottom w:val="nil"/>
              <w:right w:val="nil"/>
            </w:tcBorders>
            <w:shd w:val="clear" w:color="auto" w:fill="auto"/>
            <w:noWrap/>
            <w:vAlign w:val="bottom"/>
            <w:hideMark/>
          </w:tcPr>
          <w:p w14:paraId="40CC323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534040</w:t>
            </w:r>
          </w:p>
        </w:tc>
        <w:tc>
          <w:tcPr>
            <w:tcW w:w="714" w:type="pct"/>
            <w:tcBorders>
              <w:top w:val="nil"/>
              <w:left w:val="nil"/>
              <w:bottom w:val="nil"/>
              <w:right w:val="nil"/>
            </w:tcBorders>
            <w:shd w:val="clear" w:color="auto" w:fill="auto"/>
            <w:noWrap/>
            <w:vAlign w:val="bottom"/>
            <w:hideMark/>
          </w:tcPr>
          <w:p w14:paraId="74AF23D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620000</w:t>
            </w:r>
          </w:p>
        </w:tc>
      </w:tr>
      <w:tr w:rsidR="00A76559" w:rsidRPr="00124668" w14:paraId="1DDF4693" w14:textId="77777777" w:rsidTr="00124668">
        <w:tc>
          <w:tcPr>
            <w:tcW w:w="938" w:type="pct"/>
            <w:tcBorders>
              <w:top w:val="nil"/>
              <w:left w:val="nil"/>
              <w:bottom w:val="nil"/>
              <w:right w:val="nil"/>
            </w:tcBorders>
            <w:shd w:val="clear" w:color="auto" w:fill="auto"/>
            <w:noWrap/>
            <w:vAlign w:val="bottom"/>
            <w:hideMark/>
          </w:tcPr>
          <w:p w14:paraId="3EAFD0A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SBMSY/SBF=0</w:t>
            </w:r>
          </w:p>
        </w:tc>
        <w:tc>
          <w:tcPr>
            <w:tcW w:w="625" w:type="pct"/>
            <w:tcBorders>
              <w:top w:val="nil"/>
              <w:left w:val="nil"/>
              <w:bottom w:val="nil"/>
              <w:right w:val="nil"/>
            </w:tcBorders>
            <w:shd w:val="clear" w:color="auto" w:fill="auto"/>
            <w:noWrap/>
            <w:vAlign w:val="bottom"/>
            <w:hideMark/>
          </w:tcPr>
          <w:p w14:paraId="79E4036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0.15</w:t>
            </w:r>
          </w:p>
        </w:tc>
        <w:tc>
          <w:tcPr>
            <w:tcW w:w="580" w:type="pct"/>
            <w:tcBorders>
              <w:top w:val="nil"/>
              <w:left w:val="nil"/>
              <w:bottom w:val="nil"/>
              <w:right w:val="nil"/>
            </w:tcBorders>
            <w:shd w:val="clear" w:color="auto" w:fill="auto"/>
            <w:noWrap/>
            <w:vAlign w:val="bottom"/>
            <w:hideMark/>
          </w:tcPr>
          <w:p w14:paraId="3B63B93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0.15</w:t>
            </w:r>
          </w:p>
        </w:tc>
        <w:tc>
          <w:tcPr>
            <w:tcW w:w="714" w:type="pct"/>
            <w:tcBorders>
              <w:top w:val="nil"/>
              <w:left w:val="nil"/>
              <w:bottom w:val="nil"/>
              <w:right w:val="nil"/>
            </w:tcBorders>
            <w:shd w:val="clear" w:color="auto" w:fill="auto"/>
            <w:noWrap/>
            <w:vAlign w:val="bottom"/>
            <w:hideMark/>
          </w:tcPr>
          <w:p w14:paraId="7BC49C4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0.06</w:t>
            </w:r>
          </w:p>
        </w:tc>
        <w:tc>
          <w:tcPr>
            <w:tcW w:w="714" w:type="pct"/>
            <w:tcBorders>
              <w:top w:val="nil"/>
              <w:left w:val="nil"/>
              <w:bottom w:val="nil"/>
              <w:right w:val="nil"/>
            </w:tcBorders>
            <w:shd w:val="clear" w:color="auto" w:fill="auto"/>
            <w:noWrap/>
            <w:vAlign w:val="bottom"/>
            <w:hideMark/>
          </w:tcPr>
          <w:p w14:paraId="40AC96A7"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0.09</w:t>
            </w:r>
          </w:p>
        </w:tc>
        <w:tc>
          <w:tcPr>
            <w:tcW w:w="714" w:type="pct"/>
            <w:tcBorders>
              <w:top w:val="nil"/>
              <w:left w:val="nil"/>
              <w:bottom w:val="nil"/>
              <w:right w:val="nil"/>
            </w:tcBorders>
            <w:shd w:val="clear" w:color="auto" w:fill="auto"/>
            <w:noWrap/>
            <w:vAlign w:val="bottom"/>
            <w:hideMark/>
          </w:tcPr>
          <w:p w14:paraId="381C61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w:t>
            </w:r>
          </w:p>
        </w:tc>
        <w:tc>
          <w:tcPr>
            <w:tcW w:w="714" w:type="pct"/>
            <w:tcBorders>
              <w:top w:val="nil"/>
              <w:left w:val="nil"/>
              <w:bottom w:val="nil"/>
              <w:right w:val="nil"/>
            </w:tcBorders>
            <w:shd w:val="clear" w:color="auto" w:fill="auto"/>
            <w:noWrap/>
            <w:vAlign w:val="bottom"/>
            <w:hideMark/>
          </w:tcPr>
          <w:p w14:paraId="33D56DB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0.22</w:t>
            </w:r>
          </w:p>
        </w:tc>
      </w:tr>
      <w:tr w:rsidR="00A76559" w:rsidRPr="00124668" w14:paraId="79317367" w14:textId="77777777" w:rsidTr="00124668">
        <w:tc>
          <w:tcPr>
            <w:tcW w:w="938" w:type="pct"/>
            <w:tcBorders>
              <w:top w:val="nil"/>
              <w:left w:val="nil"/>
              <w:bottom w:val="nil"/>
              <w:right w:val="nil"/>
            </w:tcBorders>
            <w:shd w:val="clear" w:color="auto" w:fill="auto"/>
            <w:noWrap/>
            <w:vAlign w:val="bottom"/>
            <w:hideMark/>
          </w:tcPr>
          <w:p w14:paraId="19A32C4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SBlatest/SB0</w:t>
            </w:r>
          </w:p>
        </w:tc>
        <w:tc>
          <w:tcPr>
            <w:tcW w:w="625" w:type="pct"/>
            <w:tcBorders>
              <w:top w:val="nil"/>
              <w:left w:val="nil"/>
              <w:bottom w:val="nil"/>
              <w:right w:val="nil"/>
            </w:tcBorders>
            <w:shd w:val="clear" w:color="auto" w:fill="auto"/>
            <w:noWrap/>
            <w:vAlign w:val="bottom"/>
            <w:hideMark/>
          </w:tcPr>
          <w:p w14:paraId="23E56B9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0.55</w:t>
            </w:r>
          </w:p>
        </w:tc>
        <w:tc>
          <w:tcPr>
            <w:tcW w:w="580" w:type="pct"/>
            <w:tcBorders>
              <w:top w:val="nil"/>
              <w:left w:val="nil"/>
              <w:bottom w:val="nil"/>
              <w:right w:val="nil"/>
            </w:tcBorders>
            <w:shd w:val="clear" w:color="auto" w:fill="auto"/>
            <w:noWrap/>
            <w:vAlign w:val="bottom"/>
            <w:hideMark/>
          </w:tcPr>
          <w:p w14:paraId="335D5F9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0.56</w:t>
            </w:r>
          </w:p>
        </w:tc>
        <w:tc>
          <w:tcPr>
            <w:tcW w:w="714" w:type="pct"/>
            <w:tcBorders>
              <w:top w:val="nil"/>
              <w:left w:val="nil"/>
              <w:bottom w:val="nil"/>
              <w:right w:val="nil"/>
            </w:tcBorders>
            <w:shd w:val="clear" w:color="auto" w:fill="auto"/>
            <w:noWrap/>
            <w:vAlign w:val="bottom"/>
            <w:hideMark/>
          </w:tcPr>
          <w:p w14:paraId="2029E91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0.33</w:t>
            </w:r>
          </w:p>
        </w:tc>
        <w:tc>
          <w:tcPr>
            <w:tcW w:w="714" w:type="pct"/>
            <w:tcBorders>
              <w:top w:val="nil"/>
              <w:left w:val="nil"/>
              <w:bottom w:val="nil"/>
              <w:right w:val="nil"/>
            </w:tcBorders>
            <w:shd w:val="clear" w:color="auto" w:fill="auto"/>
            <w:noWrap/>
            <w:vAlign w:val="bottom"/>
            <w:hideMark/>
          </w:tcPr>
          <w:p w14:paraId="02E1110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0.42</w:t>
            </w:r>
          </w:p>
        </w:tc>
        <w:tc>
          <w:tcPr>
            <w:tcW w:w="714" w:type="pct"/>
            <w:tcBorders>
              <w:top w:val="nil"/>
              <w:left w:val="nil"/>
              <w:bottom w:val="nil"/>
              <w:right w:val="nil"/>
            </w:tcBorders>
            <w:shd w:val="clear" w:color="auto" w:fill="auto"/>
            <w:noWrap/>
            <w:vAlign w:val="bottom"/>
            <w:hideMark/>
          </w:tcPr>
          <w:p w14:paraId="0F55CC1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0.69</w:t>
            </w:r>
          </w:p>
        </w:tc>
        <w:tc>
          <w:tcPr>
            <w:tcW w:w="714" w:type="pct"/>
            <w:tcBorders>
              <w:top w:val="nil"/>
              <w:left w:val="nil"/>
              <w:bottom w:val="nil"/>
              <w:right w:val="nil"/>
            </w:tcBorders>
            <w:shd w:val="clear" w:color="auto" w:fill="auto"/>
            <w:noWrap/>
            <w:vAlign w:val="bottom"/>
            <w:hideMark/>
          </w:tcPr>
          <w:p w14:paraId="69839D2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0.74</w:t>
            </w:r>
          </w:p>
        </w:tc>
      </w:tr>
      <w:tr w:rsidR="00A76559" w:rsidRPr="00124668" w14:paraId="7DB43032" w14:textId="77777777" w:rsidTr="00124668">
        <w:tc>
          <w:tcPr>
            <w:tcW w:w="938" w:type="pct"/>
            <w:tcBorders>
              <w:top w:val="nil"/>
              <w:left w:val="nil"/>
              <w:bottom w:val="nil"/>
              <w:right w:val="nil"/>
            </w:tcBorders>
            <w:shd w:val="clear" w:color="auto" w:fill="auto"/>
            <w:noWrap/>
            <w:vAlign w:val="bottom"/>
            <w:hideMark/>
          </w:tcPr>
          <w:p w14:paraId="79252F2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SBlatest/SBF=0</w:t>
            </w:r>
          </w:p>
        </w:tc>
        <w:tc>
          <w:tcPr>
            <w:tcW w:w="625" w:type="pct"/>
            <w:tcBorders>
              <w:top w:val="nil"/>
              <w:left w:val="nil"/>
              <w:bottom w:val="nil"/>
              <w:right w:val="nil"/>
            </w:tcBorders>
            <w:shd w:val="clear" w:color="auto" w:fill="auto"/>
            <w:noWrap/>
            <w:vAlign w:val="bottom"/>
            <w:hideMark/>
          </w:tcPr>
          <w:p w14:paraId="228DD07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0.53</w:t>
            </w:r>
          </w:p>
        </w:tc>
        <w:tc>
          <w:tcPr>
            <w:tcW w:w="580" w:type="pct"/>
            <w:tcBorders>
              <w:top w:val="nil"/>
              <w:left w:val="nil"/>
              <w:bottom w:val="nil"/>
              <w:right w:val="nil"/>
            </w:tcBorders>
            <w:shd w:val="clear" w:color="auto" w:fill="auto"/>
            <w:noWrap/>
            <w:vAlign w:val="bottom"/>
            <w:hideMark/>
          </w:tcPr>
          <w:p w14:paraId="3582559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0.52</w:t>
            </w:r>
          </w:p>
        </w:tc>
        <w:tc>
          <w:tcPr>
            <w:tcW w:w="714" w:type="pct"/>
            <w:tcBorders>
              <w:top w:val="nil"/>
              <w:left w:val="nil"/>
              <w:bottom w:val="nil"/>
              <w:right w:val="nil"/>
            </w:tcBorders>
            <w:shd w:val="clear" w:color="auto" w:fill="auto"/>
            <w:noWrap/>
            <w:vAlign w:val="bottom"/>
            <w:hideMark/>
          </w:tcPr>
          <w:p w14:paraId="641A7A3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w:t>
            </w:r>
          </w:p>
        </w:tc>
        <w:tc>
          <w:tcPr>
            <w:tcW w:w="714" w:type="pct"/>
            <w:tcBorders>
              <w:top w:val="nil"/>
              <w:left w:val="nil"/>
              <w:bottom w:val="nil"/>
              <w:right w:val="nil"/>
            </w:tcBorders>
            <w:shd w:val="clear" w:color="auto" w:fill="auto"/>
            <w:noWrap/>
            <w:vAlign w:val="bottom"/>
            <w:hideMark/>
          </w:tcPr>
          <w:p w14:paraId="66CE78B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0.37</w:t>
            </w:r>
          </w:p>
        </w:tc>
        <w:tc>
          <w:tcPr>
            <w:tcW w:w="714" w:type="pct"/>
            <w:tcBorders>
              <w:top w:val="nil"/>
              <w:left w:val="nil"/>
              <w:bottom w:val="nil"/>
              <w:right w:val="nil"/>
            </w:tcBorders>
            <w:shd w:val="clear" w:color="auto" w:fill="auto"/>
            <w:noWrap/>
            <w:vAlign w:val="bottom"/>
            <w:hideMark/>
          </w:tcPr>
          <w:p w14:paraId="19F94F2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0.69</w:t>
            </w:r>
          </w:p>
        </w:tc>
        <w:tc>
          <w:tcPr>
            <w:tcW w:w="714" w:type="pct"/>
            <w:tcBorders>
              <w:top w:val="nil"/>
              <w:left w:val="nil"/>
              <w:bottom w:val="nil"/>
              <w:right w:val="nil"/>
            </w:tcBorders>
            <w:shd w:val="clear" w:color="auto" w:fill="auto"/>
            <w:noWrap/>
            <w:vAlign w:val="bottom"/>
            <w:hideMark/>
          </w:tcPr>
          <w:p w14:paraId="0C5D989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0.77</w:t>
            </w:r>
          </w:p>
        </w:tc>
      </w:tr>
      <w:tr w:rsidR="00A76559" w:rsidRPr="00124668" w14:paraId="2B9EA5E3" w14:textId="77777777" w:rsidTr="00124668">
        <w:tc>
          <w:tcPr>
            <w:tcW w:w="938" w:type="pct"/>
            <w:tcBorders>
              <w:top w:val="nil"/>
              <w:left w:val="nil"/>
              <w:bottom w:val="nil"/>
              <w:right w:val="nil"/>
            </w:tcBorders>
            <w:shd w:val="clear" w:color="auto" w:fill="auto"/>
            <w:noWrap/>
            <w:vAlign w:val="bottom"/>
            <w:hideMark/>
          </w:tcPr>
          <w:p w14:paraId="04A9EFB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SBlatest/SBMSY</w:t>
            </w:r>
          </w:p>
        </w:tc>
        <w:tc>
          <w:tcPr>
            <w:tcW w:w="625" w:type="pct"/>
            <w:tcBorders>
              <w:top w:val="nil"/>
              <w:left w:val="nil"/>
              <w:bottom w:val="nil"/>
              <w:right w:val="nil"/>
            </w:tcBorders>
            <w:shd w:val="clear" w:color="auto" w:fill="auto"/>
            <w:noWrap/>
            <w:vAlign w:val="bottom"/>
            <w:hideMark/>
          </w:tcPr>
          <w:p w14:paraId="065E1B9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w:t>
            </w:r>
          </w:p>
        </w:tc>
        <w:tc>
          <w:tcPr>
            <w:tcW w:w="580" w:type="pct"/>
            <w:tcBorders>
              <w:top w:val="nil"/>
              <w:left w:val="nil"/>
              <w:bottom w:val="nil"/>
              <w:right w:val="nil"/>
            </w:tcBorders>
            <w:shd w:val="clear" w:color="auto" w:fill="auto"/>
            <w:noWrap/>
            <w:vAlign w:val="bottom"/>
            <w:hideMark/>
          </w:tcPr>
          <w:p w14:paraId="63546C9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3.42</w:t>
            </w:r>
          </w:p>
        </w:tc>
        <w:tc>
          <w:tcPr>
            <w:tcW w:w="714" w:type="pct"/>
            <w:tcBorders>
              <w:top w:val="nil"/>
              <w:left w:val="nil"/>
              <w:bottom w:val="nil"/>
              <w:right w:val="nil"/>
            </w:tcBorders>
            <w:shd w:val="clear" w:color="auto" w:fill="auto"/>
            <w:noWrap/>
            <w:vAlign w:val="bottom"/>
            <w:hideMark/>
          </w:tcPr>
          <w:p w14:paraId="38D660F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1.45</w:t>
            </w:r>
          </w:p>
        </w:tc>
        <w:tc>
          <w:tcPr>
            <w:tcW w:w="714" w:type="pct"/>
            <w:tcBorders>
              <w:top w:val="nil"/>
              <w:left w:val="nil"/>
              <w:bottom w:val="nil"/>
              <w:right w:val="nil"/>
            </w:tcBorders>
            <w:shd w:val="clear" w:color="auto" w:fill="auto"/>
            <w:noWrap/>
            <w:vAlign w:val="bottom"/>
            <w:hideMark/>
          </w:tcPr>
          <w:p w14:paraId="1353304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1.96</w:t>
            </w:r>
          </w:p>
        </w:tc>
        <w:tc>
          <w:tcPr>
            <w:tcW w:w="714" w:type="pct"/>
            <w:tcBorders>
              <w:top w:val="nil"/>
              <w:left w:val="nil"/>
              <w:bottom w:val="nil"/>
              <w:right w:val="nil"/>
            </w:tcBorders>
            <w:shd w:val="clear" w:color="auto" w:fill="auto"/>
            <w:noWrap/>
            <w:vAlign w:val="bottom"/>
            <w:hideMark/>
          </w:tcPr>
          <w:p w14:paraId="797035B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7.07</w:t>
            </w:r>
          </w:p>
        </w:tc>
        <w:tc>
          <w:tcPr>
            <w:tcW w:w="714" w:type="pct"/>
            <w:tcBorders>
              <w:top w:val="nil"/>
              <w:left w:val="nil"/>
              <w:bottom w:val="nil"/>
              <w:right w:val="nil"/>
            </w:tcBorders>
            <w:shd w:val="clear" w:color="auto" w:fill="auto"/>
            <w:noWrap/>
            <w:vAlign w:val="bottom"/>
            <w:hideMark/>
          </w:tcPr>
          <w:p w14:paraId="60C9751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10.74</w:t>
            </w:r>
          </w:p>
        </w:tc>
      </w:tr>
      <w:tr w:rsidR="00A76559" w:rsidRPr="00124668" w14:paraId="17E2870A" w14:textId="77777777" w:rsidTr="00124668">
        <w:tc>
          <w:tcPr>
            <w:tcW w:w="938" w:type="pct"/>
            <w:tcBorders>
              <w:top w:val="nil"/>
              <w:left w:val="nil"/>
              <w:right w:val="nil"/>
            </w:tcBorders>
            <w:shd w:val="clear" w:color="auto" w:fill="auto"/>
            <w:noWrap/>
            <w:vAlign w:val="bottom"/>
            <w:hideMark/>
          </w:tcPr>
          <w:p w14:paraId="004ED2D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SBrecent/SBF=0</w:t>
            </w:r>
          </w:p>
        </w:tc>
        <w:tc>
          <w:tcPr>
            <w:tcW w:w="625" w:type="pct"/>
            <w:tcBorders>
              <w:top w:val="nil"/>
              <w:left w:val="nil"/>
              <w:right w:val="nil"/>
            </w:tcBorders>
            <w:shd w:val="clear" w:color="auto" w:fill="auto"/>
            <w:noWrap/>
            <w:vAlign w:val="bottom"/>
            <w:hideMark/>
          </w:tcPr>
          <w:p w14:paraId="6AFACEE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0.51</w:t>
            </w:r>
          </w:p>
        </w:tc>
        <w:tc>
          <w:tcPr>
            <w:tcW w:w="580" w:type="pct"/>
            <w:tcBorders>
              <w:top w:val="nil"/>
              <w:left w:val="nil"/>
              <w:right w:val="nil"/>
            </w:tcBorders>
            <w:shd w:val="clear" w:color="auto" w:fill="auto"/>
            <w:noWrap/>
            <w:vAlign w:val="bottom"/>
            <w:hideMark/>
          </w:tcPr>
          <w:p w14:paraId="32E157F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0.52</w:t>
            </w:r>
          </w:p>
        </w:tc>
        <w:tc>
          <w:tcPr>
            <w:tcW w:w="714" w:type="pct"/>
            <w:tcBorders>
              <w:top w:val="nil"/>
              <w:left w:val="nil"/>
              <w:right w:val="nil"/>
            </w:tcBorders>
            <w:shd w:val="clear" w:color="auto" w:fill="auto"/>
            <w:noWrap/>
            <w:vAlign w:val="bottom"/>
            <w:hideMark/>
          </w:tcPr>
          <w:p w14:paraId="09F9000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0.32</w:t>
            </w:r>
          </w:p>
        </w:tc>
        <w:tc>
          <w:tcPr>
            <w:tcW w:w="714" w:type="pct"/>
            <w:tcBorders>
              <w:top w:val="nil"/>
              <w:left w:val="nil"/>
              <w:right w:val="nil"/>
            </w:tcBorders>
            <w:shd w:val="clear" w:color="auto" w:fill="auto"/>
            <w:noWrap/>
            <w:vAlign w:val="bottom"/>
            <w:hideMark/>
          </w:tcPr>
          <w:p w14:paraId="308360E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0.37</w:t>
            </w:r>
          </w:p>
        </w:tc>
        <w:tc>
          <w:tcPr>
            <w:tcW w:w="714" w:type="pct"/>
            <w:tcBorders>
              <w:top w:val="nil"/>
              <w:left w:val="nil"/>
              <w:right w:val="nil"/>
            </w:tcBorders>
            <w:shd w:val="clear" w:color="auto" w:fill="auto"/>
            <w:noWrap/>
            <w:vAlign w:val="bottom"/>
            <w:hideMark/>
          </w:tcPr>
          <w:p w14:paraId="3B28DBD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0.63</w:t>
            </w:r>
          </w:p>
        </w:tc>
        <w:tc>
          <w:tcPr>
            <w:tcW w:w="714" w:type="pct"/>
            <w:tcBorders>
              <w:top w:val="nil"/>
              <w:left w:val="nil"/>
              <w:right w:val="nil"/>
            </w:tcBorders>
            <w:shd w:val="clear" w:color="auto" w:fill="auto"/>
            <w:noWrap/>
            <w:vAlign w:val="bottom"/>
            <w:hideMark/>
          </w:tcPr>
          <w:p w14:paraId="2986150E"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0.72</w:t>
            </w:r>
          </w:p>
        </w:tc>
      </w:tr>
      <w:tr w:rsidR="00A76559" w:rsidRPr="00124668" w14:paraId="65C6D78B" w14:textId="77777777" w:rsidTr="00124668">
        <w:tc>
          <w:tcPr>
            <w:tcW w:w="938" w:type="pct"/>
            <w:tcBorders>
              <w:top w:val="nil"/>
              <w:left w:val="nil"/>
              <w:bottom w:val="single" w:sz="4" w:space="0" w:color="auto"/>
              <w:right w:val="nil"/>
            </w:tcBorders>
            <w:shd w:val="clear" w:color="auto" w:fill="auto"/>
            <w:noWrap/>
            <w:vAlign w:val="bottom"/>
            <w:hideMark/>
          </w:tcPr>
          <w:p w14:paraId="6863530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SBrecent/SBMSY</w:t>
            </w:r>
          </w:p>
        </w:tc>
        <w:tc>
          <w:tcPr>
            <w:tcW w:w="625" w:type="pct"/>
            <w:tcBorders>
              <w:top w:val="nil"/>
              <w:left w:val="nil"/>
              <w:bottom w:val="single" w:sz="4" w:space="0" w:color="auto"/>
              <w:right w:val="nil"/>
            </w:tcBorders>
            <w:shd w:val="clear" w:color="auto" w:fill="auto"/>
            <w:noWrap/>
            <w:vAlign w:val="bottom"/>
            <w:hideMark/>
          </w:tcPr>
          <w:p w14:paraId="457485C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3.88</w:t>
            </w:r>
          </w:p>
        </w:tc>
        <w:tc>
          <w:tcPr>
            <w:tcW w:w="580" w:type="pct"/>
            <w:tcBorders>
              <w:top w:val="nil"/>
              <w:left w:val="nil"/>
              <w:bottom w:val="single" w:sz="4" w:space="0" w:color="auto"/>
              <w:right w:val="nil"/>
            </w:tcBorders>
            <w:shd w:val="clear" w:color="auto" w:fill="auto"/>
            <w:noWrap/>
            <w:vAlign w:val="bottom"/>
            <w:hideMark/>
          </w:tcPr>
          <w:p w14:paraId="223C645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3.3</w:t>
            </w:r>
          </w:p>
        </w:tc>
        <w:tc>
          <w:tcPr>
            <w:tcW w:w="714" w:type="pct"/>
            <w:tcBorders>
              <w:top w:val="nil"/>
              <w:left w:val="nil"/>
              <w:bottom w:val="single" w:sz="4" w:space="0" w:color="auto"/>
              <w:right w:val="nil"/>
            </w:tcBorders>
            <w:shd w:val="clear" w:color="auto" w:fill="auto"/>
            <w:noWrap/>
            <w:vAlign w:val="bottom"/>
            <w:hideMark/>
          </w:tcPr>
          <w:p w14:paraId="01E2BAB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1.58</w:t>
            </w:r>
          </w:p>
        </w:tc>
        <w:tc>
          <w:tcPr>
            <w:tcW w:w="714" w:type="pct"/>
            <w:tcBorders>
              <w:top w:val="nil"/>
              <w:left w:val="nil"/>
              <w:bottom w:val="single" w:sz="4" w:space="0" w:color="auto"/>
              <w:right w:val="nil"/>
            </w:tcBorders>
            <w:shd w:val="clear" w:color="auto" w:fill="auto"/>
            <w:noWrap/>
            <w:vAlign w:val="bottom"/>
            <w:hideMark/>
          </w:tcPr>
          <w:p w14:paraId="7221FF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1.96</w:t>
            </w:r>
          </w:p>
        </w:tc>
        <w:tc>
          <w:tcPr>
            <w:tcW w:w="714" w:type="pct"/>
            <w:tcBorders>
              <w:top w:val="nil"/>
              <w:left w:val="nil"/>
              <w:bottom w:val="single" w:sz="4" w:space="0" w:color="auto"/>
              <w:right w:val="nil"/>
            </w:tcBorders>
            <w:shd w:val="clear" w:color="auto" w:fill="auto"/>
            <w:noWrap/>
            <w:vAlign w:val="bottom"/>
            <w:hideMark/>
          </w:tcPr>
          <w:p w14:paraId="1D53EFD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6.56</w:t>
            </w:r>
          </w:p>
        </w:tc>
        <w:tc>
          <w:tcPr>
            <w:tcW w:w="714" w:type="pct"/>
            <w:tcBorders>
              <w:top w:val="nil"/>
              <w:left w:val="nil"/>
              <w:bottom w:val="single" w:sz="4" w:space="0" w:color="auto"/>
              <w:right w:val="nil"/>
            </w:tcBorders>
            <w:shd w:val="clear" w:color="auto" w:fill="auto"/>
            <w:noWrap/>
            <w:vAlign w:val="bottom"/>
            <w:hideMark/>
          </w:tcPr>
          <w:p w14:paraId="38245B1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9.67</w:t>
            </w:r>
          </w:p>
        </w:tc>
      </w:tr>
    </w:tbl>
    <w:p w14:paraId="1847E210" w14:textId="25081586" w:rsidR="00124668" w:rsidRDefault="00124668"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422E7A64" w14:textId="77777777" w:rsidR="00124668" w:rsidRDefault="00124668">
      <w:pPr>
        <w:rPr>
          <w:rFonts w:ascii="Times New Roman" w:hAnsi="Times New Roman" w:cs="Times New Roman"/>
        </w:rPr>
      </w:pPr>
      <w:r>
        <w:rPr>
          <w:rFonts w:ascii="Times New Roman" w:hAnsi="Times New Roman" w:cs="Times New Roman"/>
        </w:rP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527"/>
      </w:tblGrid>
      <w:tr w:rsidR="00A76559" w:rsidRPr="00A76559" w14:paraId="1F20BD32" w14:textId="77777777" w:rsidTr="00124668">
        <w:tc>
          <w:tcPr>
            <w:tcW w:w="4473" w:type="dxa"/>
          </w:tcPr>
          <w:p w14:paraId="18B84F3D"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lastRenderedPageBreak/>
              <w:drawing>
                <wp:inline distT="0" distB="0" distL="0" distR="0" wp14:anchorId="1A352445" wp14:editId="03BD394C">
                  <wp:extent cx="2746251" cy="1981200"/>
                  <wp:effectExtent l="0" t="0" r="0" b="0"/>
                  <wp:docPr id="286" name="Picture 1" descr="ALB-region-ma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region-map-20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122" cy="1986157"/>
                          </a:xfrm>
                          <a:prstGeom prst="rect">
                            <a:avLst/>
                          </a:prstGeom>
                          <a:noFill/>
                          <a:ln>
                            <a:noFill/>
                          </a:ln>
                        </pic:spPr>
                      </pic:pic>
                    </a:graphicData>
                  </a:graphic>
                </wp:inline>
              </w:drawing>
            </w:r>
          </w:p>
        </w:tc>
        <w:tc>
          <w:tcPr>
            <w:tcW w:w="4527" w:type="dxa"/>
          </w:tcPr>
          <w:p w14:paraId="71C49F5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0D4BBE01" wp14:editId="2DC4D1FB">
                  <wp:extent cx="2781701" cy="2047875"/>
                  <wp:effectExtent l="0" t="0" r="0" b="0"/>
                  <wp:docPr id="287" name="Picture 2" descr="plot_timeseries_catch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_timeseries_catch_FU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436" cy="2048416"/>
                          </a:xfrm>
                          <a:prstGeom prst="rect">
                            <a:avLst/>
                          </a:prstGeom>
                          <a:noFill/>
                          <a:ln>
                            <a:noFill/>
                          </a:ln>
                        </pic:spPr>
                      </pic:pic>
                    </a:graphicData>
                  </a:graphic>
                </wp:inline>
              </w:drawing>
            </w:r>
          </w:p>
        </w:tc>
      </w:tr>
      <w:tr w:rsidR="00A76559" w:rsidRPr="00A76559" w14:paraId="05661866" w14:textId="77777777" w:rsidTr="00124668">
        <w:tc>
          <w:tcPr>
            <w:tcW w:w="4473" w:type="dxa"/>
          </w:tcPr>
          <w:p w14:paraId="4606E7D4"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 xml:space="preserve">Figure SPA- </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1</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The geographical area covered by the stock assessment and the boundaries for the 5 regions under the “updated 2018 regional structure".</w:t>
            </w:r>
          </w:p>
        </w:tc>
        <w:tc>
          <w:tcPr>
            <w:tcW w:w="4527" w:type="dxa"/>
          </w:tcPr>
          <w:p w14:paraId="11F8807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 xml:space="preserve">Figure SPA- </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2</w:t>
            </w:r>
            <w:r w:rsidRPr="00A76559">
              <w:rPr>
                <w:rFonts w:ascii="Times New Roman" w:hAnsi="Times New Roman" w:cs="Times New Roman"/>
                <w:b/>
                <w:bCs/>
              </w:rPr>
              <w:fldChar w:fldCharType="end"/>
            </w:r>
            <w:r w:rsidRPr="00A76559">
              <w:rPr>
                <w:rFonts w:ascii="Times New Roman" w:hAnsi="Times New Roman" w:cs="Times New Roman"/>
                <w:b/>
                <w:bCs/>
              </w:rPr>
              <w:t xml:space="preserve">. </w:t>
            </w:r>
            <w:r w:rsidRPr="00A76559">
              <w:rPr>
                <w:rFonts w:ascii="Times New Roman" w:hAnsi="Times New Roman" w:cs="Times New Roman"/>
              </w:rPr>
              <w:t xml:space="preserve">Time series of total annual catch (1000’s mt) by fishing gear for the diagnostic case model over the full assessment period. The different </w:t>
            </w:r>
            <w:proofErr w:type="spellStart"/>
            <w:r w:rsidRPr="00A76559">
              <w:rPr>
                <w:rFonts w:ascii="Times New Roman" w:hAnsi="Times New Roman" w:cs="Times New Roman"/>
              </w:rPr>
              <w:t>colours</w:t>
            </w:r>
            <w:proofErr w:type="spellEnd"/>
            <w:r w:rsidRPr="00A76559">
              <w:rPr>
                <w:rFonts w:ascii="Times New Roman" w:hAnsi="Times New Roman" w:cs="Times New Roman"/>
              </w:rPr>
              <w:t xml:space="preserve"> refer to longline (green), troll (yellow) and driftnet (turquoise). Note that the catch by longline gear has been converted into catch-in-weight from catch-in-numbers.</w:t>
            </w:r>
          </w:p>
        </w:tc>
      </w:tr>
    </w:tbl>
    <w:p w14:paraId="38C2C47E"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2F8DB8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400ACE5E"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443"/>
      </w:tblGrid>
      <w:tr w:rsidR="00A76559" w:rsidRPr="00A76559" w14:paraId="5FB6A1FB" w14:textId="77777777" w:rsidTr="00124668">
        <w:tc>
          <w:tcPr>
            <w:tcW w:w="4788" w:type="dxa"/>
            <w:vAlign w:val="center"/>
          </w:tcPr>
          <w:p w14:paraId="799BBD71"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72B844B3" wp14:editId="223081E9">
                  <wp:extent cx="2810908" cy="2171700"/>
                  <wp:effectExtent l="0" t="0" r="8890" b="0"/>
                  <wp:docPr id="384" name="Picture 1" descr="C:\Projects\penguin-alb-2018\Write-up\stock-assessment\Figures\DiagnosticCase\plot_timeseries_catch_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cts\penguin-alb-2018\Write-up\stock-assessment\Figures\DiagnosticCase\plot_timeseries_catch_REGIO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478" cy="2176003"/>
                          </a:xfrm>
                          <a:prstGeom prst="rect">
                            <a:avLst/>
                          </a:prstGeom>
                          <a:noFill/>
                          <a:ln>
                            <a:noFill/>
                          </a:ln>
                        </pic:spPr>
                      </pic:pic>
                    </a:graphicData>
                  </a:graphic>
                </wp:inline>
              </w:drawing>
            </w:r>
          </w:p>
        </w:tc>
        <w:tc>
          <w:tcPr>
            <w:tcW w:w="4788" w:type="dxa"/>
          </w:tcPr>
          <w:p w14:paraId="66BF9B5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39F49D4A" wp14:editId="7842EAF5">
                  <wp:extent cx="2738118" cy="2790825"/>
                  <wp:effectExtent l="0" t="0" r="5715" b="0"/>
                  <wp:docPr id="385" name="Picture 3" descr="stacked-biomass-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biomass-pan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9876" cy="2792617"/>
                          </a:xfrm>
                          <a:prstGeom prst="rect">
                            <a:avLst/>
                          </a:prstGeom>
                          <a:noFill/>
                          <a:ln>
                            <a:noFill/>
                          </a:ln>
                        </pic:spPr>
                      </pic:pic>
                    </a:graphicData>
                  </a:graphic>
                </wp:inline>
              </w:drawing>
            </w:r>
          </w:p>
        </w:tc>
      </w:tr>
      <w:tr w:rsidR="00A76559" w:rsidRPr="00A76559" w14:paraId="461D3C37" w14:textId="77777777" w:rsidTr="00124668">
        <w:tc>
          <w:tcPr>
            <w:tcW w:w="4788" w:type="dxa"/>
          </w:tcPr>
          <w:p w14:paraId="7C710A6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3</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Time series of total annual catch (1000’s mt) by fishing gear and assessment region from the diagnostic case model over the full assessment period. The different </w:t>
            </w:r>
            <w:proofErr w:type="spellStart"/>
            <w:r w:rsidRPr="00A76559">
              <w:rPr>
                <w:rFonts w:ascii="Times New Roman" w:hAnsi="Times New Roman" w:cs="Times New Roman"/>
              </w:rPr>
              <w:t>colours</w:t>
            </w:r>
            <w:proofErr w:type="spellEnd"/>
            <w:r w:rsidRPr="00A76559">
              <w:rPr>
                <w:rFonts w:ascii="Times New Roman" w:hAnsi="Times New Roman" w:cs="Times New Roman"/>
              </w:rPr>
              <w:t xml:space="preserve"> denote longline (green), driftnet (turquoise) and troll (yellow).</w:t>
            </w:r>
          </w:p>
        </w:tc>
        <w:tc>
          <w:tcPr>
            <w:tcW w:w="4788" w:type="dxa"/>
          </w:tcPr>
          <w:p w14:paraId="17A9D53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4</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Estimated annual average recruitment, spawning potential and total biomass by model region for the diagnostic case model, showing the relative sizes among regions.</w:t>
            </w:r>
          </w:p>
          <w:p w14:paraId="696440F7"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r>
    </w:tbl>
    <w:p w14:paraId="6A9BE6D0"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79F2BBC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430"/>
      </w:tblGrid>
      <w:tr w:rsidR="00A76559" w:rsidRPr="00A76559" w14:paraId="7EA751D8" w14:textId="77777777" w:rsidTr="00124668">
        <w:tc>
          <w:tcPr>
            <w:tcW w:w="4788" w:type="dxa"/>
          </w:tcPr>
          <w:p w14:paraId="701B0261"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lastRenderedPageBreak/>
              <w:drawing>
                <wp:inline distT="0" distB="0" distL="0" distR="0" wp14:anchorId="3A3CB95B" wp14:editId="469FB7BE">
                  <wp:extent cx="2813407" cy="2419350"/>
                  <wp:effectExtent l="0" t="0" r="6350" b="0"/>
                  <wp:docPr id="386" name="Picture 4"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_temporal_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407" cy="2419350"/>
                          </a:xfrm>
                          <a:prstGeom prst="rect">
                            <a:avLst/>
                          </a:prstGeom>
                          <a:noFill/>
                          <a:ln>
                            <a:noFill/>
                          </a:ln>
                        </pic:spPr>
                      </pic:pic>
                    </a:graphicData>
                  </a:graphic>
                </wp:inline>
              </w:drawing>
            </w:r>
          </w:p>
        </w:tc>
        <w:tc>
          <w:tcPr>
            <w:tcW w:w="4788" w:type="dxa"/>
          </w:tcPr>
          <w:p w14:paraId="573746E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7858CC23" wp14:editId="019C4BF0">
                  <wp:extent cx="2726732" cy="2647950"/>
                  <wp:effectExtent l="0" t="0" r="0" b="0"/>
                  <wp:docPr id="387" name="Picture 2" descr="C:\Users\lauratb\AppData\Local\Microsoft\Windows\INetCache\Content.Word\quantile-grid-depletion-figur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tb\AppData\Local\Microsoft\Windows\INetCache\Content.Word\quantile-grid-depletion-figure_fu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732" cy="2647950"/>
                          </a:xfrm>
                          <a:prstGeom prst="rect">
                            <a:avLst/>
                          </a:prstGeom>
                          <a:noFill/>
                          <a:ln>
                            <a:noFill/>
                          </a:ln>
                        </pic:spPr>
                      </pic:pic>
                    </a:graphicData>
                  </a:graphic>
                </wp:inline>
              </w:drawing>
            </w:r>
          </w:p>
        </w:tc>
      </w:tr>
      <w:tr w:rsidR="00A76559" w:rsidRPr="00A76559" w14:paraId="41DE1D8E" w14:textId="77777777" w:rsidTr="00124668">
        <w:tc>
          <w:tcPr>
            <w:tcW w:w="4788" w:type="dxa"/>
          </w:tcPr>
          <w:p w14:paraId="73FBD46F"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5</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Estimated annual average juvenile and adult fishing mortality for the diagnostic case model.</w:t>
            </w:r>
          </w:p>
          <w:p w14:paraId="1F11A807"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c>
          <w:tcPr>
            <w:tcW w:w="4788" w:type="dxa"/>
          </w:tcPr>
          <w:p w14:paraId="0367D83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6</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Distribution of time series depletion estimates across the structural uncertainty grid. Black line represents the grid median trajectory, dark grey region represents the 50%ile range, light grey the 90%ile range.</w:t>
            </w:r>
          </w:p>
        </w:tc>
      </w:tr>
    </w:tbl>
    <w:p w14:paraId="0120A230"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457"/>
      </w:tblGrid>
      <w:tr w:rsidR="00A76559" w:rsidRPr="00A76559" w14:paraId="0A024CE4" w14:textId="77777777" w:rsidTr="00124668">
        <w:tc>
          <w:tcPr>
            <w:tcW w:w="4657" w:type="dxa"/>
            <w:vAlign w:val="center"/>
          </w:tcPr>
          <w:p w14:paraId="5BFAB77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6419D4FB" wp14:editId="4E0C9420">
                  <wp:extent cx="2840736" cy="3279648"/>
                  <wp:effectExtent l="0" t="0" r="0" b="0"/>
                  <wp:docPr id="388" name="Picture 5" descr="Grid_ALB_depletion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ALB_depletion_pan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44" cy="3291664"/>
                          </a:xfrm>
                          <a:prstGeom prst="rect">
                            <a:avLst/>
                          </a:prstGeom>
                          <a:noFill/>
                          <a:ln>
                            <a:noFill/>
                          </a:ln>
                        </pic:spPr>
                      </pic:pic>
                    </a:graphicData>
                  </a:graphic>
                </wp:inline>
              </w:drawing>
            </w:r>
          </w:p>
        </w:tc>
        <w:tc>
          <w:tcPr>
            <w:tcW w:w="4559" w:type="dxa"/>
            <w:vAlign w:val="center"/>
          </w:tcPr>
          <w:p w14:paraId="3C5E557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539B66FE" wp14:editId="0BCAF02C">
                  <wp:extent cx="2783202" cy="1447800"/>
                  <wp:effectExtent l="0" t="0" r="0" b="0"/>
                  <wp:docPr id="389" name="Picture 6" descr="majuro-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uro-grid_panel-pl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0520" cy="1446405"/>
                          </a:xfrm>
                          <a:prstGeom prst="rect">
                            <a:avLst/>
                          </a:prstGeom>
                          <a:noFill/>
                          <a:ln>
                            <a:noFill/>
                          </a:ln>
                        </pic:spPr>
                      </pic:pic>
                    </a:graphicData>
                  </a:graphic>
                </wp:inline>
              </w:drawing>
            </w:r>
          </w:p>
        </w:tc>
      </w:tr>
      <w:tr w:rsidR="00A76559" w:rsidRPr="00A76559" w14:paraId="671A3543" w14:textId="77777777" w:rsidTr="00124668">
        <w:tc>
          <w:tcPr>
            <w:tcW w:w="4657" w:type="dxa"/>
          </w:tcPr>
          <w:p w14:paraId="154C8E5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7</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Plots showing the trajectories of fishing depletion (of spawning potential) for the model runs included in the structural uncertainty grid. The five panels show the models separated </w:t>
            </w:r>
            <w:proofErr w:type="gramStart"/>
            <w:r w:rsidRPr="00A76559">
              <w:rPr>
                <w:rFonts w:ascii="Times New Roman" w:hAnsi="Times New Roman" w:cs="Times New Roman"/>
              </w:rPr>
              <w:t>on the basis of</w:t>
            </w:r>
            <w:proofErr w:type="gramEnd"/>
            <w:r w:rsidRPr="00A76559">
              <w:rPr>
                <w:rFonts w:ascii="Times New Roman" w:hAnsi="Times New Roman" w:cs="Times New Roman"/>
              </w:rPr>
              <w:t xml:space="preserve"> the five axes used in the grid, with the </w:t>
            </w:r>
            <w:proofErr w:type="spellStart"/>
            <w:r w:rsidRPr="00A76559">
              <w:rPr>
                <w:rFonts w:ascii="Times New Roman" w:hAnsi="Times New Roman" w:cs="Times New Roman"/>
              </w:rPr>
              <w:t>colour</w:t>
            </w:r>
            <w:proofErr w:type="spellEnd"/>
            <w:r w:rsidRPr="00A76559">
              <w:rPr>
                <w:rFonts w:ascii="Times New Roman" w:hAnsi="Times New Roman" w:cs="Times New Roman"/>
              </w:rPr>
              <w:t xml:space="preserve"> denoting the level within the axes for each model.</w:t>
            </w:r>
          </w:p>
        </w:tc>
        <w:tc>
          <w:tcPr>
            <w:tcW w:w="4559" w:type="dxa"/>
          </w:tcPr>
          <w:p w14:paraId="34FC517B"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8</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Majuro plots </w:t>
            </w:r>
            <w:proofErr w:type="spellStart"/>
            <w:r w:rsidRPr="00A76559">
              <w:rPr>
                <w:rFonts w:ascii="Times New Roman" w:hAnsi="Times New Roman" w:cs="Times New Roman"/>
              </w:rPr>
              <w:t>summarising</w:t>
            </w:r>
            <w:proofErr w:type="spellEnd"/>
            <w:r w:rsidRPr="00A76559">
              <w:rPr>
                <w:rFonts w:ascii="Times New Roman" w:hAnsi="Times New Roman" w:cs="Times New Roman"/>
              </w:rPr>
              <w:t xml:space="preserve"> the results for each of the models in the structural uncertainty grid under the </w:t>
            </w:r>
            <w:r w:rsidRPr="00A76559">
              <w:rPr>
                <w:rFonts w:ascii="Times New Roman" w:hAnsi="Times New Roman" w:cs="Times New Roman"/>
                <w:i/>
                <w:iCs/>
              </w:rPr>
              <w:t>SBlatest/SBF</w:t>
            </w:r>
            <w:r w:rsidRPr="00A76559">
              <w:rPr>
                <w:rFonts w:ascii="Times New Roman" w:hAnsi="Times New Roman" w:cs="Times New Roman"/>
              </w:rPr>
              <w:t xml:space="preserve">=0 and the </w:t>
            </w:r>
            <w:r w:rsidRPr="00A76559">
              <w:rPr>
                <w:rFonts w:ascii="Times New Roman" w:hAnsi="Times New Roman" w:cs="Times New Roman"/>
                <w:i/>
                <w:iCs/>
              </w:rPr>
              <w:t>SBrecent/SBF</w:t>
            </w:r>
            <w:r w:rsidRPr="00A76559">
              <w:rPr>
                <w:rFonts w:ascii="Times New Roman" w:hAnsi="Times New Roman" w:cs="Times New Roman"/>
              </w:rPr>
              <w:t>=0 reference points (top left) and each axis of uncertainty.</w:t>
            </w:r>
          </w:p>
          <w:p w14:paraId="4ECE9AE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r>
    </w:tbl>
    <w:p w14:paraId="737A29E6"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30A63F3D"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475"/>
      </w:tblGrid>
      <w:tr w:rsidR="00A76559" w:rsidRPr="00A76559" w14:paraId="289D9564" w14:textId="77777777" w:rsidTr="00124668">
        <w:tc>
          <w:tcPr>
            <w:tcW w:w="4657" w:type="dxa"/>
            <w:vAlign w:val="center"/>
          </w:tcPr>
          <w:p w14:paraId="74D4C32D"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036C8FEB" wp14:editId="76D9EC3B">
                  <wp:extent cx="2797432" cy="1600200"/>
                  <wp:effectExtent l="0" t="0" r="3175" b="0"/>
                  <wp:docPr id="390" name="Picture 7" descr="kobe-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be-grid_panel-pl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984" cy="1605664"/>
                          </a:xfrm>
                          <a:prstGeom prst="rect">
                            <a:avLst/>
                          </a:prstGeom>
                          <a:noFill/>
                          <a:ln>
                            <a:noFill/>
                          </a:ln>
                        </pic:spPr>
                      </pic:pic>
                    </a:graphicData>
                  </a:graphic>
                </wp:inline>
              </w:drawing>
            </w:r>
          </w:p>
        </w:tc>
        <w:tc>
          <w:tcPr>
            <w:tcW w:w="4559" w:type="dxa"/>
          </w:tcPr>
          <w:p w14:paraId="2150822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214886AD" wp14:editId="76635C68">
                  <wp:extent cx="2767584" cy="2596896"/>
                  <wp:effectExtent l="0" t="0" r="0" b="0"/>
                  <wp:docPr id="391" name="Picture 8" descr="plot_fishery_impact_ALB-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t_fishery_impact_ALB-SS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2600829"/>
                          </a:xfrm>
                          <a:prstGeom prst="rect">
                            <a:avLst/>
                          </a:prstGeom>
                          <a:noFill/>
                          <a:ln>
                            <a:noFill/>
                          </a:ln>
                        </pic:spPr>
                      </pic:pic>
                    </a:graphicData>
                  </a:graphic>
                </wp:inline>
              </w:drawing>
            </w:r>
          </w:p>
        </w:tc>
      </w:tr>
      <w:tr w:rsidR="00A76559" w:rsidRPr="00A76559" w14:paraId="162A43C6" w14:textId="77777777" w:rsidTr="00124668">
        <w:tc>
          <w:tcPr>
            <w:tcW w:w="4657" w:type="dxa"/>
          </w:tcPr>
          <w:p w14:paraId="4078EFE6"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9</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Kobe plots </w:t>
            </w:r>
            <w:proofErr w:type="spellStart"/>
            <w:r w:rsidRPr="00A76559">
              <w:rPr>
                <w:rFonts w:ascii="Times New Roman" w:hAnsi="Times New Roman" w:cs="Times New Roman"/>
              </w:rPr>
              <w:t>summarising</w:t>
            </w:r>
            <w:proofErr w:type="spellEnd"/>
            <w:r w:rsidRPr="00A76559">
              <w:rPr>
                <w:rFonts w:ascii="Times New Roman" w:hAnsi="Times New Roman" w:cs="Times New Roman"/>
              </w:rPr>
              <w:t xml:space="preserve"> the results for each of the models in the structural uncertainty grid under the </w:t>
            </w:r>
            <w:r w:rsidRPr="00A76559">
              <w:rPr>
                <w:rFonts w:ascii="Times New Roman" w:hAnsi="Times New Roman" w:cs="Times New Roman"/>
                <w:i/>
                <w:iCs/>
              </w:rPr>
              <w:t>SBlatest/SBF</w:t>
            </w:r>
            <w:r w:rsidRPr="00A76559">
              <w:rPr>
                <w:rFonts w:ascii="Times New Roman" w:hAnsi="Times New Roman" w:cs="Times New Roman"/>
              </w:rPr>
              <w:t xml:space="preserve">=0 and the </w:t>
            </w:r>
            <w:r w:rsidRPr="00A76559">
              <w:rPr>
                <w:rFonts w:ascii="Times New Roman" w:hAnsi="Times New Roman" w:cs="Times New Roman"/>
                <w:i/>
                <w:iCs/>
              </w:rPr>
              <w:t>SBrecent/SBF</w:t>
            </w:r>
            <w:r w:rsidRPr="00A76559">
              <w:rPr>
                <w:rFonts w:ascii="Times New Roman" w:hAnsi="Times New Roman" w:cs="Times New Roman"/>
              </w:rPr>
              <w:t>=0 reference points.</w:t>
            </w:r>
          </w:p>
          <w:p w14:paraId="7A982AD6"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c>
          <w:tcPr>
            <w:tcW w:w="4559" w:type="dxa"/>
          </w:tcPr>
          <w:p w14:paraId="3AB03D3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10</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Estimates of reduction in spawning potential due to fishing (fishery impact = 1</w:t>
            </w:r>
            <w:r w:rsidRPr="00A76559">
              <w:rPr>
                <w:rFonts w:ascii="Times New Roman" w:hAnsi="Times New Roman" w:cs="Times New Roman"/>
                <w:i/>
                <w:iCs/>
              </w:rPr>
              <w:t>-SB latest</w:t>
            </w:r>
            <w:r w:rsidRPr="00A76559">
              <w:rPr>
                <w:rFonts w:ascii="Times New Roman" w:hAnsi="Times New Roman" w:cs="Times New Roman"/>
              </w:rPr>
              <w:t>/SB</w:t>
            </w:r>
            <w:r w:rsidRPr="00A76559">
              <w:rPr>
                <w:rFonts w:ascii="Times New Roman" w:hAnsi="Times New Roman" w:cs="Times New Roman"/>
                <w:i/>
                <w:iCs/>
              </w:rPr>
              <w:t xml:space="preserve"> F</w:t>
            </w:r>
            <w:r w:rsidRPr="00A76559">
              <w:rPr>
                <w:rFonts w:ascii="Times New Roman" w:hAnsi="Times New Roman" w:cs="Times New Roman"/>
              </w:rPr>
              <w:t>=0) by region, and over all regions (lower right panel), attributed to various fishery groups for the diagnostic case model.</w:t>
            </w:r>
          </w:p>
        </w:tc>
      </w:tr>
    </w:tbl>
    <w:p w14:paraId="6E76CB02"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A76559" w:rsidRPr="00A76559" w14:paraId="7FB51342" w14:textId="77777777" w:rsidTr="00124668">
        <w:tc>
          <w:tcPr>
            <w:tcW w:w="4608" w:type="dxa"/>
          </w:tcPr>
          <w:p w14:paraId="5E5701E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5CDCFF82" wp14:editId="254316A3">
                  <wp:extent cx="2852185" cy="2438400"/>
                  <wp:effectExtent l="0" t="0" r="5715" b="0"/>
                  <wp:docPr id="392" name="Picture 9" descr="plot_temporal_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temporal_MS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9335" cy="2444513"/>
                          </a:xfrm>
                          <a:prstGeom prst="rect">
                            <a:avLst/>
                          </a:prstGeom>
                          <a:noFill/>
                          <a:ln>
                            <a:noFill/>
                          </a:ln>
                        </pic:spPr>
                      </pic:pic>
                    </a:graphicData>
                  </a:graphic>
                </wp:inline>
              </w:drawing>
            </w:r>
          </w:p>
        </w:tc>
        <w:tc>
          <w:tcPr>
            <w:tcW w:w="4608" w:type="dxa"/>
          </w:tcPr>
          <w:p w14:paraId="4AF04C8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19C84116" wp14:editId="3275A29D">
                  <wp:extent cx="2852928" cy="2438400"/>
                  <wp:effectExtent l="0" t="0" r="5080" b="0"/>
                  <wp:docPr id="393" name="Picture 10" descr="plot_Kobe_Temporal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_Kobe_Temporal_Pan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1498" cy="2445725"/>
                          </a:xfrm>
                          <a:prstGeom prst="rect">
                            <a:avLst/>
                          </a:prstGeom>
                          <a:noFill/>
                          <a:ln>
                            <a:noFill/>
                          </a:ln>
                        </pic:spPr>
                      </pic:pic>
                    </a:graphicData>
                  </a:graphic>
                </wp:inline>
              </w:drawing>
            </w:r>
          </w:p>
        </w:tc>
      </w:tr>
      <w:tr w:rsidR="00A76559" w:rsidRPr="00A76559" w14:paraId="407AAABD" w14:textId="77777777" w:rsidTr="00124668">
        <w:tc>
          <w:tcPr>
            <w:tcW w:w="4608" w:type="dxa"/>
          </w:tcPr>
          <w:p w14:paraId="60B0D5F8"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11</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History of the annual estimates of MSY (red line) for the diagnostic case model compared with annual catch by the main gear types.</w:t>
            </w:r>
          </w:p>
          <w:p w14:paraId="7B0D62D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c>
          <w:tcPr>
            <w:tcW w:w="4608" w:type="dxa"/>
          </w:tcPr>
          <w:p w14:paraId="4B957A1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12</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Estimated time-series (or ‘dynamic’) Kobe plots for four example models from the assessment (one from each of the combinations of growth types, and natural mortality </w:t>
            </w:r>
            <w:r w:rsidRPr="00A76559">
              <w:rPr>
                <w:rFonts w:ascii="Times New Roman" w:hAnsi="Times New Roman" w:cs="Times New Roman"/>
                <w:i/>
                <w:iCs/>
              </w:rPr>
              <w:t xml:space="preserve">M </w:t>
            </w:r>
            <w:r w:rsidRPr="00A76559">
              <w:rPr>
                <w:rFonts w:ascii="Times New Roman" w:hAnsi="Times New Roman" w:cs="Times New Roman"/>
              </w:rPr>
              <w:t>set to 0.3 or 0.4).</w:t>
            </w:r>
          </w:p>
        </w:tc>
      </w:tr>
    </w:tbl>
    <w:p w14:paraId="3CF4E655"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67A9B11A" w14:textId="77777777" w:rsidR="00762AF8" w:rsidRPr="00A76559" w:rsidRDefault="00762AF8" w:rsidP="00A76559">
      <w:pPr>
        <w:autoSpaceDE w:val="0"/>
        <w:autoSpaceDN w:val="0"/>
        <w:adjustRightInd w:val="0"/>
        <w:snapToGrid w:val="0"/>
        <w:spacing w:after="0" w:line="240" w:lineRule="auto"/>
        <w:jc w:val="both"/>
        <w:rPr>
          <w:rFonts w:ascii="Times New Roman" w:eastAsia="MS Mincho" w:hAnsi="Times New Roman" w:cs="Times New Roman"/>
          <w:b/>
          <w:color w:val="000000"/>
          <w:lang w:eastAsia="en-NZ"/>
        </w:rPr>
      </w:pPr>
    </w:p>
    <w:p w14:paraId="73FC1220" w14:textId="77777777" w:rsidR="00762AF8" w:rsidRPr="00A76559" w:rsidRDefault="00762AF8" w:rsidP="00A76559">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0EAC0327" w14:textId="77777777" w:rsidR="00124668" w:rsidRDefault="00124668">
      <w:pPr>
        <w:rPr>
          <w:rFonts w:ascii="Times New Roman Bold" w:eastAsia="MS Mincho" w:hAnsi="Times New Roman Bold" w:cs="Times New Roman" w:hint="eastAsia"/>
          <w:b/>
          <w:bCs/>
          <w:caps/>
          <w:color w:val="2F5496" w:themeColor="accent1" w:themeShade="BF"/>
          <w:sz w:val="28"/>
          <w:szCs w:val="28"/>
          <w:lang w:val="en-NZ" w:eastAsia="en-NZ"/>
        </w:rPr>
      </w:pPr>
      <w:bookmarkStart w:id="3" w:name="_Hlk495325902"/>
      <w:r>
        <w:rPr>
          <w:rFonts w:ascii="Times New Roman Bold" w:eastAsia="MS Mincho" w:hAnsi="Times New Roman Bold" w:cs="Times New Roman" w:hint="eastAsia"/>
          <w:b/>
          <w:bCs/>
          <w:caps/>
          <w:sz w:val="28"/>
          <w:szCs w:val="28"/>
          <w:lang w:val="en-NZ" w:eastAsia="en-NZ"/>
        </w:rPr>
        <w:br w:type="page"/>
      </w:r>
    </w:p>
    <w:p w14:paraId="0B0E4209" w14:textId="6FA91491" w:rsidR="00124668" w:rsidRPr="00124668" w:rsidRDefault="00124668" w:rsidP="00BB3AE5">
      <w:pPr>
        <w:pStyle w:val="Heading1"/>
        <w:adjustRightInd w:val="0"/>
        <w:snapToGrid w:val="0"/>
        <w:spacing w:before="0" w:line="240" w:lineRule="auto"/>
        <w:rPr>
          <w:rFonts w:ascii="Times New Roman" w:hAnsi="Times New Roman" w:cs="Times New Roman"/>
          <w:b/>
          <w:bCs/>
          <w:sz w:val="28"/>
          <w:szCs w:val="28"/>
        </w:rPr>
      </w:pPr>
      <w:bookmarkStart w:id="4" w:name="_Toc24979564"/>
      <w:r w:rsidRPr="00124668">
        <w:rPr>
          <w:rFonts w:ascii="Times New Roman" w:hAnsi="Times New Roman" w:cs="Times New Roman"/>
          <w:b/>
          <w:bCs/>
          <w:sz w:val="28"/>
          <w:szCs w:val="28"/>
        </w:rPr>
        <w:lastRenderedPageBreak/>
        <w:t>SC1</w:t>
      </w:r>
      <w:r>
        <w:rPr>
          <w:rFonts w:ascii="Times New Roman" w:hAnsi="Times New Roman" w:cs="Times New Roman"/>
          <w:b/>
          <w:bCs/>
          <w:sz w:val="28"/>
          <w:szCs w:val="28"/>
        </w:rPr>
        <w:t>3</w:t>
      </w:r>
      <w:r w:rsidRPr="00124668">
        <w:rPr>
          <w:rFonts w:ascii="Times New Roman" w:hAnsi="Times New Roman" w:cs="Times New Roman"/>
          <w:b/>
          <w:bCs/>
          <w:sz w:val="28"/>
          <w:szCs w:val="28"/>
        </w:rPr>
        <w:t xml:space="preserve"> 201</w:t>
      </w:r>
      <w:r>
        <w:rPr>
          <w:rFonts w:ascii="Times New Roman" w:hAnsi="Times New Roman" w:cs="Times New Roman"/>
          <w:b/>
          <w:bCs/>
          <w:sz w:val="28"/>
          <w:szCs w:val="28"/>
        </w:rPr>
        <w:t>7</w:t>
      </w:r>
      <w:r w:rsidRPr="00124668">
        <w:rPr>
          <w:rFonts w:ascii="Times New Roman" w:hAnsi="Times New Roman" w:cs="Times New Roman"/>
          <w:b/>
          <w:bCs/>
          <w:sz w:val="28"/>
          <w:szCs w:val="28"/>
        </w:rPr>
        <w:t xml:space="preserve"> (</w:t>
      </w:r>
      <w:r>
        <w:rPr>
          <w:rFonts w:ascii="Times New Roman" w:hAnsi="Times New Roman" w:cs="Times New Roman"/>
          <w:b/>
          <w:bCs/>
          <w:sz w:val="28"/>
          <w:szCs w:val="28"/>
        </w:rPr>
        <w:t>FISHERY INDICATORS UPDATED</w:t>
      </w:r>
      <w:r w:rsidRPr="00124668">
        <w:rPr>
          <w:rFonts w:ascii="Times New Roman" w:hAnsi="Times New Roman" w:cs="Times New Roman"/>
          <w:b/>
          <w:bCs/>
          <w:sz w:val="28"/>
          <w:szCs w:val="28"/>
        </w:rPr>
        <w:t>)</w:t>
      </w:r>
      <w:bookmarkEnd w:id="4"/>
    </w:p>
    <w:p w14:paraId="3D07F7D6" w14:textId="77777777" w:rsidR="00124668" w:rsidRPr="00124668" w:rsidRDefault="00124668" w:rsidP="00BB3AE5">
      <w:pPr>
        <w:adjustRightInd w:val="0"/>
        <w:snapToGrid w:val="0"/>
        <w:spacing w:after="0" w:line="240" w:lineRule="auto"/>
        <w:rPr>
          <w:rFonts w:ascii="Times New Roman" w:hAnsi="Times New Roman" w:cs="Times New Roman"/>
        </w:rPr>
      </w:pPr>
    </w:p>
    <w:p w14:paraId="2608784A" w14:textId="77777777" w:rsidR="00124668" w:rsidRPr="00464B7F" w:rsidRDefault="00124668" w:rsidP="00BB3AE5">
      <w:pPr>
        <w:pStyle w:val="WCPFC"/>
        <w:numPr>
          <w:ilvl w:val="0"/>
          <w:numId w:val="8"/>
        </w:numPr>
        <w:adjustRightInd w:val="0"/>
        <w:spacing w:after="0"/>
        <w:ind w:left="0" w:firstLine="0"/>
        <w:rPr>
          <w:b/>
        </w:rPr>
      </w:pPr>
      <w:r w:rsidRPr="009C2ADD">
        <w:rPr>
          <w:b/>
        </w:rPr>
        <w:t>S</w:t>
      </w:r>
      <w:r>
        <w:rPr>
          <w:b/>
        </w:rPr>
        <w:t>tock s</w:t>
      </w:r>
      <w:r w:rsidRPr="009C2ADD">
        <w:rPr>
          <w:b/>
        </w:rPr>
        <w:t xml:space="preserve">tatus and </w:t>
      </w:r>
      <w:r w:rsidRPr="00464B7F">
        <w:rPr>
          <w:b/>
        </w:rPr>
        <w:t xml:space="preserve">trends </w:t>
      </w:r>
    </w:p>
    <w:p w14:paraId="2DFB6F53" w14:textId="77777777" w:rsidR="00124668" w:rsidRPr="00464B7F" w:rsidRDefault="00124668" w:rsidP="00BB3AE5">
      <w:pPr>
        <w:pStyle w:val="WCPFC"/>
        <w:numPr>
          <w:ilvl w:val="0"/>
          <w:numId w:val="0"/>
        </w:numPr>
        <w:adjustRightInd w:val="0"/>
        <w:spacing w:after="0"/>
        <w:rPr>
          <w:b/>
        </w:rPr>
      </w:pPr>
    </w:p>
    <w:p w14:paraId="21EA7EB9" w14:textId="77777777" w:rsidR="00124668" w:rsidRPr="00BB3AE5" w:rsidRDefault="00124668" w:rsidP="00BB3AE5">
      <w:pPr>
        <w:pStyle w:val="WCPFC"/>
        <w:numPr>
          <w:ilvl w:val="0"/>
          <w:numId w:val="9"/>
        </w:numPr>
        <w:autoSpaceDE w:val="0"/>
        <w:autoSpaceDN w:val="0"/>
        <w:adjustRightInd w:val="0"/>
        <w:spacing w:after="0"/>
        <w:ind w:left="0" w:firstLine="0"/>
        <w:rPr>
          <w:lang w:val="en-AU"/>
        </w:rPr>
      </w:pPr>
      <w:r w:rsidRPr="00BB3AE5">
        <w:rPr>
          <w:lang w:val="en-AU"/>
        </w:rPr>
        <w:t xml:space="preserve">SC13 noted that no stock assessment was conducted for South Pacific albacore tuna in 2017. Therefore, the stock status description from SC11 is still current. For further information on the stock status and trends from SC11, please see </w:t>
      </w:r>
      <w:hyperlink r:id="rId22" w:history="1">
        <w:r w:rsidRPr="00BB3AE5">
          <w:rPr>
            <w:rStyle w:val="Hyperlink"/>
            <w:lang w:val="en-AU"/>
          </w:rPr>
          <w:t>http://www.wcpfc.int/node/2692</w:t>
        </w:r>
        <w:r w:rsidRPr="00BB3AE5">
          <w:rPr>
            <w:rStyle w:val="Hyperlink"/>
            <w:rFonts w:hint="eastAsia"/>
            <w:lang w:val="en-AU" w:eastAsia="ko-KR"/>
          </w:rPr>
          <w:t xml:space="preserve">2 </w:t>
        </w:r>
      </w:hyperlink>
      <w:r w:rsidRPr="00BB3AE5">
        <w:rPr>
          <w:rFonts w:hint="eastAsia"/>
          <w:lang w:val="en-AU" w:eastAsia="ko-KR"/>
        </w:rPr>
        <w:t xml:space="preserve">   </w:t>
      </w:r>
    </w:p>
    <w:p w14:paraId="3C0C4232" w14:textId="77777777" w:rsidR="00124668" w:rsidRPr="009C2ADD" w:rsidRDefault="00124668" w:rsidP="00BB3AE5">
      <w:pPr>
        <w:pStyle w:val="ListParagraph"/>
        <w:adjustRightInd w:val="0"/>
        <w:snapToGrid w:val="0"/>
        <w:spacing w:after="0" w:line="240" w:lineRule="auto"/>
        <w:contextualSpacing w:val="0"/>
        <w:rPr>
          <w:rFonts w:ascii="Times New Roman" w:hAnsi="Times New Roman"/>
          <w:lang w:val="en-AU"/>
        </w:rPr>
      </w:pPr>
    </w:p>
    <w:p w14:paraId="3D543A7A" w14:textId="77777777" w:rsidR="00124668" w:rsidRPr="00124668" w:rsidRDefault="00124668" w:rsidP="00BB3AE5">
      <w:pPr>
        <w:numPr>
          <w:ilvl w:val="0"/>
          <w:numId w:val="6"/>
        </w:numPr>
        <w:autoSpaceDE w:val="0"/>
        <w:autoSpaceDN w:val="0"/>
        <w:adjustRightInd w:val="0"/>
        <w:snapToGrid w:val="0"/>
        <w:spacing w:after="0" w:line="240" w:lineRule="auto"/>
        <w:ind w:left="0" w:firstLine="0"/>
        <w:jc w:val="both"/>
        <w:rPr>
          <w:rFonts w:ascii="Times New Roman" w:hAnsi="Times New Roman"/>
          <w:bCs/>
          <w:lang w:val="en-AU"/>
        </w:rPr>
      </w:pPr>
      <w:r w:rsidRPr="00124668">
        <w:rPr>
          <w:rFonts w:ascii="Times New Roman" w:hAnsi="Times New Roman"/>
          <w:bCs/>
          <w:lang w:val="en-AU"/>
        </w:rPr>
        <w:t xml:space="preserve">SC13 considered an update of trends in South Pacific albacore fisheries (SC13-SA-WP-08) and noted that there had been reductions in longline effort in the WCPF Convention </w:t>
      </w:r>
      <w:r w:rsidRPr="00124668">
        <w:rPr>
          <w:rFonts w:ascii="Times New Roman" w:hAnsi="Times New Roman"/>
          <w:bCs/>
          <w:lang w:val="en-AU" w:eastAsia="ko-KR"/>
        </w:rPr>
        <w:t xml:space="preserve">Area </w:t>
      </w:r>
      <w:r w:rsidRPr="00124668">
        <w:rPr>
          <w:rFonts w:ascii="Times New Roman" w:hAnsi="Times New Roman"/>
          <w:bCs/>
          <w:lang w:val="en-AU"/>
        </w:rPr>
        <w:t>south of 10</w:t>
      </w:r>
      <w:r w:rsidRPr="00124668">
        <w:rPr>
          <w:rFonts w:ascii="Times New Roman" w:hAnsi="Times New Roman"/>
          <w:bCs/>
          <w:vertAlign w:val="superscript"/>
          <w:lang w:val="en-AU"/>
        </w:rPr>
        <w:t>ᴼ</w:t>
      </w:r>
      <w:r w:rsidRPr="00124668">
        <w:rPr>
          <w:rFonts w:ascii="Times New Roman" w:hAnsi="Times New Roman"/>
          <w:bCs/>
          <w:lang w:val="en-AU"/>
        </w:rPr>
        <w:t>S through 2014-2016 (</w:t>
      </w:r>
      <w:r w:rsidRPr="00124668">
        <w:rPr>
          <w:rFonts w:ascii="Times New Roman" w:hAnsi="Times New Roman"/>
          <w:bCs/>
          <w:sz w:val="24"/>
          <w:szCs w:val="24"/>
          <w:lang w:val="en-AU"/>
        </w:rPr>
        <w:t>declining from about 300 million hooks in 2013 to around 254 million in 2015, and 200 million hooks in 2016</w:t>
      </w:r>
      <w:r w:rsidRPr="00124668">
        <w:rPr>
          <w:rFonts w:ascii="Times New Roman" w:hAnsi="Times New Roman"/>
          <w:bCs/>
          <w:sz w:val="24"/>
          <w:szCs w:val="24"/>
          <w:lang w:val="en-GB"/>
        </w:rPr>
        <w:t xml:space="preserve"> </w:t>
      </w:r>
      <w:r w:rsidRPr="00124668">
        <w:rPr>
          <w:rFonts w:ascii="Times New Roman" w:hAnsi="Times New Roman"/>
          <w:bCs/>
          <w:lang w:val="en-GB"/>
        </w:rPr>
        <w:t>– with the 2016 value being provisional</w:t>
      </w:r>
      <w:r w:rsidRPr="00124668">
        <w:rPr>
          <w:rFonts w:ascii="Times New Roman" w:hAnsi="Times New Roman"/>
          <w:bCs/>
          <w:lang w:val="en-AU"/>
        </w:rPr>
        <w:t>)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Pr="00124668">
        <w:rPr>
          <w:rFonts w:ascii="Times New Roman" w:hAnsi="Times New Roman"/>
          <w:bCs/>
          <w:lang w:val="en-AU" w:eastAsia="ko-KR"/>
        </w:rPr>
        <w:t>-</w:t>
      </w:r>
      <w:r w:rsidRPr="00124668">
        <w:rPr>
          <w:rFonts w:ascii="Times New Roman" w:hAnsi="Times New Roman"/>
          <w:bCs/>
          <w:lang w:val="en-AU"/>
        </w:rPr>
        <w:t>1). If 2015 fishing effort levels continue into the future, the stock is predicted to continue to decline on average, falling to SB</w:t>
      </w:r>
      <w:r w:rsidRPr="00124668">
        <w:rPr>
          <w:rFonts w:ascii="Times New Roman" w:hAnsi="Times New Roman"/>
          <w:bCs/>
          <w:vertAlign w:val="subscript"/>
          <w:lang w:val="en-AU"/>
        </w:rPr>
        <w:t>current</w:t>
      </w:r>
      <w:r w:rsidRPr="00124668">
        <w:rPr>
          <w:rFonts w:ascii="Times New Roman" w:hAnsi="Times New Roman"/>
          <w:bCs/>
          <w:lang w:val="en-AU"/>
        </w:rPr>
        <w:t>/SB</w:t>
      </w:r>
      <w:r w:rsidRPr="00124668">
        <w:rPr>
          <w:rFonts w:ascii="Times New Roman" w:hAnsi="Times New Roman"/>
          <w:bCs/>
          <w:vertAlign w:val="subscript"/>
          <w:lang w:val="en-AU"/>
        </w:rPr>
        <w:t>F=0</w:t>
      </w:r>
      <w:r w:rsidRPr="00124668">
        <w:rPr>
          <w:rFonts w:ascii="Times New Roman" w:hAnsi="Times New Roman"/>
          <w:bCs/>
          <w:lang w:val="en-AU"/>
        </w:rPr>
        <w:t xml:space="preserve"> = 0.35 in 2033 with a 7% predicted probability of being below the LRP. Overall vulnerable biomass (a CPUE proxy) in longline fisheries is estimated to decrease by 7% from 2013-2033. </w:t>
      </w:r>
    </w:p>
    <w:p w14:paraId="63542AA4" w14:textId="77777777" w:rsidR="00124668" w:rsidRPr="009C2ADD" w:rsidRDefault="00124668" w:rsidP="00BB3AE5">
      <w:pPr>
        <w:pStyle w:val="WCPFC"/>
        <w:numPr>
          <w:ilvl w:val="0"/>
          <w:numId w:val="0"/>
        </w:numPr>
        <w:adjustRightInd w:val="0"/>
        <w:spacing w:after="0"/>
        <w:jc w:val="center"/>
      </w:pPr>
      <w:r w:rsidRPr="009C2ADD">
        <w:rPr>
          <w:noProof/>
          <w:lang w:val="en-US" w:eastAsia="zh-CN" w:bidi="mn-Mong-CN"/>
        </w:rPr>
        <w:drawing>
          <wp:inline distT="0" distB="0" distL="0" distR="0" wp14:anchorId="12BEB939" wp14:editId="4014E14D">
            <wp:extent cx="3771107" cy="3243532"/>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0841" cy="3260505"/>
                    </a:xfrm>
                    <a:prstGeom prst="rect">
                      <a:avLst/>
                    </a:prstGeom>
                    <a:noFill/>
                    <a:ln>
                      <a:noFill/>
                    </a:ln>
                  </pic:spPr>
                </pic:pic>
              </a:graphicData>
            </a:graphic>
          </wp:inline>
        </w:drawing>
      </w:r>
    </w:p>
    <w:p w14:paraId="2EF4CAFE" w14:textId="77777777" w:rsidR="00124668" w:rsidRPr="009C2ADD" w:rsidRDefault="00124668" w:rsidP="00BB3AE5">
      <w:pPr>
        <w:pStyle w:val="WCPFC"/>
        <w:numPr>
          <w:ilvl w:val="0"/>
          <w:numId w:val="0"/>
        </w:numPr>
        <w:adjustRightInd w:val="0"/>
        <w:spacing w:after="0"/>
      </w:pPr>
      <w:r w:rsidRPr="009C2ADD">
        <w:rPr>
          <w:b/>
        </w:rPr>
        <w:t xml:space="preserve">Figure </w:t>
      </w:r>
      <w:r w:rsidRPr="009C2ADD">
        <w:rPr>
          <w:b/>
          <w:lang w:eastAsia="ko-KR"/>
        </w:rPr>
        <w:t xml:space="preserve">SPA-1. </w:t>
      </w:r>
      <w:r w:rsidRPr="009C2ADD">
        <w:t>Stochastic projections of adult stock status under 2014 longline and troll effort levels. The limit reference point (20% SB</w:t>
      </w:r>
      <w:r w:rsidRPr="0070772D">
        <w:rPr>
          <w:vertAlign w:val="subscript"/>
        </w:rPr>
        <w:t>F=0</w:t>
      </w:r>
      <w:r w:rsidRPr="009C2ADD">
        <w:t>) is indicated by</w:t>
      </w:r>
      <w:r>
        <w:rPr>
          <w:rFonts w:hint="eastAsia"/>
          <w:lang w:eastAsia="ko-KR"/>
        </w:rPr>
        <w:t xml:space="preserve"> the</w:t>
      </w:r>
      <w:r w:rsidRPr="009C2ADD">
        <w:t xml:space="preserve"> horizontal dashed red line. Note: from 1960 up to 2013 inclusive the line represents the median across the </w:t>
      </w:r>
      <w:proofErr w:type="gramStart"/>
      <w:r w:rsidRPr="009C2ADD">
        <w:t>9 assessment</w:t>
      </w:r>
      <w:proofErr w:type="gramEnd"/>
      <w:r w:rsidRPr="009C2ADD">
        <w:t xml:space="preserve"> model runs (structural uncertainty only); uncertainty after 2013 represents both structural uncertainty and stochastic recruitment (1800 simulation runs).</w:t>
      </w:r>
    </w:p>
    <w:p w14:paraId="001C3DF5" w14:textId="77777777" w:rsidR="00124668" w:rsidRPr="009C2ADD" w:rsidRDefault="00124668" w:rsidP="00BB3AE5">
      <w:pPr>
        <w:pStyle w:val="WCPFC"/>
        <w:numPr>
          <w:ilvl w:val="0"/>
          <w:numId w:val="0"/>
        </w:numPr>
        <w:adjustRightInd w:val="0"/>
        <w:spacing w:after="0"/>
        <w:ind w:left="567"/>
        <w:jc w:val="center"/>
      </w:pPr>
    </w:p>
    <w:p w14:paraId="56817EA6" w14:textId="77777777" w:rsidR="00124668" w:rsidRPr="009C2ADD" w:rsidRDefault="00124668" w:rsidP="00BB3AE5">
      <w:pPr>
        <w:pStyle w:val="WCPFC"/>
        <w:numPr>
          <w:ilvl w:val="0"/>
          <w:numId w:val="8"/>
        </w:numPr>
        <w:adjustRightInd w:val="0"/>
        <w:spacing w:after="0"/>
        <w:ind w:left="0" w:firstLine="0"/>
        <w:rPr>
          <w:b/>
        </w:rPr>
      </w:pPr>
      <w:r w:rsidRPr="009C2ADD">
        <w:rPr>
          <w:b/>
        </w:rPr>
        <w:t xml:space="preserve">Management advice and implications </w:t>
      </w:r>
    </w:p>
    <w:p w14:paraId="40E48B4F" w14:textId="77777777" w:rsidR="00124668" w:rsidRPr="009C2ADD" w:rsidRDefault="00124668" w:rsidP="00BB3AE5">
      <w:pPr>
        <w:pStyle w:val="WCPFC"/>
        <w:numPr>
          <w:ilvl w:val="0"/>
          <w:numId w:val="0"/>
        </w:numPr>
        <w:adjustRightInd w:val="0"/>
        <w:spacing w:after="0"/>
        <w:ind w:left="720"/>
        <w:rPr>
          <w:b/>
        </w:rPr>
      </w:pPr>
    </w:p>
    <w:p w14:paraId="1AC1383C" w14:textId="77777777" w:rsidR="00124668" w:rsidRPr="008761D4" w:rsidRDefault="00124668" w:rsidP="00BB3AE5">
      <w:pPr>
        <w:pStyle w:val="WCPFC"/>
        <w:adjustRightInd w:val="0"/>
        <w:spacing w:after="0"/>
        <w:ind w:left="0" w:firstLine="0"/>
        <w:rPr>
          <w:lang w:val="en-AU"/>
        </w:rPr>
      </w:pPr>
      <w:r w:rsidRPr="00464B7F">
        <w:rPr>
          <w:lang w:val="en-AU"/>
        </w:rPr>
        <w:t xml:space="preserve">SC13 noted that no stock assessment was conducted for South Pacific albacore tuna in 2017. Therefore, </w:t>
      </w:r>
      <w:r w:rsidRPr="00DA53CE">
        <w:rPr>
          <w:lang w:val="en-AU"/>
        </w:rPr>
        <w:t>the advice from SC1</w:t>
      </w:r>
      <w:r>
        <w:rPr>
          <w:rFonts w:hint="eastAsia"/>
          <w:lang w:val="en-AU" w:eastAsia="ko-KR"/>
        </w:rPr>
        <w:t>1</w:t>
      </w:r>
      <w:r w:rsidRPr="00DA53CE">
        <w:rPr>
          <w:lang w:val="en-AU"/>
        </w:rPr>
        <w:t xml:space="preserve"> should be maintained</w:t>
      </w:r>
      <w:r w:rsidRPr="00464B7F">
        <w:rPr>
          <w:lang w:val="en-AU"/>
        </w:rPr>
        <w:t xml:space="preserve">. For further information on the stock status and trends from SC11, please see </w:t>
      </w:r>
      <w:hyperlink r:id="rId24" w:history="1">
        <w:r w:rsidRPr="00401B5D">
          <w:rPr>
            <w:rStyle w:val="Hyperlink"/>
            <w:bCs/>
            <w:lang w:val="en-AU" w:eastAsia="en-US"/>
          </w:rPr>
          <w:t>https://www.wcpfc.int/node/26922</w:t>
        </w:r>
      </w:hyperlink>
      <w:r w:rsidRPr="00401B5D">
        <w:rPr>
          <w:rFonts w:hint="eastAsia"/>
          <w:bCs/>
          <w:lang w:val="en-AU" w:eastAsia="ko-KR"/>
        </w:rPr>
        <w:t xml:space="preserve"> </w:t>
      </w:r>
    </w:p>
    <w:p w14:paraId="019703CF" w14:textId="77777777" w:rsidR="00124668" w:rsidRPr="00464B7F" w:rsidRDefault="00124668" w:rsidP="00BB3AE5">
      <w:pPr>
        <w:pStyle w:val="WCPFC"/>
        <w:numPr>
          <w:ilvl w:val="0"/>
          <w:numId w:val="0"/>
        </w:numPr>
        <w:adjustRightInd w:val="0"/>
        <w:spacing w:after="0"/>
        <w:rPr>
          <w:lang w:val="en-AU"/>
        </w:rPr>
      </w:pPr>
    </w:p>
    <w:p w14:paraId="1979BD8C" w14:textId="77777777" w:rsidR="00124668" w:rsidRPr="00124668" w:rsidRDefault="00124668" w:rsidP="00BB3AE5">
      <w:pPr>
        <w:numPr>
          <w:ilvl w:val="0"/>
          <w:numId w:val="6"/>
        </w:numPr>
        <w:autoSpaceDE w:val="0"/>
        <w:autoSpaceDN w:val="0"/>
        <w:adjustRightInd w:val="0"/>
        <w:snapToGrid w:val="0"/>
        <w:spacing w:after="0" w:line="240" w:lineRule="auto"/>
        <w:ind w:left="0" w:firstLine="0"/>
        <w:jc w:val="both"/>
        <w:rPr>
          <w:rFonts w:ascii="Times New Roman" w:hAnsi="Times New Roman"/>
          <w:bCs/>
          <w:lang w:val="en-AU"/>
        </w:rPr>
      </w:pPr>
      <w:r w:rsidRPr="00124668">
        <w:rPr>
          <w:rFonts w:ascii="Times New Roman" w:hAnsi="Times New Roman"/>
          <w:bCs/>
          <w:lang w:val="en-AU"/>
        </w:rPr>
        <w:lastRenderedPageBreak/>
        <w:t>SC13 noted that the preliminary estimate of total catch of south Pacific albacore (within the WCPF Convention Area south of the equator) for 2016 was 58,033 mt which was an 8% decrease from 2015 and a 13% decrease over 2011-2015. (see SC13-SA-WP-02).</w:t>
      </w:r>
    </w:p>
    <w:p w14:paraId="6E6950D1" w14:textId="77777777" w:rsidR="00124668" w:rsidRPr="00124668" w:rsidRDefault="00124668" w:rsidP="00BB3AE5">
      <w:pPr>
        <w:pStyle w:val="ListParagraph"/>
        <w:adjustRightInd w:val="0"/>
        <w:snapToGrid w:val="0"/>
        <w:spacing w:after="0" w:line="240" w:lineRule="auto"/>
        <w:contextualSpacing w:val="0"/>
        <w:rPr>
          <w:rFonts w:ascii="Times New Roman" w:hAnsi="Times New Roman"/>
          <w:bCs/>
          <w:lang w:val="en-AU"/>
        </w:rPr>
      </w:pPr>
    </w:p>
    <w:p w14:paraId="594E46AA" w14:textId="77777777" w:rsidR="00124668" w:rsidRPr="00124668" w:rsidRDefault="00124668" w:rsidP="00BB3AE5">
      <w:pPr>
        <w:numPr>
          <w:ilvl w:val="0"/>
          <w:numId w:val="6"/>
        </w:numPr>
        <w:autoSpaceDE w:val="0"/>
        <w:autoSpaceDN w:val="0"/>
        <w:adjustRightInd w:val="0"/>
        <w:snapToGrid w:val="0"/>
        <w:spacing w:after="0" w:line="240" w:lineRule="auto"/>
        <w:ind w:left="0" w:firstLine="0"/>
        <w:jc w:val="both"/>
        <w:rPr>
          <w:rFonts w:ascii="Times New Roman" w:hAnsi="Times New Roman"/>
          <w:bCs/>
          <w:lang w:val="en-AU"/>
        </w:rPr>
      </w:pPr>
      <w:r w:rsidRPr="00124668">
        <w:rPr>
          <w:rFonts w:ascii="Times New Roman" w:hAnsi="Times New Roman"/>
          <w:bCs/>
          <w:lang w:val="en-AU"/>
        </w:rPr>
        <w:t xml:space="preserve">Preliminary longline catch in 2016 (55,635 mt) was 8% lower compared with 2015 and a 13% decrease over 2011-2015.  Preliminary troll </w:t>
      </w:r>
      <w:proofErr w:type="gramStart"/>
      <w:r w:rsidRPr="00124668">
        <w:rPr>
          <w:rFonts w:ascii="Times New Roman" w:hAnsi="Times New Roman"/>
          <w:bCs/>
          <w:lang w:val="en-AU"/>
        </w:rPr>
        <w:t>catch</w:t>
      </w:r>
      <w:proofErr w:type="gramEnd"/>
      <w:r w:rsidRPr="00124668">
        <w:rPr>
          <w:rFonts w:ascii="Times New Roman" w:hAnsi="Times New Roman"/>
          <w:bCs/>
          <w:lang w:val="en-AU"/>
        </w:rPr>
        <w:t xml:space="preserve"> in 2016 (2,372 mt) was 17% lower compared with 2015 and a 24% decrease over 2011-2015. (see SC13-</w:t>
      </w:r>
      <w:r w:rsidRPr="00124668" w:rsidDel="00D35815">
        <w:rPr>
          <w:rFonts w:ascii="Times New Roman" w:hAnsi="Times New Roman"/>
          <w:bCs/>
          <w:lang w:val="en-AU"/>
        </w:rPr>
        <w:t xml:space="preserve"> </w:t>
      </w:r>
      <w:r w:rsidRPr="00124668">
        <w:rPr>
          <w:rFonts w:ascii="Times New Roman" w:hAnsi="Times New Roman"/>
          <w:bCs/>
          <w:lang w:val="en-AU"/>
        </w:rPr>
        <w:t xml:space="preserve">SA-WP-02). </w:t>
      </w:r>
    </w:p>
    <w:p w14:paraId="2AF9DD2C" w14:textId="77777777" w:rsidR="00124668" w:rsidRPr="00124668" w:rsidRDefault="00124668" w:rsidP="00BB3AE5">
      <w:pPr>
        <w:pStyle w:val="ListParagraph"/>
        <w:adjustRightInd w:val="0"/>
        <w:snapToGrid w:val="0"/>
        <w:spacing w:after="0" w:line="240" w:lineRule="auto"/>
        <w:contextualSpacing w:val="0"/>
        <w:rPr>
          <w:rFonts w:ascii="Times New Roman" w:hAnsi="Times New Roman"/>
          <w:bCs/>
          <w:lang w:val="en-AU"/>
        </w:rPr>
      </w:pPr>
    </w:p>
    <w:p w14:paraId="4EA6ACA9" w14:textId="77777777" w:rsidR="00124668" w:rsidRPr="00124668" w:rsidRDefault="00124668" w:rsidP="00BB3AE5">
      <w:pPr>
        <w:numPr>
          <w:ilvl w:val="0"/>
          <w:numId w:val="6"/>
        </w:numPr>
        <w:autoSpaceDE w:val="0"/>
        <w:autoSpaceDN w:val="0"/>
        <w:adjustRightInd w:val="0"/>
        <w:snapToGrid w:val="0"/>
        <w:spacing w:after="0" w:line="240" w:lineRule="auto"/>
        <w:ind w:left="0" w:firstLine="0"/>
        <w:jc w:val="both"/>
        <w:rPr>
          <w:rFonts w:ascii="Times New Roman" w:hAnsi="Times New Roman"/>
          <w:bCs/>
          <w:lang w:val="en-AU"/>
        </w:rPr>
      </w:pPr>
      <w:r w:rsidRPr="00124668">
        <w:rPr>
          <w:rFonts w:ascii="Times New Roman" w:hAnsi="Times New Roman"/>
          <w:bCs/>
          <w:lang w:val="en-AU"/>
        </w:rPr>
        <w:t xml:space="preserve">SC13 considered an update of trends in South Pacific albacore fisheries (SC13-SA-WP-08) and noted that there had been reductions in longline effort in the WCPF Convention </w:t>
      </w:r>
      <w:r w:rsidRPr="00124668">
        <w:rPr>
          <w:rFonts w:ascii="Times New Roman" w:hAnsi="Times New Roman" w:hint="eastAsia"/>
          <w:bCs/>
          <w:lang w:val="en-AU" w:eastAsia="ko-KR"/>
        </w:rPr>
        <w:t xml:space="preserve">Area </w:t>
      </w:r>
      <w:r w:rsidRPr="00124668">
        <w:rPr>
          <w:rFonts w:ascii="Times New Roman" w:hAnsi="Times New Roman"/>
          <w:bCs/>
          <w:lang w:val="en-AU"/>
        </w:rPr>
        <w:t>south of 10ᴼ</w:t>
      </w:r>
      <w:r w:rsidRPr="00124668">
        <w:rPr>
          <w:rFonts w:ascii="Times New Roman" w:hAnsi="Times New Roman" w:hint="eastAsia"/>
          <w:bCs/>
          <w:lang w:val="en-AU" w:eastAsia="ko-KR"/>
        </w:rPr>
        <w:t>S</w:t>
      </w:r>
      <w:r w:rsidRPr="00124668">
        <w:rPr>
          <w:rFonts w:ascii="Times New Roman" w:hAnsi="Times New Roman"/>
          <w:bCs/>
          <w:lang w:val="en-AU"/>
        </w:rPr>
        <w:t xml:space="preserve"> through 2014-2016 (by approximately 15%)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Pr="00124668">
        <w:rPr>
          <w:rFonts w:ascii="Times New Roman" w:hAnsi="Times New Roman" w:hint="eastAsia"/>
          <w:bCs/>
          <w:lang w:val="en-AU" w:eastAsia="ko-KR"/>
        </w:rPr>
        <w:t>-</w:t>
      </w:r>
      <w:r w:rsidRPr="00124668">
        <w:rPr>
          <w:rFonts w:ascii="Times New Roman" w:hAnsi="Times New Roman"/>
          <w:bCs/>
          <w:lang w:val="en-AU"/>
        </w:rPr>
        <w:t>1). If 2015 fishing effort levels continue into the future, the stock is predicted to continue to decline on average, falling to SB</w:t>
      </w:r>
      <w:r w:rsidRPr="00124668">
        <w:rPr>
          <w:rFonts w:ascii="Times New Roman" w:hAnsi="Times New Roman"/>
          <w:bCs/>
          <w:vertAlign w:val="subscript"/>
          <w:lang w:val="en-AU"/>
        </w:rPr>
        <w:t>current</w:t>
      </w:r>
      <w:r w:rsidRPr="00124668">
        <w:rPr>
          <w:rFonts w:ascii="Times New Roman" w:hAnsi="Times New Roman"/>
          <w:bCs/>
          <w:lang w:val="en-AU"/>
        </w:rPr>
        <w:t>/SB</w:t>
      </w:r>
      <w:r w:rsidRPr="00124668">
        <w:rPr>
          <w:rFonts w:ascii="Times New Roman" w:hAnsi="Times New Roman"/>
          <w:bCs/>
          <w:vertAlign w:val="subscript"/>
          <w:lang w:val="en-AU"/>
        </w:rPr>
        <w:t>F=0</w:t>
      </w:r>
      <w:r w:rsidRPr="00124668">
        <w:rPr>
          <w:rFonts w:ascii="Times New Roman" w:hAnsi="Times New Roman"/>
          <w:bCs/>
          <w:lang w:val="en-AU"/>
        </w:rPr>
        <w:t xml:space="preserve"> = 0.35 in 2033 with a 7% predicted probability of being below the LRP. Overall vulnerable biomass (a CPUE proxy) in longline fisheries is estimated to decrease by 7% from 2013-2033.  </w:t>
      </w:r>
    </w:p>
    <w:p w14:paraId="6B3ABAC4" w14:textId="77777777" w:rsidR="00124668" w:rsidRPr="00124668" w:rsidRDefault="00124668" w:rsidP="00BB3AE5">
      <w:pPr>
        <w:pStyle w:val="ListParagraph"/>
        <w:adjustRightInd w:val="0"/>
        <w:snapToGrid w:val="0"/>
        <w:spacing w:after="0" w:line="240" w:lineRule="auto"/>
        <w:contextualSpacing w:val="0"/>
        <w:rPr>
          <w:rFonts w:ascii="Times New Roman" w:hAnsi="Times New Roman"/>
          <w:bCs/>
          <w:lang w:val="en-AU"/>
        </w:rPr>
      </w:pPr>
    </w:p>
    <w:p w14:paraId="471BD635" w14:textId="77777777" w:rsidR="00124668" w:rsidRPr="00124668" w:rsidRDefault="00124668" w:rsidP="00BB3AE5">
      <w:pPr>
        <w:numPr>
          <w:ilvl w:val="0"/>
          <w:numId w:val="6"/>
        </w:numPr>
        <w:autoSpaceDE w:val="0"/>
        <w:autoSpaceDN w:val="0"/>
        <w:adjustRightInd w:val="0"/>
        <w:snapToGrid w:val="0"/>
        <w:spacing w:after="0" w:line="240" w:lineRule="auto"/>
        <w:ind w:left="0" w:firstLine="0"/>
        <w:jc w:val="both"/>
        <w:rPr>
          <w:rFonts w:ascii="Times New Roman" w:hAnsi="Times New Roman"/>
          <w:bCs/>
          <w:lang w:val="en-AU"/>
        </w:rPr>
      </w:pPr>
      <w:r w:rsidRPr="00124668">
        <w:rPr>
          <w:rFonts w:ascii="Times New Roman" w:hAnsi="Times New Roman"/>
          <w:bCs/>
          <w:lang w:val="en-AU"/>
        </w:rPr>
        <w:t>Pending a new assessment in 2018, SC13 recalls its previous advice from SC11 and SC12 that longline fishing mortality and longline catch be reduced to avoid further decline in the vulnerable biomass so that economically viable catch rates can be maintained, especially for longline catches of adult albacore. SC13 recommends that this advice be taken into consideration when the TRP for South Pacific albacore is discussed at WCPFC14.</w:t>
      </w:r>
    </w:p>
    <w:p w14:paraId="11F58367" w14:textId="77777777" w:rsidR="00124668" w:rsidRPr="00124668" w:rsidRDefault="00124668" w:rsidP="00BB3AE5">
      <w:pPr>
        <w:adjustRightInd w:val="0"/>
        <w:snapToGrid w:val="0"/>
        <w:spacing w:after="0" w:line="240" w:lineRule="auto"/>
        <w:rPr>
          <w:rFonts w:ascii="Times New Roman" w:eastAsia="Batang" w:hAnsi="Times New Roman"/>
          <w:bCs/>
          <w:lang w:eastAsia="ko-KR"/>
        </w:rPr>
      </w:pPr>
    </w:p>
    <w:p w14:paraId="5EEF2B48" w14:textId="2EFC745A" w:rsidR="00124668" w:rsidRPr="00124668" w:rsidRDefault="00124668" w:rsidP="00BB3AE5">
      <w:pPr>
        <w:pStyle w:val="ListParagraph"/>
        <w:adjustRightInd w:val="0"/>
        <w:snapToGrid w:val="0"/>
        <w:spacing w:after="0" w:line="240" w:lineRule="auto"/>
        <w:ind w:left="0" w:right="114"/>
        <w:contextualSpacing w:val="0"/>
        <w:jc w:val="both"/>
        <w:rPr>
          <w:rFonts w:ascii="Times New Roman" w:hAnsi="Times New Roman" w:cs="Times New Roman"/>
          <w:b/>
          <w:bCs/>
        </w:rPr>
      </w:pPr>
    </w:p>
    <w:p w14:paraId="27B69479" w14:textId="77777777" w:rsidR="00124668" w:rsidRDefault="00124668" w:rsidP="00BB3AE5">
      <w:pPr>
        <w:adjustRightInd w:val="0"/>
        <w:snapToGrid w:val="0"/>
        <w:spacing w:after="0" w:line="240" w:lineRule="auto"/>
        <w:rPr>
          <w:rFonts w:ascii="Times New Roman Bold" w:eastAsia="MS Mincho" w:hAnsi="Times New Roman Bold" w:cs="Times New Roman" w:hint="eastAsia"/>
          <w:b/>
          <w:bCs/>
          <w:caps/>
          <w:color w:val="2F5496" w:themeColor="accent1" w:themeShade="BF"/>
          <w:sz w:val="28"/>
          <w:szCs w:val="28"/>
          <w:lang w:val="en-NZ" w:eastAsia="en-NZ"/>
        </w:rPr>
      </w:pPr>
      <w:r>
        <w:rPr>
          <w:rFonts w:ascii="Times New Roman Bold" w:eastAsia="MS Mincho" w:hAnsi="Times New Roman Bold" w:cs="Times New Roman" w:hint="eastAsia"/>
          <w:b/>
          <w:bCs/>
          <w:caps/>
          <w:sz w:val="28"/>
          <w:szCs w:val="28"/>
          <w:lang w:val="en-NZ" w:eastAsia="en-NZ"/>
        </w:rPr>
        <w:br w:type="page"/>
      </w:r>
    </w:p>
    <w:p w14:paraId="75DF042D" w14:textId="185C4B04" w:rsidR="00762AF8" w:rsidRPr="00124668" w:rsidRDefault="00762AF8" w:rsidP="00BB3AE5">
      <w:pPr>
        <w:pStyle w:val="Heading1"/>
        <w:adjustRightInd w:val="0"/>
        <w:snapToGrid w:val="0"/>
        <w:spacing w:before="0" w:line="240" w:lineRule="auto"/>
        <w:rPr>
          <w:rFonts w:ascii="Times New Roman Bold" w:eastAsia="MS Mincho" w:hAnsi="Times New Roman Bold" w:cs="Times New Roman" w:hint="eastAsia"/>
          <w:b/>
          <w:bCs/>
          <w:caps/>
          <w:sz w:val="28"/>
          <w:szCs w:val="28"/>
          <w:lang w:val="en-NZ" w:eastAsia="en-NZ"/>
        </w:rPr>
      </w:pPr>
      <w:bookmarkStart w:id="5" w:name="_Toc24979565"/>
      <w:r w:rsidRPr="00124668">
        <w:rPr>
          <w:rFonts w:ascii="Times New Roman Bold" w:eastAsia="MS Mincho" w:hAnsi="Times New Roman Bold" w:cs="Times New Roman"/>
          <w:b/>
          <w:bCs/>
          <w:caps/>
          <w:sz w:val="28"/>
          <w:szCs w:val="28"/>
          <w:lang w:val="en-NZ" w:eastAsia="en-NZ"/>
        </w:rPr>
        <w:lastRenderedPageBreak/>
        <w:t>Useful References</w:t>
      </w:r>
      <w:bookmarkEnd w:id="5"/>
    </w:p>
    <w:p w14:paraId="07B0242B" w14:textId="77777777" w:rsidR="00762AF8" w:rsidRPr="00A76559" w:rsidRDefault="00762AF8"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6A020B59" w14:textId="77777777" w:rsidR="00F96E65" w:rsidRPr="00216714" w:rsidRDefault="00F96E65" w:rsidP="00F96E65">
      <w:pPr>
        <w:adjustRightInd w:val="0"/>
        <w:snapToGrid w:val="0"/>
        <w:spacing w:after="0" w:line="240" w:lineRule="auto"/>
        <w:rPr>
          <w:rFonts w:ascii="Times New Roman" w:hAnsi="Times New Roman" w:cs="Times New Roman"/>
        </w:rPr>
      </w:pPr>
      <w:r w:rsidRPr="00216714">
        <w:rPr>
          <w:rFonts w:ascii="Times New Roman" w:hAnsi="Times New Roman" w:cs="Times New Roman"/>
        </w:rPr>
        <w:t>SC15-</w:t>
      </w:r>
      <w:r w:rsidRPr="00216714">
        <w:rPr>
          <w:rFonts w:ascii="Times New Roman" w:hAnsi="Times New Roman" w:cs="Times New Roman"/>
          <w:lang w:val="en-NZ"/>
        </w:rPr>
        <w:t xml:space="preserve"> SA-WP-01 </w:t>
      </w:r>
      <w:r w:rsidRPr="00216714">
        <w:rPr>
          <w:rFonts w:ascii="Times New Roman" w:hAnsi="Times New Roman" w:cs="Times New Roman"/>
        </w:rPr>
        <w:t xml:space="preserve">A compendium of fisheries indicators for tuna stocks. </w:t>
      </w:r>
      <w:hyperlink r:id="rId25" w:history="1">
        <w:r w:rsidRPr="00216714">
          <w:rPr>
            <w:rStyle w:val="Hyperlink"/>
            <w:rFonts w:ascii="Times New Roman" w:hAnsi="Times New Roman" w:cs="Times New Roman"/>
          </w:rPr>
          <w:t>https://www.wcpfc.int/node/42927</w:t>
        </w:r>
      </w:hyperlink>
    </w:p>
    <w:p w14:paraId="6B7A352A" w14:textId="77777777" w:rsidR="00F96E65" w:rsidRPr="00216714" w:rsidRDefault="00F96E65" w:rsidP="00F96E65">
      <w:pPr>
        <w:adjustRightInd w:val="0"/>
        <w:snapToGrid w:val="0"/>
        <w:spacing w:after="0" w:line="240" w:lineRule="auto"/>
        <w:rPr>
          <w:rFonts w:ascii="Times New Roman" w:hAnsi="Times New Roman" w:cs="Times New Roman"/>
        </w:rPr>
      </w:pPr>
    </w:p>
    <w:p w14:paraId="1BC3DE81" w14:textId="3A207468" w:rsidR="00F96E65" w:rsidRPr="00F96E65" w:rsidRDefault="00F96E65"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F96E65">
        <w:rPr>
          <w:rFonts w:ascii="Times New Roman" w:hAnsi="Times New Roman" w:cs="Times New Roman"/>
        </w:rPr>
        <w:t>SC15-</w:t>
      </w:r>
      <w:r w:rsidRPr="00F96E65">
        <w:rPr>
          <w:rFonts w:ascii="Times New Roman" w:hAnsi="Times New Roman" w:cs="Times New Roman"/>
          <w:lang w:val="en-NZ"/>
        </w:rPr>
        <w:t xml:space="preserve"> SA-WP-0</w:t>
      </w:r>
      <w:r w:rsidRPr="00F96E65">
        <w:rPr>
          <w:rFonts w:ascii="Times New Roman" w:hAnsi="Times New Roman" w:cs="Times New Roman"/>
          <w:lang w:val="en-NZ"/>
        </w:rPr>
        <w:t xml:space="preserve">8 </w:t>
      </w:r>
      <w:r w:rsidRPr="00F96E65">
        <w:rPr>
          <w:rFonts w:ascii="Times New Roman" w:hAnsi="Times New Roman" w:cs="Times New Roman"/>
        </w:rPr>
        <w:t>Trends in the South Pacific Albacore Longline and Troll Fisheries</w:t>
      </w:r>
      <w:r w:rsidRPr="00F96E65">
        <w:rPr>
          <w:rFonts w:ascii="Times New Roman" w:hAnsi="Times New Roman" w:cs="Times New Roman"/>
        </w:rPr>
        <w:t xml:space="preserve">. </w:t>
      </w:r>
      <w:hyperlink r:id="rId26" w:history="1">
        <w:r w:rsidRPr="00F96E65">
          <w:rPr>
            <w:rStyle w:val="Hyperlink"/>
            <w:rFonts w:ascii="Times New Roman" w:hAnsi="Times New Roman" w:cs="Times New Roman"/>
          </w:rPr>
          <w:t>https://www.wcpfc.int/node/42934</w:t>
        </w:r>
      </w:hyperlink>
    </w:p>
    <w:p w14:paraId="3FE9D94C" w14:textId="77777777" w:rsidR="00F96E65" w:rsidRDefault="00F96E65"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2E46DFB" w14:textId="443BA9B2" w:rsidR="00D44507" w:rsidRPr="00A76559" w:rsidRDefault="00D44507"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SC14-SA-WP-05 Stock assessment of South Pacific albacore tuna Rev 2. </w:t>
      </w:r>
    </w:p>
    <w:p w14:paraId="7910183F" w14:textId="56AACA76" w:rsidR="00A1333E" w:rsidRPr="00A76559" w:rsidRDefault="001435A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27" w:history="1">
        <w:r w:rsidR="00D44507" w:rsidRPr="00A76559">
          <w:rPr>
            <w:rStyle w:val="Hyperlink"/>
            <w:rFonts w:ascii="Times New Roman" w:eastAsia="MS Mincho" w:hAnsi="Times New Roman" w:cs="Times New Roman"/>
            <w:lang w:val="en-NZ" w:eastAsia="en-NZ"/>
          </w:rPr>
          <w:t>https://www.wcpfc.int/node/31182</w:t>
        </w:r>
      </w:hyperlink>
      <w:r w:rsidR="00D44507" w:rsidRPr="00A76559">
        <w:rPr>
          <w:rFonts w:ascii="Times New Roman" w:eastAsia="MS Mincho" w:hAnsi="Times New Roman" w:cs="Times New Roman"/>
          <w:color w:val="000000"/>
          <w:lang w:val="en-NZ" w:eastAsia="en-NZ"/>
        </w:rPr>
        <w:t xml:space="preserve"> </w:t>
      </w:r>
    </w:p>
    <w:p w14:paraId="5850667B" w14:textId="1F785CBE" w:rsidR="00D44507" w:rsidRPr="00A76559" w:rsidRDefault="00D44507"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FF05FEC" w14:textId="1C00F380"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SC14-SA-WP-02 A compendium of fisheries indicators for tuna stocks. </w:t>
      </w:r>
      <w:hyperlink r:id="rId28" w:history="1">
        <w:r w:rsidRPr="00A76559">
          <w:rPr>
            <w:rStyle w:val="Hyperlink"/>
            <w:rFonts w:ascii="Times New Roman" w:eastAsia="MS Mincho" w:hAnsi="Times New Roman" w:cs="Times New Roman"/>
            <w:lang w:val="en-NZ" w:eastAsia="en-NZ"/>
          </w:rPr>
          <w:t>https://www.wcpfc.int/node/30987</w:t>
        </w:r>
      </w:hyperlink>
      <w:r w:rsidRPr="00A76559">
        <w:rPr>
          <w:rFonts w:ascii="Times New Roman" w:eastAsia="MS Mincho" w:hAnsi="Times New Roman" w:cs="Times New Roman"/>
          <w:color w:val="000000"/>
          <w:lang w:val="en-NZ" w:eastAsia="en-NZ"/>
        </w:rPr>
        <w:t xml:space="preserve"> </w:t>
      </w:r>
    </w:p>
    <w:p w14:paraId="77C0DADD" w14:textId="77777777"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678AB99E" w14:textId="139C8C58" w:rsidR="00D44507" w:rsidRPr="00A76559" w:rsidRDefault="00D44507"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SC14</w:t>
      </w:r>
      <w:r w:rsidR="00CD3D2C" w:rsidRPr="00A76559">
        <w:rPr>
          <w:rFonts w:ascii="Times New Roman" w:eastAsia="MS Mincho" w:hAnsi="Times New Roman" w:cs="Times New Roman"/>
          <w:color w:val="000000"/>
          <w:lang w:val="en-NZ" w:eastAsia="en-NZ"/>
        </w:rPr>
        <w:t xml:space="preserve">-SA-IP-07 Background Analysis for the 2018 stock assessment of South Pacific albacore tuna. </w:t>
      </w:r>
      <w:hyperlink r:id="rId29" w:history="1">
        <w:r w:rsidR="00CD3D2C" w:rsidRPr="00A76559">
          <w:rPr>
            <w:rStyle w:val="Hyperlink"/>
            <w:rFonts w:ascii="Times New Roman" w:eastAsia="MS Mincho" w:hAnsi="Times New Roman" w:cs="Times New Roman"/>
            <w:lang w:val="en-NZ" w:eastAsia="en-NZ"/>
          </w:rPr>
          <w:t>https://www.wcpfc.int/node/31260</w:t>
        </w:r>
      </w:hyperlink>
      <w:r w:rsidR="00CD3D2C" w:rsidRPr="00A76559">
        <w:rPr>
          <w:rFonts w:ascii="Times New Roman" w:eastAsia="MS Mincho" w:hAnsi="Times New Roman" w:cs="Times New Roman"/>
          <w:color w:val="000000"/>
          <w:lang w:val="en-NZ" w:eastAsia="en-NZ"/>
        </w:rPr>
        <w:t xml:space="preserve"> </w:t>
      </w:r>
    </w:p>
    <w:p w14:paraId="6C223A3D" w14:textId="78212CC5"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2BBF7016" w14:textId="57C7DB37"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SC14-SA-IP-08 Trends in the South Pacific Albacore Longline and Troll Fisheries Rev 2. </w:t>
      </w:r>
      <w:hyperlink r:id="rId30" w:history="1">
        <w:r w:rsidRPr="00A76559">
          <w:rPr>
            <w:rStyle w:val="Hyperlink"/>
            <w:rFonts w:ascii="Times New Roman" w:eastAsia="MS Mincho" w:hAnsi="Times New Roman" w:cs="Times New Roman"/>
            <w:lang w:val="en-NZ" w:eastAsia="en-NZ"/>
          </w:rPr>
          <w:t>https://www.wcpfc.int/node/30986</w:t>
        </w:r>
      </w:hyperlink>
    </w:p>
    <w:p w14:paraId="4101CAF6" w14:textId="596397F9"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And associated excel files</w:t>
      </w:r>
    </w:p>
    <w:p w14:paraId="5CCA109C" w14:textId="6B803601" w:rsidR="00CD3D2C" w:rsidRPr="00A76559" w:rsidRDefault="001435A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31" w:history="1">
        <w:r w:rsidR="00CD3D2C" w:rsidRPr="00A76559">
          <w:rPr>
            <w:rStyle w:val="Hyperlink"/>
            <w:rFonts w:ascii="Times New Roman" w:eastAsia="MS Mincho" w:hAnsi="Times New Roman" w:cs="Times New Roman"/>
            <w:lang w:val="en-NZ" w:eastAsia="en-NZ"/>
          </w:rPr>
          <w:t>https://www.wcpfc.int/node/30988</w:t>
        </w:r>
      </w:hyperlink>
    </w:p>
    <w:p w14:paraId="40408A52" w14:textId="5D44854A" w:rsidR="00CD3D2C" w:rsidRPr="00A76559" w:rsidRDefault="001435A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32" w:history="1">
        <w:r w:rsidR="00CD3D2C" w:rsidRPr="00A76559">
          <w:rPr>
            <w:rStyle w:val="Hyperlink"/>
            <w:rFonts w:ascii="Times New Roman" w:eastAsia="MS Mincho" w:hAnsi="Times New Roman" w:cs="Times New Roman"/>
            <w:lang w:val="en-NZ" w:eastAsia="en-NZ"/>
          </w:rPr>
          <w:t>https://www.wcpfc.int/node/30989</w:t>
        </w:r>
      </w:hyperlink>
    </w:p>
    <w:p w14:paraId="72EC9373" w14:textId="77777777"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19A24D3" w14:textId="77777777" w:rsidR="00762AF8" w:rsidRPr="00A76559" w:rsidRDefault="008A50A3"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SC13-WCPFC13-03 Biological and Economic Consequences of Alternative Trajectories to Achieve a Candidate South Pacific Albacore Target Reference Point; Pilling G [1]., M. </w:t>
      </w:r>
      <w:proofErr w:type="spellStart"/>
      <w:r w:rsidRPr="00A76559">
        <w:rPr>
          <w:rFonts w:ascii="Times New Roman" w:hAnsi="Times New Roman" w:cs="Times New Roman"/>
        </w:rPr>
        <w:t>Skirtun</w:t>
      </w:r>
      <w:proofErr w:type="spellEnd"/>
      <w:r w:rsidRPr="00A76559">
        <w:rPr>
          <w:rFonts w:ascii="Times New Roman" w:hAnsi="Times New Roman" w:cs="Times New Roman"/>
        </w:rPr>
        <w:t xml:space="preserve"> [2], C. Reid [2] and J. Hampton [1] – ([1] SPC-OFP &amp; [2] FFA).</w:t>
      </w:r>
    </w:p>
    <w:p w14:paraId="11836502" w14:textId="77777777" w:rsidR="008A50A3" w:rsidRPr="00A76559" w:rsidRDefault="001435AC" w:rsidP="00BB3AE5">
      <w:pPr>
        <w:adjustRightInd w:val="0"/>
        <w:snapToGrid w:val="0"/>
        <w:spacing w:after="0" w:line="240" w:lineRule="auto"/>
        <w:rPr>
          <w:rFonts w:ascii="Times New Roman" w:hAnsi="Times New Roman" w:cs="Times New Roman"/>
        </w:rPr>
      </w:pPr>
      <w:hyperlink r:id="rId33" w:history="1">
        <w:r w:rsidR="008A50A3" w:rsidRPr="00A76559">
          <w:rPr>
            <w:rStyle w:val="Hyperlink"/>
            <w:rFonts w:ascii="Times New Roman" w:hAnsi="Times New Roman" w:cs="Times New Roman"/>
          </w:rPr>
          <w:t>https://www.wcpfc.int/node/29429</w:t>
        </w:r>
      </w:hyperlink>
    </w:p>
    <w:p w14:paraId="78C6B399" w14:textId="77777777" w:rsidR="008A50A3" w:rsidRPr="00A76559" w:rsidRDefault="008A50A3" w:rsidP="00BB3AE5">
      <w:pPr>
        <w:adjustRightInd w:val="0"/>
        <w:snapToGrid w:val="0"/>
        <w:spacing w:after="0" w:line="240" w:lineRule="auto"/>
        <w:rPr>
          <w:rFonts w:ascii="Times New Roman" w:hAnsi="Times New Roman" w:cs="Times New Roman"/>
        </w:rPr>
      </w:pPr>
    </w:p>
    <w:p w14:paraId="79E4F0EC" w14:textId="77777777" w:rsidR="008A50A3" w:rsidRPr="00A76559" w:rsidRDefault="00996E15"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SC13-WCPFC13-04 Performance Indicators and Monitoring Strategies for Skipjack and South Pacific Albacore Commensurate with Candidate Management Objectives for the Tropical Purse Seine and Southern Longline Fisheries; Scott R., G. Pilling and J. Hampton (SPC-OFP)</w:t>
      </w:r>
      <w:r w:rsidR="00C47656" w:rsidRPr="00A76559">
        <w:rPr>
          <w:rFonts w:ascii="Times New Roman" w:hAnsi="Times New Roman" w:cs="Times New Roman"/>
        </w:rPr>
        <w:t>.</w:t>
      </w:r>
    </w:p>
    <w:p w14:paraId="5EFB8B63" w14:textId="77777777" w:rsidR="008A50A3" w:rsidRPr="00A76559" w:rsidRDefault="001435AC" w:rsidP="00BB3AE5">
      <w:pPr>
        <w:adjustRightInd w:val="0"/>
        <w:snapToGrid w:val="0"/>
        <w:spacing w:after="0" w:line="240" w:lineRule="auto"/>
        <w:rPr>
          <w:rFonts w:ascii="Times New Roman" w:hAnsi="Times New Roman" w:cs="Times New Roman"/>
        </w:rPr>
      </w:pPr>
      <w:hyperlink r:id="rId34" w:history="1">
        <w:r w:rsidR="00C47656" w:rsidRPr="00A76559">
          <w:rPr>
            <w:rStyle w:val="Hyperlink"/>
            <w:rFonts w:ascii="Times New Roman" w:hAnsi="Times New Roman" w:cs="Times New Roman"/>
          </w:rPr>
          <w:t>https://www.wcpfc.int/node/29430</w:t>
        </w:r>
      </w:hyperlink>
    </w:p>
    <w:p w14:paraId="731F4654" w14:textId="77777777" w:rsidR="00C47656" w:rsidRPr="00A76559" w:rsidRDefault="00C47656" w:rsidP="00BB3AE5">
      <w:pPr>
        <w:adjustRightInd w:val="0"/>
        <w:snapToGrid w:val="0"/>
        <w:spacing w:after="0" w:line="240" w:lineRule="auto"/>
        <w:rPr>
          <w:rFonts w:ascii="Times New Roman" w:hAnsi="Times New Roman" w:cs="Times New Roman"/>
        </w:rPr>
      </w:pPr>
    </w:p>
    <w:p w14:paraId="11D9FDE7" w14:textId="77777777" w:rsidR="00C47656" w:rsidRPr="00A76559" w:rsidRDefault="00C47656"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SC13-MI-WP-01 Implications of a range of Target Reference Points for the south Pacific albacore stock; FFA.</w:t>
      </w:r>
    </w:p>
    <w:p w14:paraId="72EE4448" w14:textId="77777777" w:rsidR="00C47656" w:rsidRPr="00A76559" w:rsidRDefault="001435AC" w:rsidP="00BB3AE5">
      <w:pPr>
        <w:adjustRightInd w:val="0"/>
        <w:snapToGrid w:val="0"/>
        <w:spacing w:after="0" w:line="240" w:lineRule="auto"/>
        <w:rPr>
          <w:rFonts w:ascii="Times New Roman" w:hAnsi="Times New Roman" w:cs="Times New Roman"/>
        </w:rPr>
      </w:pPr>
      <w:hyperlink r:id="rId35" w:history="1">
        <w:r w:rsidR="00C47656" w:rsidRPr="00A76559">
          <w:rPr>
            <w:rStyle w:val="Hyperlink"/>
            <w:rFonts w:ascii="Times New Roman" w:hAnsi="Times New Roman" w:cs="Times New Roman"/>
          </w:rPr>
          <w:t>https://www.wcpfc.int/node/29544</w:t>
        </w:r>
      </w:hyperlink>
    </w:p>
    <w:p w14:paraId="39BE754B" w14:textId="77777777" w:rsidR="00C47656" w:rsidRPr="00A76559" w:rsidRDefault="00C47656" w:rsidP="00BB3AE5">
      <w:pPr>
        <w:adjustRightInd w:val="0"/>
        <w:snapToGrid w:val="0"/>
        <w:spacing w:after="0" w:line="240" w:lineRule="auto"/>
        <w:rPr>
          <w:rFonts w:ascii="Times New Roman" w:hAnsi="Times New Roman" w:cs="Times New Roman"/>
        </w:rPr>
      </w:pPr>
    </w:p>
    <w:p w14:paraId="5AA690E4" w14:textId="77777777" w:rsidR="00C47656" w:rsidRPr="00A76559" w:rsidRDefault="00C47656"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SC13-MI-WP-02 Performance indicators and monitoring strategies for South Pacific Albacore compatible with candidate management objectives for the Southern Longline Fishery; Scott R., G. Pilling and J. Hampton. (SPC-OFP).</w:t>
      </w:r>
    </w:p>
    <w:p w14:paraId="43116214" w14:textId="77777777" w:rsidR="00C47656" w:rsidRPr="00A76559" w:rsidRDefault="001435AC" w:rsidP="00BB3AE5">
      <w:pPr>
        <w:adjustRightInd w:val="0"/>
        <w:snapToGrid w:val="0"/>
        <w:spacing w:after="0" w:line="240" w:lineRule="auto"/>
        <w:rPr>
          <w:rFonts w:ascii="Times New Roman" w:hAnsi="Times New Roman" w:cs="Times New Roman"/>
        </w:rPr>
      </w:pPr>
      <w:hyperlink r:id="rId36" w:history="1">
        <w:r w:rsidR="00C47656" w:rsidRPr="00A76559">
          <w:rPr>
            <w:rStyle w:val="Hyperlink"/>
            <w:rFonts w:ascii="Times New Roman" w:hAnsi="Times New Roman" w:cs="Times New Roman"/>
          </w:rPr>
          <w:t>https://www.wcpfc.int/node/29545</w:t>
        </w:r>
      </w:hyperlink>
    </w:p>
    <w:p w14:paraId="67C35090" w14:textId="77777777" w:rsidR="008C6E4C" w:rsidRPr="00A76559" w:rsidRDefault="008C6E4C" w:rsidP="00BB3AE5">
      <w:pPr>
        <w:adjustRightInd w:val="0"/>
        <w:snapToGrid w:val="0"/>
        <w:spacing w:after="0" w:line="240" w:lineRule="auto"/>
        <w:rPr>
          <w:rFonts w:ascii="Times New Roman" w:hAnsi="Times New Roman" w:cs="Times New Roman"/>
        </w:rPr>
      </w:pPr>
    </w:p>
    <w:p w14:paraId="4AF68F3C" w14:textId="571EE9A3" w:rsidR="00E207C4" w:rsidRDefault="00E207C4"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SC7-SA-WP-05 Regional study of South Pacific albacore population biology: Year 3 – Biological sampling and analysis. </w:t>
      </w:r>
      <w:hyperlink r:id="rId37" w:history="1">
        <w:r w:rsidRPr="00A76559">
          <w:rPr>
            <w:rStyle w:val="Hyperlink"/>
            <w:rFonts w:ascii="Times New Roman" w:hAnsi="Times New Roman" w:cs="Times New Roman"/>
          </w:rPr>
          <w:t>https://wcpfc.int/node/2788</w:t>
        </w:r>
      </w:hyperlink>
      <w:r w:rsidRPr="00A76559">
        <w:rPr>
          <w:rFonts w:ascii="Times New Roman" w:hAnsi="Times New Roman" w:cs="Times New Roman"/>
        </w:rPr>
        <w:t xml:space="preserve">  </w:t>
      </w:r>
    </w:p>
    <w:p w14:paraId="57F5F605" w14:textId="11EBF590" w:rsidR="00124668" w:rsidRDefault="00124668" w:rsidP="00BB3AE5">
      <w:pPr>
        <w:adjustRightInd w:val="0"/>
        <w:snapToGrid w:val="0"/>
        <w:spacing w:after="0" w:line="240" w:lineRule="auto"/>
        <w:rPr>
          <w:rFonts w:ascii="Times New Roman" w:hAnsi="Times New Roman" w:cs="Times New Roman"/>
        </w:rPr>
      </w:pPr>
    </w:p>
    <w:p w14:paraId="24383D54" w14:textId="77777777" w:rsidR="00124668" w:rsidRPr="00A76559" w:rsidRDefault="00124668" w:rsidP="00BB3AE5">
      <w:pPr>
        <w:adjustRightInd w:val="0"/>
        <w:snapToGrid w:val="0"/>
        <w:spacing w:after="0" w:line="240" w:lineRule="auto"/>
        <w:rPr>
          <w:rFonts w:ascii="Times New Roman" w:hAnsi="Times New Roman" w:cs="Times New Roman"/>
        </w:rPr>
      </w:pPr>
    </w:p>
    <w:p w14:paraId="6FE1D25A" w14:textId="77777777" w:rsidR="00C825E8" w:rsidRPr="00124668" w:rsidRDefault="00C825E8" w:rsidP="00BB3AE5">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6" w:name="_Toc24979566"/>
      <w:r w:rsidRPr="00124668">
        <w:rPr>
          <w:rFonts w:ascii="Times New Roman" w:eastAsia="MS Mincho" w:hAnsi="Times New Roman" w:cs="Times New Roman"/>
          <w:b/>
          <w:bCs/>
          <w:caps/>
          <w:sz w:val="28"/>
          <w:szCs w:val="28"/>
          <w:lang w:val="en-NZ" w:eastAsia="en-NZ"/>
        </w:rPr>
        <w:t>Previous Assessments</w:t>
      </w:r>
      <w:bookmarkEnd w:id="6"/>
    </w:p>
    <w:p w14:paraId="454FB391" w14:textId="77777777" w:rsidR="00C47656" w:rsidRPr="00A76559" w:rsidRDefault="00C47656" w:rsidP="00BB3AE5">
      <w:pPr>
        <w:adjustRightInd w:val="0"/>
        <w:snapToGrid w:val="0"/>
        <w:spacing w:after="0" w:line="240" w:lineRule="auto"/>
        <w:rPr>
          <w:rFonts w:ascii="Times New Roman" w:hAnsi="Times New Roman" w:cs="Times New Roman"/>
        </w:rPr>
      </w:pPr>
    </w:p>
    <w:p w14:paraId="046F7D7A" w14:textId="77777777" w:rsidR="004B0229" w:rsidRPr="00A76559" w:rsidRDefault="004B0229"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SC11-SA-WP-06 Stock assessment for south Pacific albacore tuna. Rev 1 (4 August 2015). Harley, S. </w:t>
      </w:r>
      <w:proofErr w:type="gramStart"/>
      <w:r w:rsidRPr="00A76559">
        <w:rPr>
          <w:rFonts w:ascii="Times New Roman" w:eastAsia="MS Mincho" w:hAnsi="Times New Roman" w:cs="Times New Roman"/>
          <w:color w:val="000000"/>
          <w:lang w:val="en-NZ" w:eastAsia="en-NZ"/>
        </w:rPr>
        <w:t>J[</w:t>
      </w:r>
      <w:proofErr w:type="gramEnd"/>
      <w:r w:rsidRPr="00A76559">
        <w:rPr>
          <w:rFonts w:ascii="Times New Roman" w:eastAsia="MS Mincho" w:hAnsi="Times New Roman" w:cs="Times New Roman"/>
          <w:color w:val="000000"/>
          <w:lang w:val="en-NZ" w:eastAsia="en-NZ"/>
        </w:rPr>
        <w:t xml:space="preserve">1], N. Davies[2], L Tremblay-Boyer[1], John Hampton[1], and S McKechnie [1] ([1] SPC-OFP &amp; [2] </w:t>
      </w:r>
      <w:proofErr w:type="spellStart"/>
      <w:r w:rsidRPr="00A76559">
        <w:rPr>
          <w:rFonts w:ascii="Times New Roman" w:eastAsia="MS Mincho" w:hAnsi="Times New Roman" w:cs="Times New Roman"/>
          <w:color w:val="000000"/>
          <w:lang w:val="en-NZ" w:eastAsia="en-NZ"/>
        </w:rPr>
        <w:t>Te</w:t>
      </w:r>
      <w:proofErr w:type="spellEnd"/>
      <w:r w:rsidRPr="00A76559">
        <w:rPr>
          <w:rFonts w:ascii="Times New Roman" w:eastAsia="MS Mincho" w:hAnsi="Times New Roman" w:cs="Times New Roman"/>
          <w:color w:val="000000"/>
          <w:lang w:val="en-NZ" w:eastAsia="en-NZ"/>
        </w:rPr>
        <w:t xml:space="preserve"> </w:t>
      </w:r>
      <w:proofErr w:type="spellStart"/>
      <w:r w:rsidRPr="00A76559">
        <w:rPr>
          <w:rFonts w:ascii="Times New Roman" w:eastAsia="MS Mincho" w:hAnsi="Times New Roman" w:cs="Times New Roman"/>
          <w:color w:val="000000"/>
          <w:lang w:val="en-NZ" w:eastAsia="en-NZ"/>
        </w:rPr>
        <w:t>Takina</w:t>
      </w:r>
      <w:proofErr w:type="spellEnd"/>
      <w:r w:rsidRPr="00A76559">
        <w:rPr>
          <w:rFonts w:ascii="Times New Roman" w:eastAsia="MS Mincho" w:hAnsi="Times New Roman" w:cs="Times New Roman"/>
          <w:color w:val="000000"/>
          <w:lang w:val="en-NZ" w:eastAsia="en-NZ"/>
        </w:rPr>
        <w:t xml:space="preserve"> Ltd).</w:t>
      </w:r>
    </w:p>
    <w:p w14:paraId="442D6971" w14:textId="77777777" w:rsidR="004B0229" w:rsidRPr="00A76559" w:rsidRDefault="001435A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38" w:history="1">
        <w:r w:rsidR="004B0229" w:rsidRPr="00A76559">
          <w:rPr>
            <w:rStyle w:val="Hyperlink"/>
            <w:rFonts w:ascii="Times New Roman" w:eastAsia="MS Mincho" w:hAnsi="Times New Roman" w:cs="Times New Roman"/>
            <w:lang w:val="en-NZ" w:eastAsia="en-NZ"/>
          </w:rPr>
          <w:t>https://www.wcpfc.int/node/21776</w:t>
        </w:r>
      </w:hyperlink>
      <w:r w:rsidR="004B0229" w:rsidRPr="00A76559">
        <w:rPr>
          <w:rFonts w:ascii="Times New Roman" w:eastAsia="MS Mincho" w:hAnsi="Times New Roman" w:cs="Times New Roman"/>
          <w:color w:val="000000"/>
          <w:lang w:val="en-NZ" w:eastAsia="en-NZ"/>
        </w:rPr>
        <w:t xml:space="preserve"> </w:t>
      </w:r>
    </w:p>
    <w:p w14:paraId="1D32EFC4" w14:textId="77777777" w:rsidR="004B0229" w:rsidRPr="00A76559" w:rsidRDefault="004B0229" w:rsidP="00BB3AE5">
      <w:pPr>
        <w:adjustRightInd w:val="0"/>
        <w:snapToGrid w:val="0"/>
        <w:spacing w:after="0" w:line="240" w:lineRule="auto"/>
        <w:rPr>
          <w:rFonts w:ascii="Times New Roman" w:hAnsi="Times New Roman" w:cs="Times New Roman"/>
        </w:rPr>
      </w:pPr>
    </w:p>
    <w:p w14:paraId="4624F244" w14:textId="77777777" w:rsidR="00C47656" w:rsidRPr="00A76559" w:rsidRDefault="008F597A"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SC8-SA-WP-04 Stock Assessment of Albacore in the south Pacific Ocean Rev 1 (29 July 2012) </w:t>
      </w:r>
      <w:hyperlink r:id="rId39" w:history="1">
        <w:r w:rsidRPr="00A76559">
          <w:rPr>
            <w:rStyle w:val="Hyperlink"/>
            <w:rFonts w:ascii="Times New Roman" w:hAnsi="Times New Roman" w:cs="Times New Roman"/>
          </w:rPr>
          <w:t>https://wcpfc.int/node/3233</w:t>
        </w:r>
      </w:hyperlink>
      <w:r w:rsidRPr="00A76559">
        <w:rPr>
          <w:rFonts w:ascii="Times New Roman" w:hAnsi="Times New Roman" w:cs="Times New Roman"/>
        </w:rPr>
        <w:t xml:space="preserve"> </w:t>
      </w:r>
    </w:p>
    <w:p w14:paraId="126F0029" w14:textId="77777777" w:rsidR="00C47656" w:rsidRPr="00A76559" w:rsidRDefault="00C47656" w:rsidP="00BB3AE5">
      <w:pPr>
        <w:adjustRightInd w:val="0"/>
        <w:snapToGrid w:val="0"/>
        <w:spacing w:after="0" w:line="240" w:lineRule="auto"/>
        <w:rPr>
          <w:rFonts w:ascii="Times New Roman" w:hAnsi="Times New Roman" w:cs="Times New Roman"/>
        </w:rPr>
      </w:pPr>
    </w:p>
    <w:bookmarkEnd w:id="3"/>
    <w:p w14:paraId="4765D61F" w14:textId="77777777" w:rsidR="00762AF8" w:rsidRPr="00A76559" w:rsidRDefault="00E207C4"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SC7-SA-WP-06 Stock assessment of albacore tuna in the South Pacific Ocean. </w:t>
      </w:r>
      <w:hyperlink r:id="rId40" w:history="1">
        <w:r w:rsidRPr="00A76559">
          <w:rPr>
            <w:rStyle w:val="Hyperlink"/>
            <w:rFonts w:ascii="Times New Roman" w:hAnsi="Times New Roman" w:cs="Times New Roman"/>
          </w:rPr>
          <w:t>https://wcpfc.int/node/2813</w:t>
        </w:r>
      </w:hyperlink>
      <w:r w:rsidRPr="00A76559">
        <w:rPr>
          <w:rFonts w:ascii="Times New Roman" w:hAnsi="Times New Roman" w:cs="Times New Roman"/>
        </w:rPr>
        <w:t xml:space="preserve"> </w:t>
      </w:r>
    </w:p>
    <w:p w14:paraId="28D44A11" w14:textId="77777777" w:rsidR="006C6332" w:rsidRPr="00A76559" w:rsidRDefault="006C6332" w:rsidP="00BB3AE5">
      <w:pPr>
        <w:adjustRightInd w:val="0"/>
        <w:snapToGrid w:val="0"/>
        <w:spacing w:after="0" w:line="240" w:lineRule="auto"/>
        <w:rPr>
          <w:rFonts w:ascii="Times New Roman" w:hAnsi="Times New Roman" w:cs="Times New Roman"/>
        </w:rPr>
      </w:pPr>
    </w:p>
    <w:p w14:paraId="732A29BE" w14:textId="77777777" w:rsidR="006C6332" w:rsidRPr="00A76559" w:rsidRDefault="006C6332"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SC5-SA-WP-06 Stock assessment of albacore tuna in the south Pacific Ocean. </w:t>
      </w:r>
      <w:hyperlink r:id="rId41" w:history="1">
        <w:r w:rsidRPr="00A76559">
          <w:rPr>
            <w:rStyle w:val="Hyperlink"/>
            <w:rFonts w:ascii="Times New Roman" w:hAnsi="Times New Roman" w:cs="Times New Roman"/>
          </w:rPr>
          <w:t>https://wcpfc.int/node/2177</w:t>
        </w:r>
      </w:hyperlink>
      <w:r w:rsidRPr="00A76559">
        <w:rPr>
          <w:rFonts w:ascii="Times New Roman" w:hAnsi="Times New Roman" w:cs="Times New Roman"/>
        </w:rPr>
        <w:t xml:space="preserve"> </w:t>
      </w:r>
    </w:p>
    <w:p w14:paraId="33904760" w14:textId="77777777" w:rsidR="006C6332" w:rsidRPr="00A76559" w:rsidRDefault="006C6332" w:rsidP="00BB3AE5">
      <w:pPr>
        <w:adjustRightInd w:val="0"/>
        <w:snapToGrid w:val="0"/>
        <w:spacing w:after="0" w:line="240" w:lineRule="auto"/>
        <w:rPr>
          <w:rFonts w:ascii="Times New Roman" w:hAnsi="Times New Roman" w:cs="Times New Roman"/>
        </w:rPr>
      </w:pPr>
    </w:p>
    <w:p w14:paraId="410EF056" w14:textId="77777777" w:rsidR="006C6332" w:rsidRPr="00A76559" w:rsidRDefault="000A78A5"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SC4-SA-WP-08 Stock assessment of Albacore tuna in the south Pacific Ocean. </w:t>
      </w:r>
      <w:hyperlink r:id="rId42" w:history="1">
        <w:r w:rsidRPr="00A76559">
          <w:rPr>
            <w:rStyle w:val="Hyperlink"/>
            <w:rFonts w:ascii="Times New Roman" w:hAnsi="Times New Roman" w:cs="Times New Roman"/>
          </w:rPr>
          <w:t>https://wcpfc.int/node/1225</w:t>
        </w:r>
      </w:hyperlink>
      <w:r w:rsidRPr="00A76559">
        <w:rPr>
          <w:rFonts w:ascii="Times New Roman" w:hAnsi="Times New Roman" w:cs="Times New Roman"/>
        </w:rPr>
        <w:t xml:space="preserve"> </w:t>
      </w:r>
    </w:p>
    <w:p w14:paraId="7526F180" w14:textId="77777777" w:rsidR="00A7128B" w:rsidRPr="00A76559" w:rsidRDefault="00A7128B" w:rsidP="00BB3AE5">
      <w:pPr>
        <w:adjustRightInd w:val="0"/>
        <w:snapToGrid w:val="0"/>
        <w:spacing w:after="0" w:line="240" w:lineRule="auto"/>
        <w:rPr>
          <w:rFonts w:ascii="Times New Roman" w:hAnsi="Times New Roman" w:cs="Times New Roman"/>
        </w:rPr>
      </w:pPr>
    </w:p>
    <w:p w14:paraId="720BA8AB" w14:textId="77777777" w:rsidR="00A7128B" w:rsidRPr="00A76559" w:rsidRDefault="00A7128B"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SC2-SA-WP-04 An update of the stock assessment for South Pacific albacore tuna, including an investigation of the sensitivity to key biological parameters included in the model. </w:t>
      </w:r>
      <w:hyperlink r:id="rId43" w:history="1">
        <w:r w:rsidRPr="00A76559">
          <w:rPr>
            <w:rStyle w:val="Hyperlink"/>
            <w:rFonts w:ascii="Times New Roman" w:hAnsi="Times New Roman" w:cs="Times New Roman"/>
          </w:rPr>
          <w:t>https://wcpfc.int/node/1749</w:t>
        </w:r>
      </w:hyperlink>
      <w:r w:rsidRPr="00A76559">
        <w:rPr>
          <w:rFonts w:ascii="Times New Roman" w:hAnsi="Times New Roman" w:cs="Times New Roman"/>
        </w:rPr>
        <w:t xml:space="preserve"> </w:t>
      </w:r>
    </w:p>
    <w:p w14:paraId="44529AFC" w14:textId="77777777" w:rsidR="00AF181B" w:rsidRPr="00A76559" w:rsidRDefault="00AF181B" w:rsidP="00BB3AE5">
      <w:pPr>
        <w:adjustRightInd w:val="0"/>
        <w:snapToGrid w:val="0"/>
        <w:spacing w:after="0" w:line="240" w:lineRule="auto"/>
        <w:rPr>
          <w:rFonts w:ascii="Times New Roman" w:hAnsi="Times New Roman" w:cs="Times New Roman"/>
        </w:rPr>
      </w:pPr>
    </w:p>
    <w:p w14:paraId="3010A0EC" w14:textId="77777777" w:rsidR="00AF181B" w:rsidRPr="00A76559" w:rsidRDefault="00AF181B"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SC1-SA-WP-03 Stock assessment of albacore tuna in the South Pacific Ocean. </w:t>
      </w:r>
      <w:hyperlink r:id="rId44" w:history="1">
        <w:r w:rsidRPr="00A76559">
          <w:rPr>
            <w:rStyle w:val="Hyperlink"/>
            <w:rFonts w:ascii="Times New Roman" w:hAnsi="Times New Roman" w:cs="Times New Roman"/>
          </w:rPr>
          <w:t>https://wcpfc.int/node/1885</w:t>
        </w:r>
      </w:hyperlink>
      <w:r w:rsidRPr="00A76559">
        <w:rPr>
          <w:rFonts w:ascii="Times New Roman" w:hAnsi="Times New Roman" w:cs="Times New Roman"/>
        </w:rPr>
        <w:t xml:space="preserve">  </w:t>
      </w:r>
    </w:p>
    <w:p w14:paraId="08FA3C61" w14:textId="77777777" w:rsidR="00A7128B" w:rsidRPr="00A76559" w:rsidRDefault="00A7128B" w:rsidP="00BB3AE5">
      <w:pPr>
        <w:adjustRightInd w:val="0"/>
        <w:snapToGrid w:val="0"/>
        <w:spacing w:after="0" w:line="240" w:lineRule="auto"/>
        <w:rPr>
          <w:rFonts w:ascii="Times New Roman" w:hAnsi="Times New Roman" w:cs="Times New Roman"/>
        </w:rPr>
      </w:pPr>
    </w:p>
    <w:p w14:paraId="02EB0306" w14:textId="77777777" w:rsidR="00A7128B" w:rsidRPr="00A76559" w:rsidRDefault="00A7128B" w:rsidP="00BB3AE5">
      <w:pPr>
        <w:adjustRightInd w:val="0"/>
        <w:snapToGrid w:val="0"/>
        <w:spacing w:after="0" w:line="240" w:lineRule="auto"/>
        <w:rPr>
          <w:rFonts w:ascii="Times New Roman" w:hAnsi="Times New Roman" w:cs="Times New Roman"/>
        </w:rPr>
      </w:pPr>
    </w:p>
    <w:sectPr w:rsidR="00A7128B" w:rsidRPr="00A76559" w:rsidSect="00CC3DC6">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D7A29" w14:textId="77777777" w:rsidR="001435AC" w:rsidRDefault="001435AC" w:rsidP="005C2B8D">
      <w:pPr>
        <w:spacing w:after="0" w:line="240" w:lineRule="auto"/>
      </w:pPr>
      <w:r>
        <w:separator/>
      </w:r>
    </w:p>
  </w:endnote>
  <w:endnote w:type="continuationSeparator" w:id="0">
    <w:p w14:paraId="189EAF99" w14:textId="77777777" w:rsidR="001435AC" w:rsidRDefault="001435AC"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353592"/>
      <w:docPartObj>
        <w:docPartGallery w:val="Page Numbers (Bottom of Page)"/>
        <w:docPartUnique/>
      </w:docPartObj>
    </w:sdtPr>
    <w:sdtEndPr>
      <w:rPr>
        <w:noProof/>
      </w:rPr>
    </w:sdtEndPr>
    <w:sdtContent>
      <w:p w14:paraId="54F27162" w14:textId="77777777" w:rsidR="00124668" w:rsidRDefault="00124668">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73F49012" w14:textId="77777777" w:rsidR="00124668" w:rsidRDefault="0012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B7B30" w14:textId="77777777" w:rsidR="001435AC" w:rsidRDefault="001435AC" w:rsidP="005C2B8D">
      <w:pPr>
        <w:spacing w:after="0" w:line="240" w:lineRule="auto"/>
      </w:pPr>
      <w:r>
        <w:separator/>
      </w:r>
    </w:p>
  </w:footnote>
  <w:footnote w:type="continuationSeparator" w:id="0">
    <w:p w14:paraId="76CEEF9C" w14:textId="77777777" w:rsidR="001435AC" w:rsidRDefault="001435AC"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355C2"/>
    <w:multiLevelType w:val="hybridMultilevel"/>
    <w:tmpl w:val="0ADE5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E00408"/>
    <w:multiLevelType w:val="hybridMultilevel"/>
    <w:tmpl w:val="D7BCFB80"/>
    <w:lvl w:ilvl="0" w:tplc="0C7E9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09250E"/>
    <w:multiLevelType w:val="hybridMultilevel"/>
    <w:tmpl w:val="78FC01E6"/>
    <w:lvl w:ilvl="0" w:tplc="17184000">
      <w:start w:val="1"/>
      <w:numFmt w:val="decimal"/>
      <w:pStyle w:val="WCPFC"/>
      <w:lvlText w:val="%1."/>
      <w:lvlJc w:val="left"/>
      <w:pPr>
        <w:ind w:left="36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25523404">
      <w:numFmt w:val="bullet"/>
      <w:lvlText w:val="•"/>
      <w:lvlJc w:val="left"/>
      <w:pPr>
        <w:ind w:left="7200" w:hanging="720"/>
      </w:pPr>
      <w:rPr>
        <w:rFonts w:ascii="Times New Roman" w:eastAsia="Batang" w:hAnsi="Times New Roman" w:cs="Times New Roman"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C96542E"/>
    <w:multiLevelType w:val="hybridMultilevel"/>
    <w:tmpl w:val="A002D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B113B83"/>
    <w:multiLevelType w:val="hybridMultilevel"/>
    <w:tmpl w:val="F216BF20"/>
    <w:lvl w:ilvl="0" w:tplc="9D820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E35ED"/>
    <w:multiLevelType w:val="hybridMultilevel"/>
    <w:tmpl w:val="E9CA7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4"/>
  </w:num>
  <w:num w:numId="5">
    <w:abstractNumId w:val="6"/>
  </w:num>
  <w:num w:numId="6">
    <w:abstractNumId w:val="2"/>
  </w:num>
  <w:num w:numId="7">
    <w:abstractNumId w:val="3"/>
  </w:num>
  <w:num w:numId="8">
    <w:abstractNumId w:val="0"/>
  </w:num>
  <w:num w:numId="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A78A5"/>
    <w:rsid w:val="00124668"/>
    <w:rsid w:val="001435AC"/>
    <w:rsid w:val="002A1816"/>
    <w:rsid w:val="003060E3"/>
    <w:rsid w:val="0033734A"/>
    <w:rsid w:val="004B0229"/>
    <w:rsid w:val="004B05DF"/>
    <w:rsid w:val="005305E3"/>
    <w:rsid w:val="005374AB"/>
    <w:rsid w:val="00550074"/>
    <w:rsid w:val="00575F58"/>
    <w:rsid w:val="005C2B8D"/>
    <w:rsid w:val="00631BB2"/>
    <w:rsid w:val="006B7653"/>
    <w:rsid w:val="006C6332"/>
    <w:rsid w:val="006E2E86"/>
    <w:rsid w:val="00726FA5"/>
    <w:rsid w:val="0073054D"/>
    <w:rsid w:val="00762AF8"/>
    <w:rsid w:val="007F084A"/>
    <w:rsid w:val="0086418A"/>
    <w:rsid w:val="00867480"/>
    <w:rsid w:val="008A50A3"/>
    <w:rsid w:val="008C6E4C"/>
    <w:rsid w:val="008F597A"/>
    <w:rsid w:val="009230A5"/>
    <w:rsid w:val="00996E15"/>
    <w:rsid w:val="009C1672"/>
    <w:rsid w:val="00A025C1"/>
    <w:rsid w:val="00A1333E"/>
    <w:rsid w:val="00A412C2"/>
    <w:rsid w:val="00A7128B"/>
    <w:rsid w:val="00A76559"/>
    <w:rsid w:val="00AF181B"/>
    <w:rsid w:val="00B67B35"/>
    <w:rsid w:val="00BA6322"/>
    <w:rsid w:val="00BB3AE5"/>
    <w:rsid w:val="00C47656"/>
    <w:rsid w:val="00C64AF4"/>
    <w:rsid w:val="00C825E8"/>
    <w:rsid w:val="00CC3DC6"/>
    <w:rsid w:val="00CC59BE"/>
    <w:rsid w:val="00CD3D2C"/>
    <w:rsid w:val="00CF0B93"/>
    <w:rsid w:val="00D4378F"/>
    <w:rsid w:val="00D44507"/>
    <w:rsid w:val="00E207C4"/>
    <w:rsid w:val="00ED10DF"/>
    <w:rsid w:val="00EE76BF"/>
    <w:rsid w:val="00F122B9"/>
    <w:rsid w:val="00F96E65"/>
    <w:rsid w:val="00FB65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94974"/>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BB3AE5"/>
    <w:pPr>
      <w:tabs>
        <w:tab w:val="right" w:leader="dot" w:pos="9350"/>
      </w:tabs>
      <w:spacing w:after="100"/>
    </w:pPr>
    <w:rPr>
      <w:rFonts w:ascii="Times New Roman" w:eastAsia="MS Mincho" w:hAnsi="Times New Roman" w:cs="Times New Roman"/>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5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762AF8"/>
    <w:pPr>
      <w:ind w:left="720"/>
      <w:contextualSpacing/>
    </w:pPr>
  </w:style>
  <w:style w:type="character" w:styleId="UnresolvedMention">
    <w:name w:val="Unresolved Mention"/>
    <w:basedOn w:val="DefaultParagraphFont"/>
    <w:uiPriority w:val="99"/>
    <w:semiHidden/>
    <w:unhideWhenUsed/>
    <w:rsid w:val="00762AF8"/>
    <w:rPr>
      <w:color w:val="808080"/>
      <w:shd w:val="clear" w:color="auto" w:fill="E6E6E6"/>
    </w:rPr>
  </w:style>
  <w:style w:type="paragraph" w:styleId="BodyText">
    <w:name w:val="Body Text"/>
    <w:basedOn w:val="Normal"/>
    <w:link w:val="BodyTextChar"/>
    <w:uiPriority w:val="1"/>
    <w:qFormat/>
    <w:rsid w:val="004B0229"/>
    <w:pPr>
      <w:widowControl w:val="0"/>
      <w:autoSpaceDE w:val="0"/>
      <w:autoSpaceDN w:val="0"/>
      <w:spacing w:after="0" w:line="240" w:lineRule="auto"/>
    </w:pPr>
    <w:rPr>
      <w:rFonts w:ascii="Calibri" w:eastAsia="Calibri" w:hAnsi="Calibri" w:cs="Calibri"/>
      <w:b/>
      <w:bCs/>
    </w:rPr>
  </w:style>
  <w:style w:type="character" w:customStyle="1" w:styleId="BodyTextChar">
    <w:name w:val="Body Text Char"/>
    <w:basedOn w:val="DefaultParagraphFont"/>
    <w:link w:val="BodyText"/>
    <w:uiPriority w:val="1"/>
    <w:rsid w:val="004B0229"/>
    <w:rPr>
      <w:rFonts w:ascii="Calibri" w:eastAsia="Calibri" w:hAnsi="Calibri" w:cs="Calibri"/>
      <w:b/>
      <w:bCs/>
    </w:rPr>
  </w:style>
  <w:style w:type="character" w:customStyle="1" w:styleId="fontstyle01">
    <w:name w:val="fontstyle01"/>
    <w:basedOn w:val="DefaultParagraphFont"/>
    <w:rsid w:val="004B0229"/>
    <w:rPr>
      <w:rFonts w:ascii="CMR10" w:hAnsi="CMR10" w:hint="default"/>
      <w:b w:val="0"/>
      <w:bCs w:val="0"/>
      <w:i w:val="0"/>
      <w:iCs w:val="0"/>
      <w:color w:val="008A73"/>
      <w:sz w:val="22"/>
      <w:szCs w:val="22"/>
    </w:rPr>
  </w:style>
  <w:style w:type="character" w:customStyle="1" w:styleId="fontstyle21">
    <w:name w:val="fontstyle21"/>
    <w:basedOn w:val="DefaultParagraphFont"/>
    <w:rsid w:val="004B0229"/>
    <w:rPr>
      <w:rFonts w:ascii="CMTI10" w:hAnsi="CMTI10" w:hint="default"/>
      <w:b w:val="0"/>
      <w:bCs w:val="0"/>
      <w:i/>
      <w:iCs/>
      <w:color w:val="008A73"/>
      <w:sz w:val="22"/>
      <w:szCs w:val="22"/>
    </w:rPr>
  </w:style>
  <w:style w:type="character" w:customStyle="1" w:styleId="fontstyle31">
    <w:name w:val="fontstyle31"/>
    <w:basedOn w:val="DefaultParagraphFont"/>
    <w:rsid w:val="004B0229"/>
    <w:rPr>
      <w:rFonts w:ascii="CMMI8" w:hAnsi="CMMI8" w:hint="default"/>
      <w:b w:val="0"/>
      <w:bCs w:val="0"/>
      <w:i/>
      <w:iCs/>
      <w:color w:val="008A73"/>
      <w:sz w:val="16"/>
      <w:szCs w:val="16"/>
    </w:rPr>
  </w:style>
  <w:style w:type="character" w:customStyle="1" w:styleId="fontstyle41">
    <w:name w:val="fontstyle41"/>
    <w:basedOn w:val="DefaultParagraphFont"/>
    <w:rsid w:val="004B0229"/>
    <w:rPr>
      <w:rFonts w:ascii="CMMI10" w:hAnsi="CMMI10" w:hint="default"/>
      <w:b w:val="0"/>
      <w:bCs w:val="0"/>
      <w:i/>
      <w:iCs/>
      <w:color w:val="008A73"/>
      <w:sz w:val="22"/>
      <w:szCs w:val="22"/>
    </w:rPr>
  </w:style>
  <w:style w:type="character" w:customStyle="1" w:styleId="fontstyle51">
    <w:name w:val="fontstyle51"/>
    <w:basedOn w:val="DefaultParagraphFont"/>
    <w:rsid w:val="004B0229"/>
    <w:rPr>
      <w:rFonts w:ascii="CMR8" w:hAnsi="CMR8" w:hint="default"/>
      <w:b w:val="0"/>
      <w:bCs w:val="0"/>
      <w:i w:val="0"/>
      <w:iCs w:val="0"/>
      <w:color w:val="008A73"/>
      <w:sz w:val="16"/>
      <w:szCs w:val="16"/>
    </w:rPr>
  </w:style>
  <w:style w:type="character" w:customStyle="1" w:styleId="fontstyle61">
    <w:name w:val="fontstyle61"/>
    <w:basedOn w:val="DefaultParagraphFont"/>
    <w:rsid w:val="004B0229"/>
    <w:rPr>
      <w:rFonts w:ascii="CMR8" w:hAnsi="CMR8" w:hint="default"/>
      <w:b w:val="0"/>
      <w:bCs w:val="0"/>
      <w:i w:val="0"/>
      <w:iCs w:val="0"/>
      <w:color w:val="008A73"/>
      <w:sz w:val="16"/>
      <w:szCs w:val="16"/>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A76559"/>
  </w:style>
  <w:style w:type="paragraph" w:customStyle="1" w:styleId="WCPFC">
    <w:name w:val="WCPFC"/>
    <w:link w:val="WCPFCChar"/>
    <w:qFormat/>
    <w:rsid w:val="00124668"/>
    <w:pPr>
      <w:numPr>
        <w:numId w:val="6"/>
      </w:numPr>
      <w:snapToGrid w:val="0"/>
      <w:spacing w:after="240" w:line="240" w:lineRule="auto"/>
      <w:jc w:val="both"/>
    </w:pPr>
    <w:rPr>
      <w:rFonts w:ascii="Times New Roman" w:eastAsiaTheme="minorEastAsia" w:hAnsi="Times New Roman"/>
      <w:color w:val="000000"/>
      <w:lang w:val="en-NZ" w:eastAsia="en-NZ"/>
    </w:rPr>
  </w:style>
  <w:style w:type="character" w:customStyle="1" w:styleId="WCPFCChar">
    <w:name w:val="WCPFC Char"/>
    <w:basedOn w:val="DefaultParagraphFont"/>
    <w:link w:val="WCPFC"/>
    <w:rsid w:val="00124668"/>
    <w:rPr>
      <w:rFonts w:ascii="Times New Roman" w:eastAsiaTheme="minorEastAsia" w:hAnsi="Times New Roman"/>
      <w:color w:val="00000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60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wcpfc.int/node/42934" TargetMode="External"/><Relationship Id="rId39" Type="http://schemas.openxmlformats.org/officeDocument/2006/relationships/hyperlink" Target="https://wcpfc.int/node/3233"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wcpfc.int/node/29430" TargetMode="External"/><Relationship Id="rId42" Type="http://schemas.openxmlformats.org/officeDocument/2006/relationships/hyperlink" Target="https://wcpfc.int/node/1225"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cpfc.int/node/42927" TargetMode="External"/><Relationship Id="rId33" Type="http://schemas.openxmlformats.org/officeDocument/2006/relationships/hyperlink" Target="https://www.wcpfc.int/node/29429" TargetMode="External"/><Relationship Id="rId38" Type="http://schemas.openxmlformats.org/officeDocument/2006/relationships/hyperlink" Target="https://www.wcpfc.int/node/2177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wcpfc.int/node/31260" TargetMode="External"/><Relationship Id="rId41" Type="http://schemas.openxmlformats.org/officeDocument/2006/relationships/hyperlink" Target="https://wcpfc.int/node/21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cpfc.int/node/26922" TargetMode="External"/><Relationship Id="rId32" Type="http://schemas.openxmlformats.org/officeDocument/2006/relationships/hyperlink" Target="https://www.wcpfc.int/node/30989" TargetMode="External"/><Relationship Id="rId37" Type="http://schemas.openxmlformats.org/officeDocument/2006/relationships/hyperlink" Target="https://wcpfc.int/node/2788" TargetMode="External"/><Relationship Id="rId40" Type="http://schemas.openxmlformats.org/officeDocument/2006/relationships/hyperlink" Target="https://wcpfc.int/node/281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wcpfc.int/node/30987" TargetMode="External"/><Relationship Id="rId36" Type="http://schemas.openxmlformats.org/officeDocument/2006/relationships/hyperlink" Target="https://www.wcpfc.int/node/2954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wcpfc.int/node/30988" TargetMode="External"/><Relationship Id="rId44" Type="http://schemas.openxmlformats.org/officeDocument/2006/relationships/hyperlink" Target="https://wcpfc.int/node/1885" TargetMode="External"/><Relationship Id="rId4" Type="http://schemas.openxmlformats.org/officeDocument/2006/relationships/settings" Target="settings.xml"/><Relationship Id="rId9" Type="http://schemas.openxmlformats.org/officeDocument/2006/relationships/hyperlink" Target="https://www.wcpfc.int/node/32155" TargetMode="External"/><Relationship Id="rId14" Type="http://schemas.openxmlformats.org/officeDocument/2006/relationships/image" Target="media/image6.png"/><Relationship Id="rId22" Type="http://schemas.openxmlformats.org/officeDocument/2006/relationships/hyperlink" Target="http://www.wcpfc.int/node/26922%20" TargetMode="External"/><Relationship Id="rId27" Type="http://schemas.openxmlformats.org/officeDocument/2006/relationships/hyperlink" Target="https://www.wcpfc.int/node/31182" TargetMode="External"/><Relationship Id="rId30" Type="http://schemas.openxmlformats.org/officeDocument/2006/relationships/hyperlink" Target="https://www.wcpfc.int/node/30986" TargetMode="External"/><Relationship Id="rId35" Type="http://schemas.openxmlformats.org/officeDocument/2006/relationships/hyperlink" Target="https://www.wcpfc.int/node/29544" TargetMode="External"/><Relationship Id="rId43" Type="http://schemas.openxmlformats.org/officeDocument/2006/relationships/hyperlink" Target="https://wcpfc.int/node/17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C672D-292E-4021-91D2-95D5411C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3112</Words>
  <Characters>17742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SungKwon Soh</cp:lastModifiedBy>
  <cp:revision>4</cp:revision>
  <dcterms:created xsi:type="dcterms:W3CDTF">2019-11-18T03:03:00Z</dcterms:created>
  <dcterms:modified xsi:type="dcterms:W3CDTF">2019-11-19T05:14:00Z</dcterms:modified>
</cp:coreProperties>
</file>