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6598" w14:textId="77777777" w:rsidR="004B05DF" w:rsidRDefault="0038238E" w:rsidP="004B05DF">
      <w:pPr>
        <w:spacing w:after="0" w:line="240" w:lineRule="auto"/>
        <w:jc w:val="center"/>
        <w:rPr>
          <w:b/>
          <w:sz w:val="36"/>
          <w:szCs w:val="36"/>
        </w:rPr>
      </w:pPr>
      <w:r>
        <w:rPr>
          <w:b/>
          <w:sz w:val="36"/>
          <w:szCs w:val="36"/>
        </w:rPr>
        <w:t xml:space="preserve">North </w:t>
      </w:r>
      <w:r w:rsidR="004B05DF" w:rsidRPr="004B05DF">
        <w:rPr>
          <w:b/>
          <w:sz w:val="36"/>
          <w:szCs w:val="36"/>
        </w:rPr>
        <w:t>Pacific Albacore Tuna (</w:t>
      </w:r>
      <w:proofErr w:type="spellStart"/>
      <w:r w:rsidR="004B05DF" w:rsidRPr="00CF0B93">
        <w:rPr>
          <w:b/>
          <w:i/>
          <w:sz w:val="36"/>
          <w:szCs w:val="36"/>
        </w:rPr>
        <w:t>Thunnus</w:t>
      </w:r>
      <w:proofErr w:type="spellEnd"/>
      <w:r w:rsidR="004B05DF" w:rsidRPr="00CF0B93">
        <w:rPr>
          <w:b/>
          <w:i/>
          <w:sz w:val="36"/>
          <w:szCs w:val="36"/>
        </w:rPr>
        <w:t xml:space="preserve"> alalonga</w:t>
      </w:r>
      <w:r w:rsidR="004B05DF" w:rsidRPr="004B05DF">
        <w:rPr>
          <w:b/>
          <w:sz w:val="36"/>
          <w:szCs w:val="36"/>
        </w:rPr>
        <w:t>)</w:t>
      </w:r>
    </w:p>
    <w:p w14:paraId="51AC4A7D"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6113EF">
        <w:rPr>
          <w:b/>
          <w:sz w:val="28"/>
          <w:szCs w:val="28"/>
        </w:rPr>
        <w:t xml:space="preserve"> </w:t>
      </w:r>
      <w:r w:rsidRPr="004B05DF">
        <w:rPr>
          <w:b/>
          <w:sz w:val="28"/>
          <w:szCs w:val="28"/>
        </w:rPr>
        <w:t>Trends</w:t>
      </w:r>
      <w:r>
        <w:rPr>
          <w:b/>
          <w:sz w:val="28"/>
          <w:szCs w:val="28"/>
        </w:rPr>
        <w:t xml:space="preserve"> plus Management Advice and Implications</w:t>
      </w:r>
    </w:p>
    <w:p w14:paraId="59B2882F"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311F46B2" w14:textId="77777777" w:rsidR="004B05DF" w:rsidRDefault="004B05DF">
          <w:pPr>
            <w:pStyle w:val="TOCHeading"/>
          </w:pPr>
          <w:r>
            <w:t>Contents</w:t>
          </w:r>
        </w:p>
        <w:p w14:paraId="401B12C0" w14:textId="153B6AE0" w:rsidR="002273A0"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79885" w:history="1">
            <w:r w:rsidR="002273A0" w:rsidRPr="008E3420">
              <w:rPr>
                <w:rStyle w:val="Hyperlink"/>
                <w:noProof/>
              </w:rPr>
              <w:t>SC14 2018</w:t>
            </w:r>
            <w:r w:rsidR="002273A0">
              <w:rPr>
                <w:noProof/>
                <w:webHidden/>
              </w:rPr>
              <w:tab/>
            </w:r>
            <w:r w:rsidR="002273A0">
              <w:rPr>
                <w:noProof/>
                <w:webHidden/>
              </w:rPr>
              <w:fldChar w:fldCharType="begin"/>
            </w:r>
            <w:r w:rsidR="002273A0">
              <w:rPr>
                <w:noProof/>
                <w:webHidden/>
              </w:rPr>
              <w:instrText xml:space="preserve"> PAGEREF _Toc522779885 \h </w:instrText>
            </w:r>
            <w:r w:rsidR="002273A0">
              <w:rPr>
                <w:noProof/>
                <w:webHidden/>
              </w:rPr>
            </w:r>
            <w:r w:rsidR="002273A0">
              <w:rPr>
                <w:noProof/>
                <w:webHidden/>
              </w:rPr>
              <w:fldChar w:fldCharType="separate"/>
            </w:r>
            <w:r w:rsidR="002273A0">
              <w:rPr>
                <w:noProof/>
                <w:webHidden/>
              </w:rPr>
              <w:t>1</w:t>
            </w:r>
            <w:r w:rsidR="002273A0">
              <w:rPr>
                <w:noProof/>
                <w:webHidden/>
              </w:rPr>
              <w:fldChar w:fldCharType="end"/>
            </w:r>
          </w:hyperlink>
        </w:p>
        <w:p w14:paraId="69AB2E62" w14:textId="71F0F77F" w:rsidR="002273A0" w:rsidRDefault="002273A0">
          <w:pPr>
            <w:pStyle w:val="TOC1"/>
            <w:tabs>
              <w:tab w:val="right" w:leader="dot" w:pos="9350"/>
            </w:tabs>
            <w:rPr>
              <w:rFonts w:eastAsiaTheme="minorEastAsia"/>
              <w:noProof/>
              <w:lang w:val="en-GB" w:eastAsia="en-GB"/>
            </w:rPr>
          </w:pPr>
          <w:hyperlink w:anchor="_Toc522779886" w:history="1">
            <w:r w:rsidRPr="008E3420">
              <w:rPr>
                <w:rStyle w:val="Hyperlink"/>
                <w:noProof/>
              </w:rPr>
              <w:t>SC13 2017 (STOCK ASSESSMENT CONDUCTED)</w:t>
            </w:r>
            <w:r>
              <w:rPr>
                <w:noProof/>
                <w:webHidden/>
              </w:rPr>
              <w:tab/>
            </w:r>
            <w:r>
              <w:rPr>
                <w:noProof/>
                <w:webHidden/>
              </w:rPr>
              <w:fldChar w:fldCharType="begin"/>
            </w:r>
            <w:r>
              <w:rPr>
                <w:noProof/>
                <w:webHidden/>
              </w:rPr>
              <w:instrText xml:space="preserve"> PAGEREF _Toc522779886 \h </w:instrText>
            </w:r>
            <w:r>
              <w:rPr>
                <w:noProof/>
                <w:webHidden/>
              </w:rPr>
            </w:r>
            <w:r>
              <w:rPr>
                <w:noProof/>
                <w:webHidden/>
              </w:rPr>
              <w:fldChar w:fldCharType="separate"/>
            </w:r>
            <w:r>
              <w:rPr>
                <w:noProof/>
                <w:webHidden/>
              </w:rPr>
              <w:t>2</w:t>
            </w:r>
            <w:r>
              <w:rPr>
                <w:noProof/>
                <w:webHidden/>
              </w:rPr>
              <w:fldChar w:fldCharType="end"/>
            </w:r>
          </w:hyperlink>
        </w:p>
        <w:p w14:paraId="671F4F40" w14:textId="37B15148" w:rsidR="002273A0" w:rsidRDefault="002273A0">
          <w:pPr>
            <w:pStyle w:val="TOC1"/>
            <w:tabs>
              <w:tab w:val="right" w:leader="dot" w:pos="9350"/>
            </w:tabs>
            <w:rPr>
              <w:rFonts w:eastAsiaTheme="minorEastAsia"/>
              <w:noProof/>
              <w:lang w:val="en-GB" w:eastAsia="en-GB"/>
            </w:rPr>
          </w:pPr>
          <w:hyperlink w:anchor="_Toc522779887" w:history="1">
            <w:r w:rsidRPr="008E3420">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_Toc522779887 \h </w:instrText>
            </w:r>
            <w:r>
              <w:rPr>
                <w:noProof/>
                <w:webHidden/>
              </w:rPr>
            </w:r>
            <w:r>
              <w:rPr>
                <w:noProof/>
                <w:webHidden/>
              </w:rPr>
              <w:fldChar w:fldCharType="separate"/>
            </w:r>
            <w:r>
              <w:rPr>
                <w:noProof/>
                <w:webHidden/>
              </w:rPr>
              <w:t>4</w:t>
            </w:r>
            <w:r>
              <w:rPr>
                <w:noProof/>
                <w:webHidden/>
              </w:rPr>
              <w:fldChar w:fldCharType="end"/>
            </w:r>
          </w:hyperlink>
        </w:p>
        <w:p w14:paraId="37302870" w14:textId="3BC92998" w:rsidR="002273A0" w:rsidRDefault="002273A0">
          <w:pPr>
            <w:pStyle w:val="TOC1"/>
            <w:tabs>
              <w:tab w:val="right" w:leader="dot" w:pos="9350"/>
            </w:tabs>
            <w:rPr>
              <w:rFonts w:eastAsiaTheme="minorEastAsia"/>
              <w:noProof/>
              <w:lang w:val="en-GB" w:eastAsia="en-GB"/>
            </w:rPr>
          </w:pPr>
          <w:hyperlink w:anchor="_Toc522779888" w:history="1">
            <w:r w:rsidRPr="008E3420">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_Toc522779888 \h </w:instrText>
            </w:r>
            <w:r>
              <w:rPr>
                <w:noProof/>
                <w:webHidden/>
              </w:rPr>
            </w:r>
            <w:r>
              <w:rPr>
                <w:noProof/>
                <w:webHidden/>
              </w:rPr>
              <w:fldChar w:fldCharType="separate"/>
            </w:r>
            <w:r>
              <w:rPr>
                <w:noProof/>
                <w:webHidden/>
              </w:rPr>
              <w:t>4</w:t>
            </w:r>
            <w:r>
              <w:rPr>
                <w:noProof/>
                <w:webHidden/>
              </w:rPr>
              <w:fldChar w:fldCharType="end"/>
            </w:r>
          </w:hyperlink>
        </w:p>
        <w:p w14:paraId="2EEE6C1D" w14:textId="10DE6D7D" w:rsidR="004B05DF" w:rsidRDefault="004B05DF">
          <w:r>
            <w:rPr>
              <w:b/>
              <w:bCs/>
              <w:noProof/>
            </w:rPr>
            <w:fldChar w:fldCharType="end"/>
          </w:r>
        </w:p>
      </w:sdtContent>
    </w:sdt>
    <w:p w14:paraId="50DF8455" w14:textId="49A8F24B" w:rsidR="0045382F" w:rsidRDefault="0045382F" w:rsidP="0045382F">
      <w:pPr>
        <w:pStyle w:val="Heading1"/>
        <w:rPr>
          <w:b/>
          <w:sz w:val="24"/>
          <w:szCs w:val="24"/>
        </w:rPr>
      </w:pPr>
      <w:bookmarkStart w:id="0" w:name="_Toc522779885"/>
      <w:r>
        <w:t>SC1</w:t>
      </w:r>
      <w:r>
        <w:t>4</w:t>
      </w:r>
      <w:r>
        <w:t xml:space="preserve"> 201</w:t>
      </w:r>
      <w:r>
        <w:t>8</w:t>
      </w:r>
      <w:bookmarkEnd w:id="0"/>
    </w:p>
    <w:p w14:paraId="411A75F6" w14:textId="77777777" w:rsidR="0045382F" w:rsidRDefault="0045382F" w:rsidP="0045382F">
      <w:pPr>
        <w:tabs>
          <w:tab w:val="left" w:pos="820"/>
        </w:tabs>
        <w:rPr>
          <w:b/>
          <w:sz w:val="24"/>
          <w:szCs w:val="24"/>
        </w:rPr>
      </w:pPr>
      <w:bookmarkStart w:id="1" w:name="_GoBack"/>
      <w:bookmarkEnd w:id="1"/>
    </w:p>
    <w:p w14:paraId="50930442" w14:textId="29E4944F" w:rsidR="0045382F" w:rsidRPr="002828C2" w:rsidRDefault="0045382F" w:rsidP="0045382F">
      <w:pPr>
        <w:tabs>
          <w:tab w:val="left" w:pos="820"/>
        </w:tabs>
        <w:rPr>
          <w:b/>
          <w:sz w:val="24"/>
          <w:szCs w:val="24"/>
        </w:rPr>
      </w:pPr>
      <w:r w:rsidRPr="002828C2">
        <w:rPr>
          <w:b/>
          <w:sz w:val="24"/>
          <w:szCs w:val="24"/>
        </w:rPr>
        <w:t xml:space="preserve">Stock </w:t>
      </w:r>
      <w:r>
        <w:rPr>
          <w:b/>
          <w:sz w:val="24"/>
          <w:szCs w:val="24"/>
        </w:rPr>
        <w:t>Status</w:t>
      </w:r>
    </w:p>
    <w:p w14:paraId="1F27BABC" w14:textId="5A95767B" w:rsidR="0045382F" w:rsidRPr="00CC0C46" w:rsidRDefault="0045382F" w:rsidP="0045382F">
      <w:pPr>
        <w:pStyle w:val="ListParagraph"/>
        <w:tabs>
          <w:tab w:val="left" w:pos="820"/>
        </w:tabs>
        <w:ind w:left="0" w:right="116"/>
        <w:rPr>
          <w:b/>
        </w:rPr>
      </w:pPr>
      <w:r>
        <w:rPr>
          <w:b/>
        </w:rPr>
        <w:tab/>
      </w:r>
      <w:r w:rsidRPr="00CC0C46">
        <w:rPr>
          <w:b/>
        </w:rPr>
        <w:t xml:space="preserve">SC14 noted that no stock assessments were conducted for </w:t>
      </w:r>
      <w:r>
        <w:rPr>
          <w:b/>
        </w:rPr>
        <w:t>N</w:t>
      </w:r>
      <w:r w:rsidRPr="00CC0C46">
        <w:rPr>
          <w:b/>
        </w:rPr>
        <w:t xml:space="preserve">orth Pacific </w:t>
      </w:r>
      <w:r>
        <w:rPr>
          <w:b/>
        </w:rPr>
        <w:t>albacore</w:t>
      </w:r>
      <w:r w:rsidRPr="00CC0C46">
        <w:rPr>
          <w:b/>
        </w:rPr>
        <w:t xml:space="preserve"> in 2018. Therefore, the stock status descriptions from SC13 are still current for </w:t>
      </w:r>
      <w:r>
        <w:rPr>
          <w:b/>
        </w:rPr>
        <w:t>N</w:t>
      </w:r>
      <w:r w:rsidRPr="00CC0C46">
        <w:rPr>
          <w:b/>
        </w:rPr>
        <w:t xml:space="preserve">orth Pacific </w:t>
      </w:r>
      <w:r>
        <w:rPr>
          <w:b/>
        </w:rPr>
        <w:t>albacore</w:t>
      </w:r>
      <w:r w:rsidRPr="00CC0C46">
        <w:rPr>
          <w:b/>
        </w:rPr>
        <w:t>. Updated information on catches was not compiled for and reviewed by</w:t>
      </w:r>
      <w:r w:rsidRPr="00CC0C46">
        <w:rPr>
          <w:b/>
          <w:spacing w:val="-19"/>
        </w:rPr>
        <w:t xml:space="preserve"> </w:t>
      </w:r>
      <w:r w:rsidRPr="00CC0C46">
        <w:rPr>
          <w:b/>
        </w:rPr>
        <w:t>SC14.</w:t>
      </w:r>
      <w:r>
        <w:rPr>
          <w:b/>
        </w:rPr>
        <w:t xml:space="preserve"> </w:t>
      </w:r>
    </w:p>
    <w:p w14:paraId="5233840E" w14:textId="77777777" w:rsidR="0045382F" w:rsidRPr="002828C2" w:rsidRDefault="0045382F" w:rsidP="0045382F">
      <w:pPr>
        <w:pStyle w:val="BodyText"/>
        <w:spacing w:before="7"/>
        <w:rPr>
          <w:sz w:val="24"/>
          <w:szCs w:val="24"/>
        </w:rPr>
      </w:pPr>
    </w:p>
    <w:p w14:paraId="1D5DEB0C" w14:textId="5DDF0135" w:rsidR="0045382F" w:rsidRPr="002828C2" w:rsidRDefault="0045382F" w:rsidP="0045382F">
      <w:pPr>
        <w:tabs>
          <w:tab w:val="left" w:pos="820"/>
        </w:tabs>
        <w:rPr>
          <w:b/>
          <w:sz w:val="24"/>
          <w:szCs w:val="24"/>
        </w:rPr>
      </w:pPr>
      <w:r w:rsidRPr="002828C2">
        <w:rPr>
          <w:b/>
          <w:sz w:val="24"/>
          <w:szCs w:val="24"/>
        </w:rPr>
        <w:t xml:space="preserve">Management </w:t>
      </w:r>
      <w:r>
        <w:rPr>
          <w:b/>
          <w:sz w:val="24"/>
          <w:szCs w:val="24"/>
        </w:rPr>
        <w:t>Advice</w:t>
      </w:r>
    </w:p>
    <w:p w14:paraId="370EFCA8" w14:textId="77777777" w:rsidR="0045382F" w:rsidRDefault="0045382F" w:rsidP="0045382F">
      <w:pPr>
        <w:jc w:val="both"/>
      </w:pPr>
      <w:r w:rsidRPr="00662464">
        <w:rPr>
          <w:rFonts w:cs="Times New Roman"/>
          <w:b/>
        </w:rPr>
        <w:t>SC1</w:t>
      </w:r>
      <w:r>
        <w:rPr>
          <w:rFonts w:cs="Times New Roman"/>
          <w:b/>
        </w:rPr>
        <w:t>4</w:t>
      </w:r>
      <w:r w:rsidRPr="00662464">
        <w:rPr>
          <w:rFonts w:cs="Times New Roman"/>
          <w:b/>
        </w:rPr>
        <w:t xml:space="preserve"> noted that no management advice has been provided since SC1</w:t>
      </w:r>
      <w:r>
        <w:rPr>
          <w:rFonts w:cs="Times New Roman"/>
          <w:b/>
        </w:rPr>
        <w:t>3</w:t>
      </w:r>
      <w:r w:rsidRPr="00B874D2">
        <w:rPr>
          <w:b/>
          <w:sz w:val="24"/>
          <w:szCs w:val="24"/>
        </w:rPr>
        <w:t xml:space="preserve"> </w:t>
      </w:r>
      <w:r w:rsidRPr="002828C2">
        <w:rPr>
          <w:b/>
          <w:sz w:val="24"/>
          <w:szCs w:val="24"/>
        </w:rPr>
        <w:t xml:space="preserve">for </w:t>
      </w:r>
      <w:r>
        <w:rPr>
          <w:b/>
          <w:sz w:val="24"/>
          <w:szCs w:val="24"/>
        </w:rPr>
        <w:t>North Pacific albacore</w:t>
      </w:r>
      <w:r w:rsidRPr="00662464">
        <w:rPr>
          <w:rFonts w:cs="Times New Roman"/>
          <w:b/>
        </w:rPr>
        <w:t>. Therefore, the advice from SC1</w:t>
      </w:r>
      <w:r>
        <w:rPr>
          <w:rFonts w:cs="Times New Roman"/>
          <w:b/>
        </w:rPr>
        <w:t>3</w:t>
      </w:r>
      <w:r w:rsidRPr="00662464">
        <w:rPr>
          <w:rFonts w:cs="Times New Roman"/>
          <w:b/>
        </w:rPr>
        <w:t xml:space="preserve"> should be maintained, pending a new assessment or other new information.</w:t>
      </w:r>
      <w:bookmarkStart w:id="2" w:name="_Hlk521944878"/>
      <w:r w:rsidRPr="00662464">
        <w:rPr>
          <w:rFonts w:cs="Times New Roman"/>
          <w:b/>
        </w:rPr>
        <w:t xml:space="preserve"> For further information on the management advice and implications from SC1</w:t>
      </w:r>
      <w:r>
        <w:rPr>
          <w:rFonts w:cs="Times New Roman"/>
          <w:b/>
        </w:rPr>
        <w:t>3</w:t>
      </w:r>
      <w:r w:rsidRPr="00662464">
        <w:rPr>
          <w:rFonts w:cs="Times New Roman"/>
          <w:b/>
        </w:rPr>
        <w:t>, please se</w:t>
      </w:r>
      <w:bookmarkEnd w:id="2"/>
      <w:r>
        <w:rPr>
          <w:rFonts w:cs="Times New Roman"/>
          <w:b/>
        </w:rPr>
        <w:t>e below.</w:t>
      </w:r>
    </w:p>
    <w:p w14:paraId="715C5CC0" w14:textId="77777777" w:rsidR="0045382F" w:rsidRDefault="0045382F" w:rsidP="004B05DF">
      <w:pPr>
        <w:pStyle w:val="Heading1"/>
      </w:pPr>
    </w:p>
    <w:p w14:paraId="018DB515" w14:textId="77777777" w:rsidR="0045382F" w:rsidRDefault="0045382F" w:rsidP="004B05DF">
      <w:pPr>
        <w:pStyle w:val="Heading1"/>
      </w:pPr>
    </w:p>
    <w:p w14:paraId="2B575635" w14:textId="77777777" w:rsidR="0045382F" w:rsidRDefault="0045382F" w:rsidP="004B05DF">
      <w:pPr>
        <w:pStyle w:val="Heading1"/>
      </w:pPr>
    </w:p>
    <w:p w14:paraId="52F2C6C2" w14:textId="77777777" w:rsidR="0045382F" w:rsidRDefault="0045382F">
      <w:pPr>
        <w:rPr>
          <w:rFonts w:asciiTheme="majorHAnsi" w:eastAsiaTheme="majorEastAsia" w:hAnsiTheme="majorHAnsi" w:cstheme="majorBidi"/>
          <w:color w:val="2F5496" w:themeColor="accent1" w:themeShade="BF"/>
          <w:sz w:val="32"/>
          <w:szCs w:val="32"/>
        </w:rPr>
      </w:pPr>
      <w:bookmarkStart w:id="3" w:name="_Hlk522779638"/>
      <w:r>
        <w:br w:type="page"/>
      </w:r>
    </w:p>
    <w:p w14:paraId="0BB65068" w14:textId="2FB52254" w:rsidR="004B05DF" w:rsidRPr="004B05DF" w:rsidRDefault="004B05DF" w:rsidP="004B05DF">
      <w:pPr>
        <w:pStyle w:val="Heading1"/>
      </w:pPr>
      <w:bookmarkStart w:id="4" w:name="_Toc522779886"/>
      <w:r>
        <w:lastRenderedPageBreak/>
        <w:t xml:space="preserve">SC13 2017 </w:t>
      </w:r>
      <w:r w:rsidR="0038238E">
        <w:t>(STOCK ASSESSMENT CONDUCTED)</w:t>
      </w:r>
      <w:bookmarkEnd w:id="4"/>
    </w:p>
    <w:bookmarkEnd w:id="3"/>
    <w:p w14:paraId="6C375E46" w14:textId="77777777" w:rsidR="004B05DF" w:rsidRDefault="004B05DF" w:rsidP="004B05DF">
      <w:pPr>
        <w:spacing w:after="0" w:line="240" w:lineRule="auto"/>
      </w:pPr>
    </w:p>
    <w:p w14:paraId="2328A1FC" w14:textId="77777777" w:rsidR="0038238E" w:rsidRPr="009C2ADD" w:rsidRDefault="0038238E" w:rsidP="0038238E">
      <w:pPr>
        <w:pStyle w:val="WCPFC"/>
      </w:pPr>
      <w:r w:rsidRPr="009C2ADD">
        <w:t xml:space="preserve">ISC presented working paper </w:t>
      </w:r>
      <w:r w:rsidRPr="009C2ADD">
        <w:rPr>
          <w:b/>
        </w:rPr>
        <w:t>SC13-SA-WP-09</w:t>
      </w:r>
      <w:r w:rsidRPr="009C2ADD">
        <w:t xml:space="preserve"> Stock assessment of albacore tuna in the North Pacific Ocean in 2017.</w:t>
      </w:r>
    </w:p>
    <w:p w14:paraId="68DB1271" w14:textId="77777777" w:rsidR="0038238E" w:rsidRPr="009C2ADD" w:rsidRDefault="0038238E" w:rsidP="0038238E">
      <w:pPr>
        <w:pStyle w:val="ListParagraph"/>
        <w:numPr>
          <w:ilvl w:val="0"/>
          <w:numId w:val="4"/>
        </w:numPr>
        <w:adjustRightInd w:val="0"/>
        <w:snapToGrid w:val="0"/>
        <w:ind w:left="0" w:firstLine="0"/>
        <w:contextualSpacing w:val="0"/>
        <w:rPr>
          <w:rFonts w:ascii="Times New Roman" w:eastAsia="Batang" w:hAnsi="Times New Roman"/>
          <w:b/>
          <w:lang w:eastAsia="ko-KR"/>
        </w:rPr>
      </w:pPr>
      <w:r w:rsidRPr="009C2ADD">
        <w:rPr>
          <w:rFonts w:ascii="Times New Roman" w:eastAsia="Batang" w:hAnsi="Times New Roman"/>
          <w:b/>
          <w:lang w:eastAsia="ko-KR"/>
        </w:rPr>
        <w:t xml:space="preserve">Status and trends </w:t>
      </w:r>
    </w:p>
    <w:p w14:paraId="375F6759" w14:textId="77777777" w:rsidR="0038238E" w:rsidRPr="009C2ADD" w:rsidRDefault="0038238E" w:rsidP="0038238E">
      <w:pPr>
        <w:adjustRightInd w:val="0"/>
        <w:snapToGrid w:val="0"/>
        <w:spacing w:after="0"/>
        <w:ind w:left="1440"/>
        <w:rPr>
          <w:rFonts w:ascii="Times New Roman" w:eastAsia="Batang" w:hAnsi="Times New Roman"/>
          <w:highlight w:val="green"/>
          <w:lang w:eastAsia="ko-KR"/>
        </w:rPr>
      </w:pPr>
    </w:p>
    <w:p w14:paraId="620C8331" w14:textId="77777777" w:rsidR="0038238E" w:rsidRPr="009C2ADD" w:rsidRDefault="0038238E" w:rsidP="0038238E">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the ISC provided the following conclusions on the stock status of North Pacific albacore.</w:t>
      </w:r>
    </w:p>
    <w:p w14:paraId="1511E20B" w14:textId="77777777" w:rsidR="0038238E" w:rsidRPr="009C2ADD" w:rsidRDefault="0038238E" w:rsidP="0038238E">
      <w:pPr>
        <w:autoSpaceDE w:val="0"/>
        <w:autoSpaceDN w:val="0"/>
        <w:adjustRightInd w:val="0"/>
        <w:snapToGrid w:val="0"/>
        <w:spacing w:after="0"/>
        <w:rPr>
          <w:rFonts w:ascii="Times New Roman" w:hAnsi="Times New Roman"/>
          <w:b/>
          <w:lang w:val="en-AU"/>
        </w:rPr>
      </w:pPr>
    </w:p>
    <w:p w14:paraId="6A198168" w14:textId="77777777" w:rsidR="0038238E" w:rsidRPr="009C2ADD" w:rsidRDefault="0038238E" w:rsidP="0038238E">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Stock status is depicted in relation to the limit reference point (LRP; 20%SSBcurrent, F=0) for the stock and the equivalent fishing intensity (F20%; calculated as 1-SPR20%) (Fig. NPALB-1). Fishing intensity (F, calculated as 1-SPR) is a measure of fishing mortality expressed as the decline in the proportion of the spawning biomass produced by each recruit relative to the unfished state. For example, a fishing intensity of 0.8 will result in a SSB of approximately 20% of SSB0 over the long run. Fishing intensity is considered a proxy of fishing mortality.</w:t>
      </w:r>
    </w:p>
    <w:p w14:paraId="6F866292" w14:textId="77777777" w:rsidR="0038238E" w:rsidRPr="009C2ADD" w:rsidRDefault="0038238E" w:rsidP="0038238E">
      <w:pPr>
        <w:pStyle w:val="ListParagraph"/>
        <w:adjustRightInd w:val="0"/>
        <w:snapToGrid w:val="0"/>
        <w:contextualSpacing w:val="0"/>
        <w:rPr>
          <w:rFonts w:ascii="Times New Roman" w:hAnsi="Times New Roman"/>
          <w:lang w:val="en-AU"/>
        </w:rPr>
      </w:pPr>
    </w:p>
    <w:p w14:paraId="11807B8B" w14:textId="77777777" w:rsidR="0038238E" w:rsidRPr="009C2ADD" w:rsidRDefault="0038238E" w:rsidP="0038238E">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The Kobe plot shows that the estimated female SSB has never fallen below the LRP since 1993, albeit with large uncertainty in the terminal year (2015) estimates. Even when alternative hypotheses about key model uncertainties such as natural mortality and growth were evaluated, the point estimate of female SSB in 2015 (SSB2015) did not fall below the LRP, although the risk increases with these more extreme assumptions (Figure NPALB-1). The SSB2015 was estimated to be 80,618 t and was 2.47 times greater than the LRP threshold of 32,614 t (Table ES1). Current fishing intensity, F2012-2014 (calculated as 1- SPR2012-2014), was lower than potential F-based reference points identified for the north Pacific albacore stock, except F50% (calculated as 1-SPR50%) (Table NPALB-1).  Based on these findings, the following information on the status of the north Pacific albacore stock is provided:</w:t>
      </w:r>
    </w:p>
    <w:p w14:paraId="09104AC2" w14:textId="77777777" w:rsidR="0038238E" w:rsidRPr="009C2ADD" w:rsidRDefault="0038238E" w:rsidP="0038238E">
      <w:pPr>
        <w:numPr>
          <w:ilvl w:val="0"/>
          <w:numId w:val="3"/>
        </w:numPr>
        <w:autoSpaceDE w:val="0"/>
        <w:autoSpaceDN w:val="0"/>
        <w:adjustRightInd w:val="0"/>
        <w:snapToGrid w:val="0"/>
        <w:spacing w:after="0" w:line="240" w:lineRule="auto"/>
        <w:ind w:left="1321" w:hanging="357"/>
        <w:jc w:val="both"/>
        <w:rPr>
          <w:rFonts w:ascii="Times New Roman" w:hAnsi="Times New Roman"/>
          <w:lang w:val="en-AU"/>
        </w:rPr>
      </w:pPr>
      <w:r w:rsidRPr="009C2ADD">
        <w:rPr>
          <w:rFonts w:ascii="Times New Roman" w:hAnsi="Times New Roman"/>
          <w:lang w:val="en-AU"/>
        </w:rPr>
        <w:t xml:space="preserve">The stock is likely not overfished relative to the limit reference point adopted by the Western and Central Pacific Fisheries Commission (20%SSBcurrent F=0), and </w:t>
      </w:r>
    </w:p>
    <w:p w14:paraId="51109DFC" w14:textId="77777777" w:rsidR="0038238E" w:rsidRPr="009C2ADD" w:rsidRDefault="0038238E" w:rsidP="0038238E">
      <w:pPr>
        <w:numPr>
          <w:ilvl w:val="0"/>
          <w:numId w:val="3"/>
        </w:numPr>
        <w:autoSpaceDE w:val="0"/>
        <w:autoSpaceDN w:val="0"/>
        <w:adjustRightInd w:val="0"/>
        <w:snapToGrid w:val="0"/>
        <w:spacing w:after="0" w:line="240" w:lineRule="auto"/>
        <w:ind w:left="1321" w:hanging="357"/>
        <w:jc w:val="both"/>
        <w:rPr>
          <w:rFonts w:ascii="Times New Roman" w:hAnsi="Times New Roman"/>
          <w:lang w:val="en-AU"/>
        </w:rPr>
      </w:pPr>
      <w:bookmarkStart w:id="5" w:name="_Hlk495391093"/>
      <w:r w:rsidRPr="009C2ADD">
        <w:rPr>
          <w:rFonts w:ascii="Times New Roman" w:hAnsi="Times New Roman"/>
          <w:lang w:val="en-AU"/>
        </w:rPr>
        <w:t>No F-based reference points have been adopted to evaluate overfishing</w:t>
      </w:r>
      <w:bookmarkEnd w:id="5"/>
      <w:r w:rsidRPr="009C2ADD">
        <w:rPr>
          <w:rFonts w:ascii="Times New Roman" w:hAnsi="Times New Roman"/>
          <w:lang w:val="en-AU"/>
        </w:rPr>
        <w:t>. Stock status was evaluated against seven potential reference points. Current fishing intensity (F2012-2014) is below six of the seven reference points (see ratios in Table ES-1), except F50%.</w:t>
      </w:r>
    </w:p>
    <w:p w14:paraId="0589BE84" w14:textId="77777777" w:rsidR="0038238E" w:rsidRPr="009C2ADD" w:rsidRDefault="0038238E" w:rsidP="0038238E">
      <w:pPr>
        <w:adjustRightInd w:val="0"/>
        <w:snapToGrid w:val="0"/>
        <w:spacing w:after="0"/>
        <w:rPr>
          <w:rFonts w:ascii="Times New Roman" w:eastAsia="Batang" w:hAnsi="Times New Roman"/>
          <w:b/>
          <w:lang w:eastAsia="ko-KR"/>
        </w:rPr>
      </w:pPr>
    </w:p>
    <w:p w14:paraId="105E8BFF" w14:textId="77777777" w:rsidR="0038238E" w:rsidRPr="009C2ADD" w:rsidRDefault="0038238E" w:rsidP="0038238E">
      <w:pPr>
        <w:pStyle w:val="ListParagraph"/>
        <w:numPr>
          <w:ilvl w:val="0"/>
          <w:numId w:val="4"/>
        </w:numPr>
        <w:adjustRightInd w:val="0"/>
        <w:snapToGrid w:val="0"/>
        <w:ind w:left="0" w:firstLine="0"/>
        <w:contextualSpacing w:val="0"/>
        <w:rPr>
          <w:rFonts w:ascii="Times New Roman" w:eastAsia="Batang" w:hAnsi="Times New Roman"/>
          <w:b/>
          <w:lang w:eastAsia="ko-KR"/>
        </w:rPr>
      </w:pPr>
      <w:r w:rsidRPr="009C2ADD">
        <w:rPr>
          <w:rFonts w:ascii="Times New Roman" w:eastAsia="Batang" w:hAnsi="Times New Roman"/>
          <w:b/>
          <w:lang w:eastAsia="ko-KR"/>
        </w:rPr>
        <w:t xml:space="preserve">Management advice and implications </w:t>
      </w:r>
    </w:p>
    <w:p w14:paraId="162D7867" w14:textId="77777777" w:rsidR="0038238E" w:rsidRPr="009C2ADD" w:rsidRDefault="0038238E" w:rsidP="0038238E">
      <w:pPr>
        <w:adjustRightInd w:val="0"/>
        <w:snapToGrid w:val="0"/>
        <w:spacing w:after="0"/>
        <w:rPr>
          <w:rFonts w:ascii="Times New Roman" w:eastAsia="Malgun Gothic" w:hAnsi="Times New Roman"/>
          <w:lang w:eastAsia="ko-KR"/>
        </w:rPr>
      </w:pPr>
    </w:p>
    <w:p w14:paraId="6970B4D3" w14:textId="77777777" w:rsidR="0038238E" w:rsidRPr="009C2ADD" w:rsidRDefault="0038238E" w:rsidP="0038238E">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SC13 noted the following conservation information from the ISC.</w:t>
      </w:r>
    </w:p>
    <w:p w14:paraId="23D5DF57" w14:textId="77777777" w:rsidR="0038238E" w:rsidRPr="009C2ADD" w:rsidRDefault="0038238E" w:rsidP="0038238E">
      <w:pPr>
        <w:autoSpaceDE w:val="0"/>
        <w:autoSpaceDN w:val="0"/>
        <w:adjustRightInd w:val="0"/>
        <w:snapToGrid w:val="0"/>
        <w:spacing w:after="0"/>
        <w:rPr>
          <w:rFonts w:ascii="Times New Roman" w:hAnsi="Times New Roman"/>
          <w:lang w:val="en-AU"/>
        </w:rPr>
      </w:pPr>
    </w:p>
    <w:p w14:paraId="5EE5DA88" w14:textId="77777777" w:rsidR="0038238E" w:rsidRPr="009C2ADD" w:rsidRDefault="0038238E" w:rsidP="0038238E">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The current exploitation level (F2010–2012) is estimated to be below that of F2002–2004, which led to the implementation of conservation and management measures (CMMs) for the North Pacific albacore stock in the EPO (IATTC Resolution C-05-02 supplemented by Resolution C-13-03) and the WCNPO (WCPFC CMM 2005-03). Assuming average historical recruitment and fishing at a constant current F, median female SSB is expected to remain relatively stable between the 25th and median historical percentiles over both the short- and long-term, with a 13% probability that female SSB falls below the SSB-ATHL threshold during a 25-year projection period. In contrast, if a low recruitment scenario is assumed, then median female SSB declines under both harvest scenarios (constant F2010–2012, constant F2002–2004) and the probability that it falls below the SSB-ATHL threshold in the 25-year projection period increases to 65% as calculated by the ALBWG and noted above. The high recruitment scenario is more optimistic, with median future SSB increasing above the historical median SSB and the estimated probability of falling below the SSB-ATHL threshold is correspondingly low at 3%.</w:t>
      </w:r>
    </w:p>
    <w:p w14:paraId="32FD69A6" w14:textId="77777777" w:rsidR="0038238E" w:rsidRPr="009C2ADD" w:rsidRDefault="0038238E" w:rsidP="0038238E">
      <w:pPr>
        <w:pStyle w:val="WCPFC"/>
        <w:numPr>
          <w:ilvl w:val="0"/>
          <w:numId w:val="0"/>
        </w:numPr>
        <w:adjustRightInd w:val="0"/>
        <w:spacing w:after="0"/>
      </w:pPr>
    </w:p>
    <w:tbl>
      <w:tblPr>
        <w:tblW w:w="0" w:type="auto"/>
        <w:jc w:val="center"/>
        <w:tblLook w:val="04A0" w:firstRow="1" w:lastRow="0" w:firstColumn="1" w:lastColumn="0" w:noHBand="0" w:noVBand="1"/>
      </w:tblPr>
      <w:tblGrid>
        <w:gridCol w:w="3782"/>
        <w:gridCol w:w="1350"/>
        <w:gridCol w:w="1350"/>
        <w:gridCol w:w="1869"/>
      </w:tblGrid>
      <w:tr w:rsidR="0038238E" w:rsidRPr="009C2ADD" w14:paraId="0843FB97" w14:textId="77777777" w:rsidTr="00D72A91">
        <w:trPr>
          <w:jc w:val="center"/>
        </w:trPr>
        <w:tc>
          <w:tcPr>
            <w:tcW w:w="8351" w:type="dxa"/>
            <w:gridSpan w:val="4"/>
            <w:tcBorders>
              <w:bottom w:val="single" w:sz="12" w:space="0" w:color="auto"/>
            </w:tcBorders>
            <w:shd w:val="clear" w:color="auto" w:fill="auto"/>
          </w:tcPr>
          <w:p w14:paraId="3ECAE1C4"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lastRenderedPageBreak/>
              <w:br w:type="page"/>
            </w:r>
            <w:r w:rsidRPr="009C2ADD">
              <w:rPr>
                <w:rFonts w:ascii="Times New Roman" w:eastAsia="Batang" w:hAnsi="Times New Roman"/>
                <w:lang w:eastAsia="ko-KR" w:bidi="th-TH"/>
              </w:rPr>
              <w:br w:type="page"/>
            </w:r>
            <w:bookmarkStart w:id="6" w:name="_Hlk491599484"/>
            <w:r w:rsidRPr="009C2ADD">
              <w:rPr>
                <w:rFonts w:ascii="Times New Roman" w:eastAsia="Batang" w:hAnsi="Times New Roman"/>
                <w:b/>
                <w:lang w:eastAsia="ko-KR" w:bidi="th-TH"/>
              </w:rPr>
              <w:t>Table NPALB-1</w:t>
            </w:r>
            <w:r w:rsidRPr="009C2ADD">
              <w:rPr>
                <w:rFonts w:ascii="Times New Roman" w:eastAsia="Batang" w:hAnsi="Times New Roman"/>
                <w:lang w:eastAsia="ko-KR" w:bidi="th-TH"/>
              </w:rPr>
              <w:t>. Estimates of maximum sustainable yield (MSY), female spawning biomass (SSB) quantities, and fishing intensity (F) based reference point ratios for north Pacific albacore tuna for the base case assessment and important sensitivity analyses</w:t>
            </w:r>
            <w:bookmarkEnd w:id="6"/>
            <w:r w:rsidRPr="009C2ADD">
              <w:rPr>
                <w:rFonts w:ascii="Times New Roman" w:eastAsia="Batang" w:hAnsi="Times New Roman"/>
                <w:lang w:eastAsia="ko-KR" w:bidi="th-TH"/>
              </w:rPr>
              <w:t>. SSB</w:t>
            </w:r>
            <w:r w:rsidRPr="009C2ADD">
              <w:rPr>
                <w:rFonts w:ascii="Times New Roman" w:eastAsia="Batang" w:hAnsi="Times New Roman"/>
                <w:i/>
                <w:lang w:eastAsia="ko-KR" w:bidi="th-TH"/>
              </w:rPr>
              <w:t>0</w:t>
            </w:r>
            <w:r w:rsidRPr="009C2ADD">
              <w:rPr>
                <w:rFonts w:ascii="Times New Roman" w:eastAsia="Batang" w:hAnsi="Times New Roman"/>
                <w:lang w:eastAsia="ko-KR" w:bidi="th-TH"/>
              </w:rPr>
              <w:t xml:space="preserve"> and SSB</w:t>
            </w:r>
            <w:r w:rsidRPr="009C2ADD">
              <w:rPr>
                <w:rFonts w:ascii="Times New Roman" w:eastAsia="Batang" w:hAnsi="Times New Roman"/>
                <w:i/>
                <w:lang w:eastAsia="ko-KR" w:bidi="th-TH"/>
              </w:rPr>
              <w:t>MSY</w:t>
            </w:r>
            <w:r w:rsidRPr="009C2ADD">
              <w:rPr>
                <w:rFonts w:ascii="Times New Roman" w:eastAsia="Batang" w:hAnsi="Times New Roman"/>
                <w:lang w:eastAsia="ko-KR" w:bidi="th-TH"/>
              </w:rPr>
              <w:t xml:space="preserve"> are the unfished biomass of mature female fish and at MSY, respectively. The Fs in this table are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 Current fishing intensity is based on the average fishing intensity during 2012-2014 (F</w:t>
            </w:r>
            <w:r w:rsidRPr="009C2ADD">
              <w:rPr>
                <w:rFonts w:ascii="Times New Roman" w:eastAsia="Batang" w:hAnsi="Times New Roman"/>
                <w:i/>
                <w:lang w:eastAsia="ko-KR" w:bidi="th-TH"/>
              </w:rPr>
              <w:t>2012-2014</w:t>
            </w:r>
            <w:r w:rsidRPr="009C2ADD">
              <w:rPr>
                <w:rFonts w:ascii="Times New Roman" w:eastAsia="Batang" w:hAnsi="Times New Roman"/>
                <w:lang w:eastAsia="ko-KR" w:bidi="th-TH"/>
              </w:rPr>
              <w:t xml:space="preserve">). </w:t>
            </w:r>
          </w:p>
        </w:tc>
      </w:tr>
      <w:tr w:rsidR="0038238E" w:rsidRPr="009C2ADD" w14:paraId="5E158AC0" w14:textId="77777777" w:rsidTr="00D72A91">
        <w:trPr>
          <w:jc w:val="center"/>
        </w:trPr>
        <w:tc>
          <w:tcPr>
            <w:tcW w:w="3782" w:type="dxa"/>
            <w:tcBorders>
              <w:top w:val="single" w:sz="12" w:space="0" w:color="auto"/>
              <w:bottom w:val="single" w:sz="12" w:space="0" w:color="auto"/>
            </w:tcBorders>
            <w:shd w:val="clear" w:color="auto" w:fill="auto"/>
            <w:vAlign w:val="center"/>
          </w:tcPr>
          <w:p w14:paraId="33178C19"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Quantity</w:t>
            </w:r>
          </w:p>
        </w:tc>
        <w:tc>
          <w:tcPr>
            <w:tcW w:w="1350" w:type="dxa"/>
            <w:tcBorders>
              <w:top w:val="single" w:sz="12" w:space="0" w:color="auto"/>
              <w:bottom w:val="single" w:sz="12" w:space="0" w:color="auto"/>
            </w:tcBorders>
            <w:shd w:val="clear" w:color="auto" w:fill="auto"/>
            <w:vAlign w:val="center"/>
          </w:tcPr>
          <w:p w14:paraId="2966766C" w14:textId="77777777" w:rsidR="0038238E" w:rsidRPr="009C2ADD" w:rsidRDefault="0038238E" w:rsidP="00D72A91">
            <w:pPr>
              <w:adjustRightInd w:val="0"/>
              <w:snapToGrid w:val="0"/>
              <w:spacing w:after="0"/>
              <w:ind w:left="18"/>
              <w:jc w:val="center"/>
              <w:rPr>
                <w:rFonts w:ascii="Times New Roman" w:eastAsia="Batang" w:hAnsi="Times New Roman"/>
                <w:lang w:eastAsia="ko-KR" w:bidi="th-TH"/>
              </w:rPr>
            </w:pPr>
            <w:r w:rsidRPr="009C2ADD">
              <w:rPr>
                <w:rFonts w:ascii="Times New Roman" w:eastAsia="Batang" w:hAnsi="Times New Roman"/>
                <w:lang w:eastAsia="ko-KR" w:bidi="th-TH"/>
              </w:rPr>
              <w:t>Base Case</w:t>
            </w:r>
          </w:p>
        </w:tc>
        <w:tc>
          <w:tcPr>
            <w:tcW w:w="1350" w:type="dxa"/>
            <w:tcBorders>
              <w:top w:val="single" w:sz="12" w:space="0" w:color="auto"/>
              <w:bottom w:val="single" w:sz="12" w:space="0" w:color="auto"/>
            </w:tcBorders>
            <w:shd w:val="clear" w:color="auto" w:fill="auto"/>
            <w:vAlign w:val="center"/>
          </w:tcPr>
          <w:p w14:paraId="5AD9D0D2" w14:textId="77777777" w:rsidR="0038238E" w:rsidRPr="009C2ADD" w:rsidRDefault="0038238E" w:rsidP="00D72A91">
            <w:pPr>
              <w:adjustRightInd w:val="0"/>
              <w:snapToGrid w:val="0"/>
              <w:spacing w:after="0"/>
              <w:ind w:left="18"/>
              <w:jc w:val="center"/>
              <w:rPr>
                <w:rFonts w:ascii="Times New Roman" w:eastAsia="Batang" w:hAnsi="Times New Roman"/>
                <w:lang w:eastAsia="ko-KR" w:bidi="th-TH"/>
              </w:rPr>
            </w:pPr>
            <w:r w:rsidRPr="009C2ADD">
              <w:rPr>
                <w:rFonts w:ascii="Times New Roman" w:eastAsia="Batang" w:hAnsi="Times New Roman"/>
                <w:lang w:eastAsia="ko-KR" w:bidi="th-TH"/>
              </w:rPr>
              <w:t>M = 0.3 y</w:t>
            </w:r>
            <w:r w:rsidRPr="009C2ADD">
              <w:rPr>
                <w:rFonts w:ascii="Times New Roman" w:eastAsia="Batang" w:hAnsi="Times New Roman"/>
                <w:vertAlign w:val="superscript"/>
                <w:lang w:eastAsia="ko-KR" w:bidi="th-TH"/>
              </w:rPr>
              <w:t>-1</w:t>
            </w:r>
          </w:p>
        </w:tc>
        <w:tc>
          <w:tcPr>
            <w:tcW w:w="1869" w:type="dxa"/>
            <w:tcBorders>
              <w:top w:val="single" w:sz="12" w:space="0" w:color="auto"/>
              <w:bottom w:val="single" w:sz="12" w:space="0" w:color="auto"/>
            </w:tcBorders>
            <w:shd w:val="clear" w:color="auto" w:fill="auto"/>
            <w:vAlign w:val="center"/>
          </w:tcPr>
          <w:p w14:paraId="712CDBFB" w14:textId="77777777" w:rsidR="0038238E" w:rsidRPr="009C2ADD" w:rsidRDefault="0038238E" w:rsidP="00D72A91">
            <w:pPr>
              <w:adjustRightInd w:val="0"/>
              <w:snapToGrid w:val="0"/>
              <w:spacing w:after="0"/>
              <w:ind w:left="18"/>
              <w:jc w:val="center"/>
              <w:rPr>
                <w:rFonts w:ascii="Times New Roman" w:eastAsia="Batang" w:hAnsi="Times New Roman"/>
                <w:lang w:eastAsia="ko-KR" w:bidi="th-TH"/>
              </w:rPr>
            </w:pPr>
            <w:r w:rsidRPr="009C2ADD">
              <w:rPr>
                <w:rFonts w:ascii="Times New Roman" w:eastAsia="Batang" w:hAnsi="Times New Roman"/>
                <w:lang w:eastAsia="ko-KR" w:bidi="th-TH"/>
              </w:rPr>
              <w:t>Growth</w:t>
            </w:r>
          </w:p>
          <w:p w14:paraId="61002843" w14:textId="77777777" w:rsidR="0038238E" w:rsidRPr="009C2ADD" w:rsidRDefault="0038238E" w:rsidP="00D72A91">
            <w:pPr>
              <w:adjustRightInd w:val="0"/>
              <w:snapToGrid w:val="0"/>
              <w:spacing w:after="0"/>
              <w:ind w:left="18"/>
              <w:jc w:val="center"/>
              <w:rPr>
                <w:rFonts w:ascii="Times New Roman" w:eastAsia="Batang" w:hAnsi="Times New Roman"/>
                <w:lang w:eastAsia="ko-KR" w:bidi="th-TH"/>
              </w:rPr>
            </w:pPr>
            <w:r w:rsidRPr="009C2ADD">
              <w:rPr>
                <w:rFonts w:ascii="Times New Roman" w:eastAsia="Batang" w:hAnsi="Times New Roman"/>
                <w:lang w:eastAsia="ko-KR" w:bidi="th-TH"/>
              </w:rPr>
              <w:t xml:space="preserve"> CV = 0.06 for </w:t>
            </w:r>
            <w:proofErr w:type="spellStart"/>
            <w:r w:rsidRPr="009C2ADD">
              <w:rPr>
                <w:rFonts w:ascii="Times New Roman" w:eastAsia="Batang" w:hAnsi="Times New Roman"/>
                <w:lang w:eastAsia="ko-KR" w:bidi="th-TH"/>
              </w:rPr>
              <w:t>L</w:t>
            </w:r>
            <w:r w:rsidRPr="009C2ADD">
              <w:rPr>
                <w:rFonts w:ascii="Times New Roman" w:eastAsia="Batang" w:hAnsi="Times New Roman"/>
                <w:vertAlign w:val="subscript"/>
                <w:lang w:eastAsia="ko-KR" w:bidi="th-TH"/>
              </w:rPr>
              <w:t>inf</w:t>
            </w:r>
            <w:proofErr w:type="spellEnd"/>
            <w:r w:rsidRPr="009C2ADD">
              <w:rPr>
                <w:rFonts w:ascii="Times New Roman" w:eastAsia="Batang" w:hAnsi="Times New Roman"/>
                <w:lang w:eastAsia="ko-KR" w:bidi="th-TH"/>
              </w:rPr>
              <w:t xml:space="preserve"> </w:t>
            </w:r>
          </w:p>
        </w:tc>
      </w:tr>
      <w:tr w:rsidR="0038238E" w:rsidRPr="009C2ADD" w14:paraId="3927EF4F" w14:textId="77777777" w:rsidTr="00D72A91">
        <w:trPr>
          <w:jc w:val="center"/>
        </w:trPr>
        <w:tc>
          <w:tcPr>
            <w:tcW w:w="3782" w:type="dxa"/>
            <w:tcBorders>
              <w:top w:val="single" w:sz="12" w:space="0" w:color="auto"/>
            </w:tcBorders>
            <w:shd w:val="clear" w:color="auto" w:fill="auto"/>
          </w:tcPr>
          <w:p w14:paraId="7B78BD9D"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 xml:space="preserve">MSY (t) </w:t>
            </w:r>
            <w:r w:rsidRPr="009C2ADD">
              <w:rPr>
                <w:rFonts w:ascii="Times New Roman" w:eastAsia="Batang" w:hAnsi="Times New Roman"/>
                <w:vertAlign w:val="superscript"/>
                <w:lang w:eastAsia="ko-KR" w:bidi="th-TH"/>
              </w:rPr>
              <w:t>A</w:t>
            </w:r>
          </w:p>
        </w:tc>
        <w:tc>
          <w:tcPr>
            <w:tcW w:w="1350" w:type="dxa"/>
            <w:tcBorders>
              <w:top w:val="single" w:sz="12" w:space="0" w:color="auto"/>
            </w:tcBorders>
            <w:shd w:val="clear" w:color="auto" w:fill="auto"/>
          </w:tcPr>
          <w:p w14:paraId="620F3661" w14:textId="77777777" w:rsidR="0038238E" w:rsidRPr="009C2ADD" w:rsidRDefault="0038238E" w:rsidP="00D72A91">
            <w:pPr>
              <w:adjustRightInd w:val="0"/>
              <w:snapToGrid w:val="0"/>
              <w:spacing w:after="0"/>
              <w:ind w:left="18" w:right="162"/>
              <w:jc w:val="right"/>
              <w:rPr>
                <w:rFonts w:ascii="Times New Roman" w:eastAsia="Batang" w:hAnsi="Times New Roman"/>
                <w:lang w:eastAsia="ko-KR" w:bidi="th-TH"/>
              </w:rPr>
            </w:pPr>
            <w:r w:rsidRPr="009C2ADD">
              <w:rPr>
                <w:rFonts w:ascii="Times New Roman" w:eastAsia="Batang" w:hAnsi="Times New Roman"/>
                <w:lang w:eastAsia="ko-KR" w:bidi="th-TH"/>
              </w:rPr>
              <w:t>132,072</w:t>
            </w:r>
          </w:p>
        </w:tc>
        <w:tc>
          <w:tcPr>
            <w:tcW w:w="1350" w:type="dxa"/>
            <w:tcBorders>
              <w:top w:val="single" w:sz="12" w:space="0" w:color="auto"/>
            </w:tcBorders>
            <w:shd w:val="clear" w:color="auto" w:fill="auto"/>
          </w:tcPr>
          <w:p w14:paraId="7CA61B4C"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92,027</w:t>
            </w:r>
          </w:p>
        </w:tc>
        <w:tc>
          <w:tcPr>
            <w:tcW w:w="1869" w:type="dxa"/>
            <w:tcBorders>
              <w:top w:val="single" w:sz="12" w:space="0" w:color="auto"/>
            </w:tcBorders>
            <w:shd w:val="clear" w:color="auto" w:fill="auto"/>
          </w:tcPr>
          <w:p w14:paraId="0B7240AD"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118,836</w:t>
            </w:r>
          </w:p>
        </w:tc>
      </w:tr>
      <w:tr w:rsidR="0038238E" w:rsidRPr="009C2ADD" w14:paraId="2B51DB36" w14:textId="77777777" w:rsidTr="00D72A91">
        <w:trPr>
          <w:jc w:val="center"/>
        </w:trPr>
        <w:tc>
          <w:tcPr>
            <w:tcW w:w="3782" w:type="dxa"/>
            <w:shd w:val="clear" w:color="auto" w:fill="auto"/>
          </w:tcPr>
          <w:p w14:paraId="4C1487F5"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SSB</w:t>
            </w:r>
            <w:r w:rsidRPr="009C2ADD">
              <w:rPr>
                <w:rFonts w:ascii="Times New Roman" w:eastAsia="Batang" w:hAnsi="Times New Roman"/>
                <w:vertAlign w:val="subscript"/>
                <w:lang w:eastAsia="ko-KR" w:bidi="th-TH"/>
              </w:rPr>
              <w:t>MSY</w:t>
            </w:r>
            <w:r w:rsidRPr="009C2ADD">
              <w:rPr>
                <w:rFonts w:ascii="Times New Roman" w:eastAsia="Batang" w:hAnsi="Times New Roman"/>
                <w:lang w:eastAsia="ko-KR" w:bidi="th-TH"/>
              </w:rPr>
              <w:t xml:space="preserve"> (t)</w:t>
            </w:r>
            <w:r w:rsidRPr="009C2ADD">
              <w:rPr>
                <w:rFonts w:ascii="Times New Roman" w:eastAsia="Batang" w:hAnsi="Times New Roman"/>
                <w:vertAlign w:val="subscript"/>
                <w:lang w:eastAsia="ko-KR" w:bidi="th-TH"/>
              </w:rPr>
              <w:t xml:space="preserve"> </w:t>
            </w:r>
            <w:r w:rsidRPr="009C2ADD">
              <w:rPr>
                <w:rFonts w:ascii="Times New Roman" w:eastAsia="Batang" w:hAnsi="Times New Roman"/>
                <w:vertAlign w:val="superscript"/>
                <w:lang w:eastAsia="ko-KR" w:bidi="th-TH"/>
              </w:rPr>
              <w:t>B</w:t>
            </w:r>
          </w:p>
        </w:tc>
        <w:tc>
          <w:tcPr>
            <w:tcW w:w="1350" w:type="dxa"/>
            <w:shd w:val="clear" w:color="auto" w:fill="auto"/>
          </w:tcPr>
          <w:p w14:paraId="4AB0AF2D" w14:textId="77777777" w:rsidR="0038238E" w:rsidRPr="009C2ADD" w:rsidRDefault="0038238E" w:rsidP="00D72A91">
            <w:pPr>
              <w:adjustRightInd w:val="0"/>
              <w:snapToGrid w:val="0"/>
              <w:spacing w:after="0"/>
              <w:ind w:left="18" w:right="162"/>
              <w:jc w:val="right"/>
              <w:rPr>
                <w:rFonts w:ascii="Times New Roman" w:eastAsia="Batang" w:hAnsi="Times New Roman"/>
                <w:lang w:eastAsia="ko-KR" w:bidi="th-TH"/>
              </w:rPr>
            </w:pPr>
            <w:r w:rsidRPr="009C2ADD">
              <w:rPr>
                <w:rFonts w:ascii="Times New Roman" w:eastAsia="Batang" w:hAnsi="Times New Roman"/>
                <w:lang w:eastAsia="ko-KR" w:bidi="th-TH"/>
              </w:rPr>
              <w:t>24,770</w:t>
            </w:r>
          </w:p>
        </w:tc>
        <w:tc>
          <w:tcPr>
            <w:tcW w:w="1350" w:type="dxa"/>
            <w:shd w:val="clear" w:color="auto" w:fill="auto"/>
          </w:tcPr>
          <w:p w14:paraId="773D1DC5"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42,098</w:t>
            </w:r>
          </w:p>
        </w:tc>
        <w:tc>
          <w:tcPr>
            <w:tcW w:w="1869" w:type="dxa"/>
            <w:shd w:val="clear" w:color="auto" w:fill="auto"/>
          </w:tcPr>
          <w:p w14:paraId="7EAC1941"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22,351</w:t>
            </w:r>
          </w:p>
        </w:tc>
      </w:tr>
      <w:tr w:rsidR="0038238E" w:rsidRPr="009C2ADD" w14:paraId="79E68D29" w14:textId="77777777" w:rsidTr="00D72A91">
        <w:trPr>
          <w:jc w:val="center"/>
        </w:trPr>
        <w:tc>
          <w:tcPr>
            <w:tcW w:w="3782" w:type="dxa"/>
            <w:shd w:val="clear" w:color="auto" w:fill="auto"/>
          </w:tcPr>
          <w:p w14:paraId="7E535F2F" w14:textId="77777777" w:rsidR="0038238E" w:rsidRPr="009C2ADD" w:rsidRDefault="0038238E" w:rsidP="00D72A91">
            <w:pPr>
              <w:adjustRightInd w:val="0"/>
              <w:snapToGrid w:val="0"/>
              <w:spacing w:after="0"/>
              <w:ind w:left="18"/>
              <w:rPr>
                <w:rFonts w:ascii="Times New Roman" w:eastAsia="Batang" w:hAnsi="Times New Roman"/>
                <w:vertAlign w:val="subscript"/>
                <w:lang w:eastAsia="ko-KR" w:bidi="th-TH"/>
              </w:rPr>
            </w:pPr>
            <w:r w:rsidRPr="009C2ADD">
              <w:rPr>
                <w:rFonts w:ascii="Times New Roman" w:eastAsia="Batang" w:hAnsi="Times New Roman"/>
                <w:lang w:eastAsia="ko-KR" w:bidi="th-TH"/>
              </w:rPr>
              <w:t>SSB</w:t>
            </w:r>
            <w:r w:rsidRPr="009C2ADD">
              <w:rPr>
                <w:rFonts w:ascii="Times New Roman" w:eastAsia="Batang" w:hAnsi="Times New Roman"/>
                <w:vertAlign w:val="subscript"/>
                <w:lang w:eastAsia="ko-KR" w:bidi="th-TH"/>
              </w:rPr>
              <w:t>0</w:t>
            </w:r>
            <w:r w:rsidRPr="009C2ADD">
              <w:rPr>
                <w:rFonts w:ascii="Times New Roman" w:eastAsia="Batang" w:hAnsi="Times New Roman"/>
                <w:lang w:eastAsia="ko-KR" w:bidi="th-TH"/>
              </w:rPr>
              <w:t xml:space="preserve"> (t)</w:t>
            </w:r>
            <w:r w:rsidRPr="009C2ADD">
              <w:rPr>
                <w:rFonts w:ascii="Times New Roman" w:eastAsia="Batang" w:hAnsi="Times New Roman"/>
                <w:vertAlign w:val="subscript"/>
                <w:lang w:eastAsia="ko-KR" w:bidi="th-TH"/>
              </w:rPr>
              <w:t xml:space="preserve"> </w:t>
            </w:r>
            <w:r w:rsidRPr="009C2ADD">
              <w:rPr>
                <w:rFonts w:ascii="Times New Roman" w:eastAsia="Batang" w:hAnsi="Times New Roman"/>
                <w:vertAlign w:val="superscript"/>
                <w:lang w:eastAsia="ko-KR" w:bidi="th-TH"/>
              </w:rPr>
              <w:t>B</w:t>
            </w:r>
          </w:p>
        </w:tc>
        <w:tc>
          <w:tcPr>
            <w:tcW w:w="1350" w:type="dxa"/>
            <w:shd w:val="clear" w:color="auto" w:fill="auto"/>
          </w:tcPr>
          <w:p w14:paraId="5F779398" w14:textId="77777777" w:rsidR="0038238E" w:rsidRPr="009C2ADD" w:rsidRDefault="0038238E" w:rsidP="00D72A91">
            <w:pPr>
              <w:adjustRightInd w:val="0"/>
              <w:snapToGrid w:val="0"/>
              <w:spacing w:after="0"/>
              <w:ind w:left="18" w:right="162"/>
              <w:jc w:val="right"/>
              <w:rPr>
                <w:rFonts w:ascii="Times New Roman" w:eastAsia="Batang" w:hAnsi="Times New Roman"/>
                <w:lang w:eastAsia="ko-KR" w:bidi="th-TH"/>
              </w:rPr>
            </w:pPr>
            <w:r w:rsidRPr="009C2ADD">
              <w:rPr>
                <w:rFonts w:ascii="Times New Roman" w:eastAsia="Batang" w:hAnsi="Times New Roman"/>
                <w:lang w:eastAsia="ko-KR" w:bidi="th-TH"/>
              </w:rPr>
              <w:t>171,869</w:t>
            </w:r>
          </w:p>
        </w:tc>
        <w:tc>
          <w:tcPr>
            <w:tcW w:w="1350" w:type="dxa"/>
            <w:shd w:val="clear" w:color="auto" w:fill="auto"/>
          </w:tcPr>
          <w:p w14:paraId="09662270"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270,879</w:t>
            </w:r>
          </w:p>
        </w:tc>
        <w:tc>
          <w:tcPr>
            <w:tcW w:w="1869" w:type="dxa"/>
            <w:shd w:val="clear" w:color="auto" w:fill="auto"/>
          </w:tcPr>
          <w:p w14:paraId="2E43CB9A"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156,336</w:t>
            </w:r>
          </w:p>
        </w:tc>
      </w:tr>
      <w:tr w:rsidR="0038238E" w:rsidRPr="009C2ADD" w14:paraId="3FD93C92" w14:textId="77777777" w:rsidTr="00D72A91">
        <w:trPr>
          <w:jc w:val="center"/>
        </w:trPr>
        <w:tc>
          <w:tcPr>
            <w:tcW w:w="3782" w:type="dxa"/>
            <w:shd w:val="clear" w:color="auto" w:fill="auto"/>
          </w:tcPr>
          <w:p w14:paraId="1CC26345"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SSB</w:t>
            </w:r>
            <w:r w:rsidRPr="009C2ADD">
              <w:rPr>
                <w:rFonts w:ascii="Times New Roman" w:eastAsia="Batang" w:hAnsi="Times New Roman"/>
                <w:vertAlign w:val="subscript"/>
                <w:lang w:eastAsia="ko-KR" w:bidi="th-TH"/>
              </w:rPr>
              <w:t>2015</w:t>
            </w:r>
            <w:r w:rsidRPr="009C2ADD">
              <w:rPr>
                <w:rFonts w:ascii="Times New Roman" w:eastAsia="Batang" w:hAnsi="Times New Roman"/>
                <w:lang w:eastAsia="ko-KR" w:bidi="th-TH"/>
              </w:rPr>
              <w:t xml:space="preserve"> (t) </w:t>
            </w:r>
            <w:r w:rsidRPr="009C2ADD">
              <w:rPr>
                <w:rFonts w:ascii="Times New Roman" w:eastAsia="Batang" w:hAnsi="Times New Roman"/>
                <w:vertAlign w:val="superscript"/>
                <w:lang w:eastAsia="ko-KR" w:bidi="th-TH"/>
              </w:rPr>
              <w:t>B</w:t>
            </w:r>
          </w:p>
        </w:tc>
        <w:tc>
          <w:tcPr>
            <w:tcW w:w="1350" w:type="dxa"/>
            <w:shd w:val="clear" w:color="auto" w:fill="auto"/>
          </w:tcPr>
          <w:p w14:paraId="68670DD4" w14:textId="77777777" w:rsidR="0038238E" w:rsidRPr="009C2ADD" w:rsidRDefault="0038238E" w:rsidP="00D72A91">
            <w:pPr>
              <w:adjustRightInd w:val="0"/>
              <w:snapToGrid w:val="0"/>
              <w:spacing w:after="0"/>
              <w:ind w:left="18" w:right="162"/>
              <w:jc w:val="right"/>
              <w:rPr>
                <w:rFonts w:ascii="Times New Roman" w:eastAsia="Batang" w:hAnsi="Times New Roman"/>
                <w:lang w:eastAsia="ko-KR" w:bidi="th-TH"/>
              </w:rPr>
            </w:pPr>
            <w:r w:rsidRPr="009C2ADD">
              <w:rPr>
                <w:rFonts w:ascii="Times New Roman" w:eastAsia="Batang" w:hAnsi="Times New Roman"/>
                <w:lang w:eastAsia="ko-KR" w:bidi="th-TH"/>
              </w:rPr>
              <w:t>80,618</w:t>
            </w:r>
          </w:p>
        </w:tc>
        <w:tc>
          <w:tcPr>
            <w:tcW w:w="1350" w:type="dxa"/>
            <w:shd w:val="clear" w:color="auto" w:fill="auto"/>
          </w:tcPr>
          <w:p w14:paraId="548A6DF5"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68,169</w:t>
            </w:r>
          </w:p>
        </w:tc>
        <w:tc>
          <w:tcPr>
            <w:tcW w:w="1869" w:type="dxa"/>
            <w:shd w:val="clear" w:color="auto" w:fill="auto"/>
          </w:tcPr>
          <w:p w14:paraId="5DA93814"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63,719</w:t>
            </w:r>
          </w:p>
        </w:tc>
      </w:tr>
      <w:tr w:rsidR="0038238E" w:rsidRPr="009C2ADD" w14:paraId="79F63BAF" w14:textId="77777777" w:rsidTr="00D72A91">
        <w:trPr>
          <w:jc w:val="center"/>
        </w:trPr>
        <w:tc>
          <w:tcPr>
            <w:tcW w:w="3782" w:type="dxa"/>
            <w:shd w:val="clear" w:color="auto" w:fill="auto"/>
          </w:tcPr>
          <w:p w14:paraId="0BF576B2"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SSB</w:t>
            </w:r>
            <w:r w:rsidRPr="009C2ADD">
              <w:rPr>
                <w:rFonts w:ascii="Times New Roman" w:eastAsia="Batang" w:hAnsi="Times New Roman"/>
                <w:vertAlign w:val="subscript"/>
                <w:lang w:eastAsia="ko-KR" w:bidi="th-TH"/>
              </w:rPr>
              <w:t>2015</w:t>
            </w:r>
            <w:r w:rsidRPr="009C2ADD">
              <w:rPr>
                <w:rFonts w:ascii="Times New Roman" w:eastAsia="Batang" w:hAnsi="Times New Roman"/>
                <w:lang w:eastAsia="ko-KR" w:bidi="th-TH"/>
              </w:rPr>
              <w:t>/20%SSB</w:t>
            </w:r>
            <w:r w:rsidRPr="009C2ADD">
              <w:rPr>
                <w:rFonts w:ascii="Times New Roman" w:eastAsia="Batang" w:hAnsi="Times New Roman"/>
                <w:vertAlign w:val="subscript"/>
                <w:lang w:eastAsia="ko-KR" w:bidi="th-TH"/>
              </w:rPr>
              <w:t xml:space="preserve">current, F=0 </w:t>
            </w:r>
            <w:r w:rsidRPr="009C2ADD">
              <w:rPr>
                <w:rFonts w:ascii="Times New Roman" w:eastAsia="Batang" w:hAnsi="Times New Roman"/>
                <w:vertAlign w:val="superscript"/>
                <w:lang w:eastAsia="ko-KR" w:bidi="th-TH"/>
              </w:rPr>
              <w:t>B</w:t>
            </w:r>
          </w:p>
        </w:tc>
        <w:tc>
          <w:tcPr>
            <w:tcW w:w="1350" w:type="dxa"/>
            <w:shd w:val="clear" w:color="auto" w:fill="auto"/>
          </w:tcPr>
          <w:p w14:paraId="62D75358" w14:textId="77777777" w:rsidR="0038238E" w:rsidRPr="009C2ADD" w:rsidRDefault="0038238E" w:rsidP="00D72A91">
            <w:pPr>
              <w:adjustRightInd w:val="0"/>
              <w:snapToGrid w:val="0"/>
              <w:spacing w:after="0"/>
              <w:ind w:left="18" w:right="162"/>
              <w:jc w:val="right"/>
              <w:rPr>
                <w:rFonts w:ascii="Times New Roman" w:eastAsia="Batang" w:hAnsi="Times New Roman"/>
                <w:lang w:eastAsia="ko-KR" w:bidi="th-TH"/>
              </w:rPr>
            </w:pPr>
            <w:r w:rsidRPr="009C2ADD">
              <w:rPr>
                <w:rFonts w:ascii="Times New Roman" w:eastAsia="Batang" w:hAnsi="Times New Roman"/>
                <w:lang w:eastAsia="ko-KR" w:bidi="th-TH"/>
              </w:rPr>
              <w:t>2.47</w:t>
            </w:r>
          </w:p>
        </w:tc>
        <w:tc>
          <w:tcPr>
            <w:tcW w:w="1350" w:type="dxa"/>
            <w:shd w:val="clear" w:color="auto" w:fill="auto"/>
          </w:tcPr>
          <w:p w14:paraId="79A53826"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1.31</w:t>
            </w:r>
          </w:p>
        </w:tc>
        <w:tc>
          <w:tcPr>
            <w:tcW w:w="1869" w:type="dxa"/>
            <w:shd w:val="clear" w:color="auto" w:fill="auto"/>
          </w:tcPr>
          <w:p w14:paraId="5267FA32"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2.15</w:t>
            </w:r>
          </w:p>
        </w:tc>
      </w:tr>
      <w:tr w:rsidR="0038238E" w:rsidRPr="009C2ADD" w14:paraId="0DEC4C26" w14:textId="77777777" w:rsidTr="00D72A91">
        <w:trPr>
          <w:jc w:val="center"/>
        </w:trPr>
        <w:tc>
          <w:tcPr>
            <w:tcW w:w="3782" w:type="dxa"/>
            <w:shd w:val="clear" w:color="auto" w:fill="auto"/>
          </w:tcPr>
          <w:p w14:paraId="765C9B83"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p>
        </w:tc>
        <w:tc>
          <w:tcPr>
            <w:tcW w:w="1350" w:type="dxa"/>
            <w:shd w:val="clear" w:color="auto" w:fill="auto"/>
          </w:tcPr>
          <w:p w14:paraId="59C6E301"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lang w:eastAsia="ko-KR" w:bidi="th-TH"/>
              </w:rPr>
            </w:pPr>
            <w:r w:rsidRPr="009C2ADD">
              <w:rPr>
                <w:rFonts w:ascii="Times New Roman" w:eastAsia="Batang" w:hAnsi="Times New Roman"/>
                <w:lang w:eastAsia="ko-KR" w:bidi="th-TH"/>
              </w:rPr>
              <w:t>0.51</w:t>
            </w:r>
          </w:p>
        </w:tc>
        <w:tc>
          <w:tcPr>
            <w:tcW w:w="1350" w:type="dxa"/>
            <w:shd w:val="clear" w:color="auto" w:fill="auto"/>
          </w:tcPr>
          <w:p w14:paraId="3DFF854A"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0.74</w:t>
            </w:r>
          </w:p>
        </w:tc>
        <w:tc>
          <w:tcPr>
            <w:tcW w:w="1869" w:type="dxa"/>
            <w:shd w:val="clear" w:color="auto" w:fill="auto"/>
          </w:tcPr>
          <w:p w14:paraId="0EA93F41"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0.57</w:t>
            </w:r>
          </w:p>
        </w:tc>
      </w:tr>
      <w:tr w:rsidR="0038238E" w:rsidRPr="009C2ADD" w14:paraId="5330FE37" w14:textId="77777777" w:rsidTr="00D72A91">
        <w:trPr>
          <w:jc w:val="center"/>
        </w:trPr>
        <w:tc>
          <w:tcPr>
            <w:tcW w:w="3782" w:type="dxa"/>
            <w:shd w:val="clear" w:color="auto" w:fill="auto"/>
          </w:tcPr>
          <w:p w14:paraId="3D3215BD"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MSY</w:t>
            </w:r>
            <w:r w:rsidRPr="009C2ADD">
              <w:rPr>
                <w:rFonts w:ascii="Times New Roman" w:eastAsia="Batang" w:hAnsi="Times New Roman"/>
                <w:lang w:eastAsia="ko-KR" w:bidi="th-TH"/>
              </w:rPr>
              <w:t xml:space="preserve"> </w:t>
            </w:r>
          </w:p>
        </w:tc>
        <w:tc>
          <w:tcPr>
            <w:tcW w:w="1350" w:type="dxa"/>
            <w:shd w:val="clear" w:color="auto" w:fill="auto"/>
          </w:tcPr>
          <w:p w14:paraId="4578B586"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0.61</w:t>
            </w:r>
          </w:p>
        </w:tc>
        <w:tc>
          <w:tcPr>
            <w:tcW w:w="1350" w:type="dxa"/>
            <w:shd w:val="clear" w:color="auto" w:fill="auto"/>
          </w:tcPr>
          <w:p w14:paraId="42D8A28E"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0.89</w:t>
            </w:r>
          </w:p>
        </w:tc>
        <w:tc>
          <w:tcPr>
            <w:tcW w:w="1869" w:type="dxa"/>
            <w:shd w:val="clear" w:color="auto" w:fill="auto"/>
          </w:tcPr>
          <w:p w14:paraId="0BE1095D"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0.68</w:t>
            </w:r>
          </w:p>
        </w:tc>
      </w:tr>
      <w:tr w:rsidR="0038238E" w:rsidRPr="009C2ADD" w14:paraId="09C8C29F" w14:textId="77777777" w:rsidTr="00D72A91">
        <w:trPr>
          <w:jc w:val="center"/>
        </w:trPr>
        <w:tc>
          <w:tcPr>
            <w:tcW w:w="3782" w:type="dxa"/>
            <w:shd w:val="clear" w:color="auto" w:fill="auto"/>
          </w:tcPr>
          <w:p w14:paraId="19955E1F"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0.1</w:t>
            </w:r>
          </w:p>
        </w:tc>
        <w:tc>
          <w:tcPr>
            <w:tcW w:w="1350" w:type="dxa"/>
            <w:shd w:val="clear" w:color="auto" w:fill="auto"/>
          </w:tcPr>
          <w:p w14:paraId="12489272"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0.58</w:t>
            </w:r>
          </w:p>
        </w:tc>
        <w:tc>
          <w:tcPr>
            <w:tcW w:w="1350" w:type="dxa"/>
            <w:shd w:val="clear" w:color="auto" w:fill="auto"/>
          </w:tcPr>
          <w:p w14:paraId="0526E853"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0.90</w:t>
            </w:r>
          </w:p>
        </w:tc>
        <w:tc>
          <w:tcPr>
            <w:tcW w:w="1869" w:type="dxa"/>
            <w:shd w:val="clear" w:color="auto" w:fill="auto"/>
          </w:tcPr>
          <w:p w14:paraId="40AB6183"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0.65</w:t>
            </w:r>
          </w:p>
        </w:tc>
      </w:tr>
      <w:tr w:rsidR="0038238E" w:rsidRPr="009C2ADD" w14:paraId="00FD7003" w14:textId="77777777" w:rsidTr="00D72A91">
        <w:trPr>
          <w:jc w:val="center"/>
        </w:trPr>
        <w:tc>
          <w:tcPr>
            <w:tcW w:w="3782" w:type="dxa"/>
            <w:shd w:val="clear" w:color="auto" w:fill="auto"/>
          </w:tcPr>
          <w:p w14:paraId="75DF140B"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10%</w:t>
            </w:r>
          </w:p>
        </w:tc>
        <w:tc>
          <w:tcPr>
            <w:tcW w:w="1350" w:type="dxa"/>
            <w:shd w:val="clear" w:color="auto" w:fill="auto"/>
          </w:tcPr>
          <w:p w14:paraId="0A10D260"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0.56</w:t>
            </w:r>
          </w:p>
        </w:tc>
        <w:tc>
          <w:tcPr>
            <w:tcW w:w="1350" w:type="dxa"/>
            <w:shd w:val="clear" w:color="auto" w:fill="auto"/>
          </w:tcPr>
          <w:p w14:paraId="42636166"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0.81</w:t>
            </w:r>
          </w:p>
        </w:tc>
        <w:tc>
          <w:tcPr>
            <w:tcW w:w="1869" w:type="dxa"/>
            <w:shd w:val="clear" w:color="auto" w:fill="auto"/>
          </w:tcPr>
          <w:p w14:paraId="799C6C8E"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0.63</w:t>
            </w:r>
          </w:p>
        </w:tc>
      </w:tr>
      <w:tr w:rsidR="0038238E" w:rsidRPr="009C2ADD" w14:paraId="4E89153C" w14:textId="77777777" w:rsidTr="00D72A91">
        <w:trPr>
          <w:jc w:val="center"/>
        </w:trPr>
        <w:tc>
          <w:tcPr>
            <w:tcW w:w="3782" w:type="dxa"/>
            <w:shd w:val="clear" w:color="auto" w:fill="auto"/>
          </w:tcPr>
          <w:p w14:paraId="15BED046"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w:t>
            </w:r>
          </w:p>
        </w:tc>
        <w:tc>
          <w:tcPr>
            <w:tcW w:w="1350" w:type="dxa"/>
            <w:shd w:val="clear" w:color="auto" w:fill="auto"/>
          </w:tcPr>
          <w:p w14:paraId="5448D536"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0.63</w:t>
            </w:r>
          </w:p>
        </w:tc>
        <w:tc>
          <w:tcPr>
            <w:tcW w:w="1350" w:type="dxa"/>
            <w:shd w:val="clear" w:color="auto" w:fill="auto"/>
          </w:tcPr>
          <w:p w14:paraId="09285E69"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0.91</w:t>
            </w:r>
          </w:p>
        </w:tc>
        <w:tc>
          <w:tcPr>
            <w:tcW w:w="1869" w:type="dxa"/>
            <w:shd w:val="clear" w:color="auto" w:fill="auto"/>
          </w:tcPr>
          <w:p w14:paraId="6CBA9F95"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0.71</w:t>
            </w:r>
          </w:p>
        </w:tc>
      </w:tr>
      <w:tr w:rsidR="0038238E" w:rsidRPr="009C2ADD" w14:paraId="282D5478" w14:textId="77777777" w:rsidTr="00D72A91">
        <w:trPr>
          <w:jc w:val="center"/>
        </w:trPr>
        <w:tc>
          <w:tcPr>
            <w:tcW w:w="3782" w:type="dxa"/>
            <w:shd w:val="clear" w:color="auto" w:fill="auto"/>
          </w:tcPr>
          <w:p w14:paraId="7C006D3E"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30%</w:t>
            </w:r>
          </w:p>
        </w:tc>
        <w:tc>
          <w:tcPr>
            <w:tcW w:w="1350" w:type="dxa"/>
            <w:shd w:val="clear" w:color="auto" w:fill="auto"/>
          </w:tcPr>
          <w:p w14:paraId="376BEA8C"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0.72</w:t>
            </w:r>
          </w:p>
        </w:tc>
        <w:tc>
          <w:tcPr>
            <w:tcW w:w="1350" w:type="dxa"/>
            <w:shd w:val="clear" w:color="auto" w:fill="auto"/>
          </w:tcPr>
          <w:p w14:paraId="4211BCA0"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1.04</w:t>
            </w:r>
          </w:p>
        </w:tc>
        <w:tc>
          <w:tcPr>
            <w:tcW w:w="1869" w:type="dxa"/>
            <w:shd w:val="clear" w:color="auto" w:fill="auto"/>
          </w:tcPr>
          <w:p w14:paraId="3D7E0FB4"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0.81</w:t>
            </w:r>
          </w:p>
        </w:tc>
      </w:tr>
      <w:tr w:rsidR="0038238E" w:rsidRPr="009C2ADD" w14:paraId="301F5FBE" w14:textId="77777777" w:rsidTr="00D72A91">
        <w:trPr>
          <w:jc w:val="center"/>
        </w:trPr>
        <w:tc>
          <w:tcPr>
            <w:tcW w:w="3782" w:type="dxa"/>
            <w:shd w:val="clear" w:color="auto" w:fill="auto"/>
          </w:tcPr>
          <w:p w14:paraId="6E0E3E88"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40%</w:t>
            </w:r>
          </w:p>
        </w:tc>
        <w:tc>
          <w:tcPr>
            <w:tcW w:w="1350" w:type="dxa"/>
            <w:shd w:val="clear" w:color="auto" w:fill="auto"/>
          </w:tcPr>
          <w:p w14:paraId="3381D76D"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0.85</w:t>
            </w:r>
          </w:p>
        </w:tc>
        <w:tc>
          <w:tcPr>
            <w:tcW w:w="1350" w:type="dxa"/>
            <w:shd w:val="clear" w:color="auto" w:fill="auto"/>
          </w:tcPr>
          <w:p w14:paraId="1732395B"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1.21</w:t>
            </w:r>
          </w:p>
        </w:tc>
        <w:tc>
          <w:tcPr>
            <w:tcW w:w="1869" w:type="dxa"/>
            <w:shd w:val="clear" w:color="auto" w:fill="auto"/>
          </w:tcPr>
          <w:p w14:paraId="7CCF19D8"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0.96</w:t>
            </w:r>
          </w:p>
        </w:tc>
      </w:tr>
      <w:tr w:rsidR="0038238E" w:rsidRPr="009C2ADD" w14:paraId="1AB68D5E" w14:textId="77777777" w:rsidTr="00D72A91">
        <w:trPr>
          <w:jc w:val="center"/>
        </w:trPr>
        <w:tc>
          <w:tcPr>
            <w:tcW w:w="3782" w:type="dxa"/>
            <w:tcBorders>
              <w:bottom w:val="single" w:sz="12" w:space="0" w:color="auto"/>
            </w:tcBorders>
            <w:shd w:val="clear" w:color="auto" w:fill="auto"/>
          </w:tcPr>
          <w:p w14:paraId="3EA8C1A2"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2012-2014</w:t>
            </w:r>
            <w:r w:rsidRPr="009C2ADD">
              <w:rPr>
                <w:rFonts w:ascii="Times New Roman" w:eastAsia="Batang" w:hAnsi="Times New Roman"/>
                <w:lang w:eastAsia="ko-KR" w:bidi="th-TH"/>
              </w:rPr>
              <w:t>/F</w:t>
            </w:r>
            <w:r w:rsidRPr="009C2ADD">
              <w:rPr>
                <w:rFonts w:ascii="Times New Roman" w:eastAsia="Batang" w:hAnsi="Times New Roman"/>
                <w:vertAlign w:val="subscript"/>
                <w:lang w:eastAsia="ko-KR" w:bidi="th-TH"/>
              </w:rPr>
              <w:t>50%</w:t>
            </w:r>
          </w:p>
        </w:tc>
        <w:tc>
          <w:tcPr>
            <w:tcW w:w="1350" w:type="dxa"/>
            <w:tcBorders>
              <w:bottom w:val="single" w:sz="12" w:space="0" w:color="auto"/>
            </w:tcBorders>
            <w:shd w:val="clear" w:color="auto" w:fill="auto"/>
          </w:tcPr>
          <w:p w14:paraId="6B1933DF" w14:textId="77777777" w:rsidR="0038238E" w:rsidRPr="009C2ADD" w:rsidRDefault="0038238E" w:rsidP="00D72A91">
            <w:pPr>
              <w:widowControl w:val="0"/>
              <w:adjustRightInd w:val="0"/>
              <w:snapToGrid w:val="0"/>
              <w:spacing w:after="0"/>
              <w:ind w:left="18" w:right="162"/>
              <w:jc w:val="right"/>
              <w:rPr>
                <w:rFonts w:ascii="Times New Roman" w:eastAsia="Batang" w:hAnsi="Times New Roman"/>
                <w:kern w:val="2"/>
                <w:lang w:eastAsia="ja-JP" w:bidi="th-TH"/>
              </w:rPr>
            </w:pPr>
            <w:r w:rsidRPr="009C2ADD">
              <w:rPr>
                <w:rFonts w:ascii="Times New Roman" w:eastAsia="Batang" w:hAnsi="Times New Roman"/>
                <w:lang w:eastAsia="ko-KR" w:bidi="th-TH"/>
              </w:rPr>
              <w:t>1.01</w:t>
            </w:r>
          </w:p>
        </w:tc>
        <w:tc>
          <w:tcPr>
            <w:tcW w:w="1350" w:type="dxa"/>
            <w:tcBorders>
              <w:bottom w:val="single" w:sz="12" w:space="0" w:color="auto"/>
            </w:tcBorders>
            <w:shd w:val="clear" w:color="auto" w:fill="auto"/>
          </w:tcPr>
          <w:p w14:paraId="40E7F1EA" w14:textId="77777777" w:rsidR="0038238E" w:rsidRPr="009C2ADD" w:rsidRDefault="0038238E" w:rsidP="00D72A91">
            <w:pPr>
              <w:adjustRightInd w:val="0"/>
              <w:snapToGrid w:val="0"/>
              <w:spacing w:after="0"/>
              <w:ind w:left="18" w:right="306"/>
              <w:jc w:val="right"/>
              <w:rPr>
                <w:rFonts w:ascii="Times New Roman" w:eastAsia="Batang" w:hAnsi="Times New Roman"/>
                <w:lang w:eastAsia="ko-KR" w:bidi="th-TH"/>
              </w:rPr>
            </w:pPr>
            <w:r w:rsidRPr="009C2ADD">
              <w:rPr>
                <w:rFonts w:ascii="Times New Roman" w:eastAsia="Batang" w:hAnsi="Times New Roman"/>
                <w:lang w:eastAsia="ko-KR" w:bidi="th-TH"/>
              </w:rPr>
              <w:t>1.47</w:t>
            </w:r>
          </w:p>
        </w:tc>
        <w:tc>
          <w:tcPr>
            <w:tcW w:w="1869" w:type="dxa"/>
            <w:tcBorders>
              <w:bottom w:val="single" w:sz="12" w:space="0" w:color="auto"/>
            </w:tcBorders>
            <w:shd w:val="clear" w:color="auto" w:fill="auto"/>
          </w:tcPr>
          <w:p w14:paraId="1D387A3F" w14:textId="77777777" w:rsidR="0038238E" w:rsidRPr="009C2ADD" w:rsidRDefault="0038238E" w:rsidP="00D72A91">
            <w:pPr>
              <w:adjustRightInd w:val="0"/>
              <w:snapToGrid w:val="0"/>
              <w:spacing w:after="0"/>
              <w:ind w:left="18" w:right="214"/>
              <w:jc w:val="right"/>
              <w:rPr>
                <w:rFonts w:ascii="Times New Roman" w:eastAsia="Batang" w:hAnsi="Times New Roman"/>
                <w:lang w:eastAsia="ko-KR" w:bidi="th-TH"/>
              </w:rPr>
            </w:pPr>
            <w:r w:rsidRPr="009C2ADD">
              <w:rPr>
                <w:rFonts w:ascii="Times New Roman" w:eastAsia="Batang" w:hAnsi="Times New Roman"/>
                <w:lang w:eastAsia="ko-KR" w:bidi="th-TH"/>
              </w:rPr>
              <w:t>1.16</w:t>
            </w:r>
          </w:p>
        </w:tc>
      </w:tr>
      <w:tr w:rsidR="0038238E" w:rsidRPr="009C2ADD" w14:paraId="476161AA" w14:textId="77777777" w:rsidTr="00D72A91">
        <w:trPr>
          <w:jc w:val="center"/>
        </w:trPr>
        <w:tc>
          <w:tcPr>
            <w:tcW w:w="8351" w:type="dxa"/>
            <w:gridSpan w:val="4"/>
            <w:tcBorders>
              <w:top w:val="single" w:sz="12" w:space="0" w:color="auto"/>
            </w:tcBorders>
            <w:shd w:val="clear" w:color="auto" w:fill="auto"/>
          </w:tcPr>
          <w:p w14:paraId="685A17C0"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 xml:space="preserve">A – MSY includes male and female juvenile and adult fish </w:t>
            </w:r>
          </w:p>
          <w:p w14:paraId="634E2153" w14:textId="77777777" w:rsidR="0038238E" w:rsidRPr="009C2ADD" w:rsidRDefault="0038238E" w:rsidP="00D72A91">
            <w:pPr>
              <w:adjustRightInd w:val="0"/>
              <w:snapToGrid w:val="0"/>
              <w:spacing w:after="0"/>
              <w:ind w:left="18"/>
              <w:rPr>
                <w:rFonts w:ascii="Times New Roman" w:eastAsia="Batang" w:hAnsi="Times New Roman"/>
                <w:lang w:eastAsia="ko-KR" w:bidi="th-TH"/>
              </w:rPr>
            </w:pPr>
            <w:r w:rsidRPr="009C2ADD">
              <w:rPr>
                <w:rFonts w:ascii="Times New Roman" w:eastAsia="Batang" w:hAnsi="Times New Roman"/>
                <w:lang w:eastAsia="ko-KR" w:bidi="th-TH"/>
              </w:rPr>
              <w:t>B – Spawning stock biomass (SSB) in this assessment refers to mature female biomass only.</w:t>
            </w:r>
          </w:p>
        </w:tc>
      </w:tr>
    </w:tbl>
    <w:p w14:paraId="7DECA1E7" w14:textId="77777777" w:rsidR="0038238E" w:rsidRPr="009C2ADD" w:rsidRDefault="0038238E" w:rsidP="0038238E">
      <w:pPr>
        <w:widowControl w:val="0"/>
        <w:autoSpaceDE w:val="0"/>
        <w:autoSpaceDN w:val="0"/>
        <w:adjustRightInd w:val="0"/>
        <w:snapToGrid w:val="0"/>
        <w:spacing w:after="0"/>
        <w:rPr>
          <w:rFonts w:ascii="Times New Roman" w:eastAsia="Malgun Gothic" w:hAnsi="Times New Roman"/>
          <w:lang w:eastAsia="ko-KR"/>
        </w:rPr>
      </w:pPr>
    </w:p>
    <w:p w14:paraId="7A0C1160" w14:textId="77777777" w:rsidR="0038238E" w:rsidRPr="009C2ADD" w:rsidRDefault="0038238E" w:rsidP="0038238E">
      <w:pPr>
        <w:adjustRightInd w:val="0"/>
        <w:snapToGrid w:val="0"/>
        <w:spacing w:after="0"/>
        <w:rPr>
          <w:rFonts w:ascii="Times New Roman" w:hAnsi="Times New Roman"/>
        </w:rPr>
      </w:pPr>
      <w:r w:rsidRPr="009C2ADD">
        <w:rPr>
          <w:rFonts w:ascii="Times New Roman" w:hAnsi="Times New Roman"/>
        </w:rPr>
        <w:br w:type="page"/>
      </w:r>
      <w:r w:rsidRPr="009C2ADD">
        <w:rPr>
          <w:rFonts w:ascii="Times New Roman" w:hAnsi="Times New Roman"/>
        </w:rPr>
        <w:lastRenderedPageBreak/>
        <w:t xml:space="preserve"> </w:t>
      </w:r>
    </w:p>
    <w:tbl>
      <w:tblPr>
        <w:tblW w:w="0" w:type="auto"/>
        <w:tblLook w:val="04A0" w:firstRow="1" w:lastRow="0" w:firstColumn="1" w:lastColumn="0" w:noHBand="0" w:noVBand="1"/>
      </w:tblPr>
      <w:tblGrid>
        <w:gridCol w:w="4661"/>
        <w:gridCol w:w="4699"/>
      </w:tblGrid>
      <w:tr w:rsidR="0038238E" w:rsidRPr="009C2ADD" w14:paraId="3DAF8A9C" w14:textId="77777777" w:rsidTr="00D72A91">
        <w:tc>
          <w:tcPr>
            <w:tcW w:w="4495" w:type="dxa"/>
            <w:shd w:val="clear" w:color="auto" w:fill="auto"/>
          </w:tcPr>
          <w:p w14:paraId="3C0396D2" w14:textId="77777777" w:rsidR="0038238E" w:rsidRPr="009C2ADD" w:rsidRDefault="0038238E" w:rsidP="00D72A91">
            <w:pPr>
              <w:pStyle w:val="ListParagraph"/>
              <w:adjustRightInd w:val="0"/>
              <w:snapToGrid w:val="0"/>
              <w:ind w:left="-108"/>
              <w:contextualSpacing w:val="0"/>
              <w:jc w:val="center"/>
              <w:rPr>
                <w:rFonts w:ascii="Times New Roman" w:eastAsia="Batang" w:hAnsi="Times New Roman"/>
                <w:bCs/>
                <w:lang w:eastAsia="ko-KR" w:bidi="th-TH"/>
              </w:rPr>
            </w:pPr>
            <w:r w:rsidRPr="009C2ADD">
              <w:rPr>
                <w:rFonts w:ascii="Times New Roman" w:eastAsia="Batang" w:hAnsi="Times New Roman"/>
                <w:b/>
                <w:bCs/>
                <w:lang w:eastAsia="ko-KR" w:bidi="th-TH"/>
              </w:rPr>
              <w:t>A</w:t>
            </w:r>
            <w:r w:rsidRPr="009C2ADD">
              <w:rPr>
                <w:rFonts w:ascii="Times New Roman" w:eastAsia="Batang" w:hAnsi="Times New Roman"/>
                <w:snapToGrid w:val="0"/>
                <w:w w:val="0"/>
                <w:u w:color="000000"/>
                <w:bdr w:val="none" w:sz="0" w:space="0" w:color="000000"/>
                <w:shd w:val="clear" w:color="000000" w:fill="000000"/>
                <w:lang w:val="x-none" w:eastAsia="x-none" w:bidi="x-none"/>
              </w:rPr>
              <w:t xml:space="preserve"> </w:t>
            </w:r>
            <w:r w:rsidRPr="009C2ADD">
              <w:rPr>
                <w:rFonts w:ascii="Times New Roman" w:eastAsia="Batang" w:hAnsi="Times New Roman"/>
                <w:noProof/>
                <w:lang w:val="en-US"/>
              </w:rPr>
              <w:drawing>
                <wp:inline distT="0" distB="0" distL="0" distR="0" wp14:anchorId="071B30F9" wp14:editId="39327C1A">
                  <wp:extent cx="3015615" cy="3015615"/>
                  <wp:effectExtent l="0" t="0" r="0" b="0"/>
                  <wp:docPr id="29" name="Picture 29" descr="Fig_01_kobe_2017_NPALB_basecase_timeseries_SPR_B20pct_dyn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_01_kobe_2017_NPALB_basecase_timeseries_SPR_B20pct_dyn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615" cy="3015615"/>
                          </a:xfrm>
                          <a:prstGeom prst="rect">
                            <a:avLst/>
                          </a:prstGeom>
                          <a:noFill/>
                          <a:ln>
                            <a:noFill/>
                          </a:ln>
                        </pic:spPr>
                      </pic:pic>
                    </a:graphicData>
                  </a:graphic>
                </wp:inline>
              </w:drawing>
            </w:r>
          </w:p>
        </w:tc>
        <w:tc>
          <w:tcPr>
            <w:tcW w:w="4531" w:type="dxa"/>
            <w:shd w:val="clear" w:color="auto" w:fill="auto"/>
          </w:tcPr>
          <w:p w14:paraId="70BDD55F" w14:textId="77777777" w:rsidR="0038238E" w:rsidRPr="009C2ADD" w:rsidRDefault="0038238E" w:rsidP="00D72A91">
            <w:pPr>
              <w:pStyle w:val="ListParagraph"/>
              <w:adjustRightInd w:val="0"/>
              <w:snapToGrid w:val="0"/>
              <w:ind w:left="-68"/>
              <w:contextualSpacing w:val="0"/>
              <w:jc w:val="center"/>
              <w:rPr>
                <w:rFonts w:ascii="Times New Roman" w:eastAsia="Batang" w:hAnsi="Times New Roman"/>
                <w:bCs/>
                <w:lang w:eastAsia="ko-KR" w:bidi="th-TH"/>
              </w:rPr>
            </w:pPr>
            <w:r w:rsidRPr="009C2ADD">
              <w:rPr>
                <w:rFonts w:ascii="Times New Roman" w:eastAsia="Batang" w:hAnsi="Times New Roman"/>
                <w:b/>
                <w:bCs/>
                <w:lang w:eastAsia="ko-KR" w:bidi="th-TH"/>
              </w:rPr>
              <w:t>B</w:t>
            </w:r>
            <w:r w:rsidRPr="009C2ADD">
              <w:rPr>
                <w:rFonts w:ascii="Times New Roman" w:eastAsia="Batang" w:hAnsi="Times New Roman"/>
                <w:snapToGrid w:val="0"/>
                <w:w w:val="0"/>
                <w:u w:color="000000"/>
                <w:bdr w:val="none" w:sz="0" w:space="0" w:color="000000"/>
                <w:shd w:val="clear" w:color="000000" w:fill="000000"/>
                <w:lang w:val="x-none" w:eastAsia="x-none" w:bidi="x-none"/>
              </w:rPr>
              <w:t xml:space="preserve"> </w:t>
            </w:r>
            <w:r w:rsidRPr="009C2ADD">
              <w:rPr>
                <w:rFonts w:ascii="Times New Roman" w:eastAsia="Batang" w:hAnsi="Times New Roman"/>
                <w:noProof/>
                <w:lang w:val="en-US"/>
              </w:rPr>
              <w:drawing>
                <wp:inline distT="0" distB="0" distL="0" distR="0" wp14:anchorId="60CFBB66" wp14:editId="1C551C9C">
                  <wp:extent cx="3015615" cy="3015615"/>
                  <wp:effectExtent l="0" t="0" r="0" b="0"/>
                  <wp:docPr id="30" name="Picture 30" descr="Fig_02_kobe_2017_NPALB_M_growth_sensitivity_endpt_SPR_B20pct_dyn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_02_kobe_2017_NPALB_M_growth_sensitivity_endpt_SPR_B20pct_dyn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15" cy="3015615"/>
                          </a:xfrm>
                          <a:prstGeom prst="rect">
                            <a:avLst/>
                          </a:prstGeom>
                          <a:noFill/>
                          <a:ln>
                            <a:noFill/>
                          </a:ln>
                        </pic:spPr>
                      </pic:pic>
                    </a:graphicData>
                  </a:graphic>
                </wp:inline>
              </w:drawing>
            </w:r>
          </w:p>
        </w:tc>
      </w:tr>
      <w:tr w:rsidR="0038238E" w:rsidRPr="009C2ADD" w14:paraId="528D0270" w14:textId="77777777" w:rsidTr="00D72A91">
        <w:tc>
          <w:tcPr>
            <w:tcW w:w="9026" w:type="dxa"/>
            <w:gridSpan w:val="2"/>
            <w:shd w:val="clear" w:color="auto" w:fill="auto"/>
          </w:tcPr>
          <w:p w14:paraId="12654822" w14:textId="77777777" w:rsidR="0038238E" w:rsidRPr="009C2ADD" w:rsidRDefault="0038238E" w:rsidP="00D72A91">
            <w:pPr>
              <w:adjustRightInd w:val="0"/>
              <w:snapToGrid w:val="0"/>
              <w:spacing w:after="0"/>
              <w:rPr>
                <w:rFonts w:ascii="Times New Roman" w:eastAsia="Batang" w:hAnsi="Times New Roman"/>
                <w:bCs/>
                <w:lang w:eastAsia="ko-KR" w:bidi="th-TH"/>
              </w:rPr>
            </w:pPr>
            <w:bookmarkStart w:id="7" w:name="_Hlk491599786"/>
            <w:r w:rsidRPr="009C2ADD">
              <w:rPr>
                <w:rFonts w:ascii="Times New Roman" w:eastAsia="Batang" w:hAnsi="Times New Roman"/>
                <w:b/>
                <w:bCs/>
                <w:lang w:eastAsia="ko-KR" w:bidi="th-TH"/>
              </w:rPr>
              <w:t xml:space="preserve">Figure NPALB-1. </w:t>
            </w:r>
            <w:r w:rsidRPr="009C2ADD">
              <w:rPr>
                <w:rFonts w:ascii="Times New Roman" w:eastAsia="Batang" w:hAnsi="Times New Roman"/>
                <w:bCs/>
                <w:lang w:eastAsia="ko-KR" w:bidi="th-TH"/>
              </w:rPr>
              <w:t xml:space="preserve">(A) </w:t>
            </w:r>
            <w:r w:rsidRPr="009C2ADD">
              <w:rPr>
                <w:rFonts w:ascii="Times New Roman" w:eastAsia="Batang" w:hAnsi="Times New Roman"/>
                <w:lang w:eastAsia="ko-KR" w:bidi="th-TH"/>
              </w:rPr>
              <w:t xml:space="preserve">Kobe plot showing the status of the north Pacific albacore </w:t>
            </w:r>
            <w:r w:rsidRPr="009C2ADD">
              <w:rPr>
                <w:rFonts w:ascii="Times New Roman" w:eastAsia="Batang" w:hAnsi="Times New Roman"/>
                <w:bCs/>
                <w:lang w:eastAsia="ko-KR" w:bidi="th-TH"/>
              </w:rPr>
              <w:t>(</w:t>
            </w:r>
            <w:proofErr w:type="spellStart"/>
            <w:r w:rsidRPr="009C2ADD">
              <w:rPr>
                <w:rFonts w:ascii="Times New Roman" w:eastAsia="Batang" w:hAnsi="Times New Roman"/>
                <w:bCs/>
                <w:i/>
                <w:lang w:eastAsia="ko-KR" w:bidi="th-TH"/>
              </w:rPr>
              <w:t>Thunnus</w:t>
            </w:r>
            <w:proofErr w:type="spellEnd"/>
            <w:r w:rsidRPr="009C2ADD">
              <w:rPr>
                <w:rFonts w:ascii="Times New Roman" w:eastAsia="Batang" w:hAnsi="Times New Roman"/>
                <w:bCs/>
                <w:i/>
                <w:lang w:eastAsia="ko-KR" w:bidi="th-TH"/>
              </w:rPr>
              <w:t xml:space="preserve"> </w:t>
            </w:r>
            <w:proofErr w:type="spellStart"/>
            <w:r w:rsidRPr="009C2ADD">
              <w:rPr>
                <w:rFonts w:ascii="Times New Roman" w:eastAsia="Batang" w:hAnsi="Times New Roman"/>
                <w:bCs/>
                <w:i/>
                <w:lang w:eastAsia="ko-KR" w:bidi="th-TH"/>
              </w:rPr>
              <w:t>alalunga</w:t>
            </w:r>
            <w:proofErr w:type="spellEnd"/>
            <w:r w:rsidRPr="009C2ADD">
              <w:rPr>
                <w:rFonts w:ascii="Times New Roman" w:eastAsia="Batang" w:hAnsi="Times New Roman"/>
                <w:bCs/>
                <w:lang w:eastAsia="ko-KR" w:bidi="th-TH"/>
              </w:rPr>
              <w:t xml:space="preserve">) </w:t>
            </w:r>
            <w:r w:rsidRPr="009C2ADD">
              <w:rPr>
                <w:rFonts w:ascii="Times New Roman" w:eastAsia="Batang" w:hAnsi="Times New Roman"/>
                <w:lang w:eastAsia="ko-KR" w:bidi="th-TH"/>
              </w:rPr>
              <w:t>stock relative to the 20%SSB</w:t>
            </w:r>
            <w:r w:rsidRPr="009C2ADD">
              <w:rPr>
                <w:rFonts w:ascii="Times New Roman" w:eastAsia="Batang" w:hAnsi="Times New Roman"/>
                <w:i/>
                <w:lang w:eastAsia="ko-KR" w:bidi="th-TH"/>
              </w:rPr>
              <w:t>current</w:t>
            </w:r>
            <w:r w:rsidRPr="009C2ADD">
              <w:rPr>
                <w:rFonts w:ascii="Times New Roman" w:eastAsia="Batang" w:hAnsi="Times New Roman"/>
                <w:vertAlign w:val="subscript"/>
                <w:lang w:eastAsia="ko-KR" w:bidi="th-TH"/>
              </w:rPr>
              <w:t>, F=0</w:t>
            </w:r>
            <w:r w:rsidRPr="009C2ADD">
              <w:rPr>
                <w:rFonts w:ascii="Times New Roman" w:eastAsia="Batang" w:hAnsi="Times New Roman"/>
                <w:lang w:eastAsia="ko-KR" w:bidi="th-TH"/>
              </w:rPr>
              <w:t xml:space="preserve"> biomass-based limit reference point, and equivalent fishing intensity (F</w:t>
            </w:r>
            <w:r w:rsidRPr="009C2ADD">
              <w:rPr>
                <w:rFonts w:ascii="Times New Roman" w:eastAsia="Batang" w:hAnsi="Times New Roman"/>
                <w:i/>
                <w:lang w:eastAsia="ko-KR" w:bidi="th-TH"/>
              </w:rPr>
              <w:t>20%</w:t>
            </w:r>
            <w:r w:rsidRPr="009C2ADD">
              <w:rPr>
                <w:rFonts w:ascii="Times New Roman" w:eastAsia="Batang" w:hAnsi="Times New Roman"/>
                <w:lang w:eastAsia="ko-KR" w:bidi="th-TH"/>
              </w:rPr>
              <w:t>; calculated as 1-SPR</w:t>
            </w:r>
            <w:r w:rsidRPr="009C2ADD">
              <w:rPr>
                <w:rFonts w:ascii="Times New Roman" w:eastAsia="Batang" w:hAnsi="Times New Roman"/>
                <w:i/>
                <w:lang w:eastAsia="ko-KR" w:bidi="th-TH"/>
              </w:rPr>
              <w:t>20%</w:t>
            </w:r>
            <w:r w:rsidRPr="009C2ADD">
              <w:rPr>
                <w:rFonts w:ascii="Times New Roman" w:eastAsia="Batang" w:hAnsi="Times New Roman"/>
                <w:lang w:eastAsia="ko-KR" w:bidi="th-TH"/>
              </w:rPr>
              <w:t xml:space="preserve">) over the base case modelling period (1993-2015). </w:t>
            </w:r>
            <w:bookmarkEnd w:id="7"/>
            <w:r w:rsidRPr="009C2ADD">
              <w:rPr>
                <w:rFonts w:ascii="Times New Roman" w:eastAsia="Batang" w:hAnsi="Times New Roman"/>
                <w:lang w:eastAsia="ko-KR" w:bidi="th-TH"/>
              </w:rPr>
              <w:t xml:space="preserve">Blue triangle indicates the start year (1993) and black circle with 95% confidence intervals indicates the terminal year (2015). </w:t>
            </w:r>
            <w:bookmarkStart w:id="8" w:name="_Hlk491599803"/>
            <w:r w:rsidRPr="009C2ADD">
              <w:rPr>
                <w:rFonts w:ascii="Times New Roman" w:eastAsia="Batang" w:hAnsi="Times New Roman"/>
                <w:lang w:eastAsia="ko-KR" w:bidi="th-TH"/>
              </w:rPr>
              <w:t>(B) Kobe plot showing stock status and 95% confidence intervals in the terminal year (2015) of the base case model (black; closed circle) and important sensitivity runs with M = 0.3 y</w:t>
            </w:r>
            <w:r w:rsidRPr="009C2ADD">
              <w:rPr>
                <w:rFonts w:ascii="Times New Roman" w:eastAsia="Batang" w:hAnsi="Times New Roman"/>
                <w:vertAlign w:val="superscript"/>
                <w:lang w:eastAsia="ko-KR" w:bidi="th-TH"/>
              </w:rPr>
              <w:t>-1</w:t>
            </w:r>
            <w:r w:rsidRPr="009C2ADD">
              <w:rPr>
                <w:rFonts w:ascii="Times New Roman" w:eastAsia="Batang" w:hAnsi="Times New Roman"/>
                <w:lang w:eastAsia="ko-KR" w:bidi="th-TH"/>
              </w:rPr>
              <w:t xml:space="preserve"> for both sexes (blue; open square), and CV = 0.06 for </w:t>
            </w:r>
            <w:proofErr w:type="spellStart"/>
            <w:r w:rsidRPr="009C2ADD">
              <w:rPr>
                <w:rFonts w:ascii="Times New Roman" w:eastAsia="Batang" w:hAnsi="Times New Roman"/>
                <w:lang w:eastAsia="ko-KR" w:bidi="th-TH"/>
              </w:rPr>
              <w:t>L</w:t>
            </w:r>
            <w:r w:rsidRPr="009C2ADD">
              <w:rPr>
                <w:rFonts w:ascii="Times New Roman" w:eastAsia="Batang" w:hAnsi="Times New Roman"/>
                <w:i/>
                <w:lang w:eastAsia="ko-KR" w:bidi="th-TH"/>
              </w:rPr>
              <w:t>inf</w:t>
            </w:r>
            <w:proofErr w:type="spellEnd"/>
            <w:r w:rsidRPr="009C2ADD">
              <w:rPr>
                <w:rFonts w:ascii="Times New Roman" w:eastAsia="Batang" w:hAnsi="Times New Roman"/>
                <w:lang w:eastAsia="ko-KR" w:bidi="th-TH"/>
              </w:rPr>
              <w:t xml:space="preserve"> in the growth model (white; open triangle). </w:t>
            </w:r>
            <w:bookmarkEnd w:id="8"/>
            <w:r w:rsidRPr="009C2ADD">
              <w:rPr>
                <w:rFonts w:ascii="Times New Roman" w:eastAsia="Batang" w:hAnsi="Times New Roman"/>
                <w:lang w:eastAsia="ko-KR" w:bidi="th-TH"/>
              </w:rPr>
              <w:t>Fs in this figure are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w:t>
            </w:r>
          </w:p>
        </w:tc>
      </w:tr>
    </w:tbl>
    <w:p w14:paraId="06A36479" w14:textId="77777777" w:rsidR="0038238E" w:rsidRDefault="0038238E" w:rsidP="004B05DF">
      <w:pPr>
        <w:spacing w:after="0" w:line="240" w:lineRule="auto"/>
      </w:pPr>
    </w:p>
    <w:p w14:paraId="45522B02" w14:textId="77777777" w:rsidR="00E46C3A" w:rsidRDefault="00E46C3A" w:rsidP="00E46C3A">
      <w:pPr>
        <w:pStyle w:val="Heading1"/>
        <w:rPr>
          <w:rFonts w:eastAsia="MS Mincho"/>
          <w:lang w:val="en-NZ" w:eastAsia="en-NZ"/>
        </w:rPr>
      </w:pPr>
      <w:bookmarkStart w:id="9" w:name="_Toc495323856"/>
      <w:bookmarkStart w:id="10" w:name="_Toc522779887"/>
      <w:r>
        <w:rPr>
          <w:rFonts w:eastAsia="MS Mincho"/>
          <w:lang w:val="en-NZ" w:eastAsia="en-NZ"/>
        </w:rPr>
        <w:t>Useful References</w:t>
      </w:r>
      <w:bookmarkEnd w:id="9"/>
      <w:bookmarkEnd w:id="10"/>
    </w:p>
    <w:p w14:paraId="7C48B647" w14:textId="77777777" w:rsidR="00E46C3A" w:rsidRDefault="00E46C3A" w:rsidP="004B05DF">
      <w:pPr>
        <w:spacing w:after="0" w:line="240" w:lineRule="auto"/>
      </w:pPr>
    </w:p>
    <w:p w14:paraId="0C85B7BC" w14:textId="77777777" w:rsidR="00E46C3A" w:rsidRDefault="00E46C3A" w:rsidP="004B05DF">
      <w:pPr>
        <w:spacing w:after="0" w:line="240" w:lineRule="auto"/>
      </w:pPr>
      <w:r>
        <w:t xml:space="preserve">SC13-SA-WP-09 </w:t>
      </w:r>
      <w:r w:rsidRPr="00E46C3A">
        <w:t>Stock Assessment of Albacore in the North Pacific Ocean in 2017 Rev 2(approved version) (29 July 2017)</w:t>
      </w:r>
      <w:r>
        <w:t xml:space="preserve">. </w:t>
      </w:r>
      <w:r w:rsidRPr="00E46C3A">
        <w:t>Report of the Albacore Working Group</w:t>
      </w:r>
      <w:r>
        <w:t xml:space="preserve"> (ISC).</w:t>
      </w:r>
    </w:p>
    <w:p w14:paraId="00E6572E" w14:textId="77777777" w:rsidR="00E46C3A" w:rsidRDefault="0095517E" w:rsidP="004B05DF">
      <w:pPr>
        <w:spacing w:after="0" w:line="240" w:lineRule="auto"/>
      </w:pPr>
      <w:hyperlink r:id="rId10" w:history="1">
        <w:r w:rsidR="00E46C3A" w:rsidRPr="00680322">
          <w:rPr>
            <w:rStyle w:val="Hyperlink"/>
          </w:rPr>
          <w:t>https://www.wcpfc.int/node/29522</w:t>
        </w:r>
      </w:hyperlink>
    </w:p>
    <w:p w14:paraId="1FAB35D0" w14:textId="77777777" w:rsidR="00E46C3A" w:rsidRDefault="00E46C3A" w:rsidP="004B05DF">
      <w:pPr>
        <w:spacing w:after="0" w:line="240" w:lineRule="auto"/>
      </w:pPr>
    </w:p>
    <w:p w14:paraId="063C2597" w14:textId="77777777" w:rsidR="00E46C3A" w:rsidRDefault="00E46C3A" w:rsidP="004B05DF">
      <w:pPr>
        <w:spacing w:after="0" w:line="240" w:lineRule="auto"/>
      </w:pPr>
      <w:r>
        <w:t>For current information related to Northern Stocks</w:t>
      </w:r>
      <w:r w:rsidR="008167E8">
        <w:t xml:space="preserve"> Working Group Reports</w:t>
      </w:r>
      <w:r>
        <w:t xml:space="preserve"> and the ISC Plenary Report:</w:t>
      </w:r>
    </w:p>
    <w:p w14:paraId="3DA5F8B1" w14:textId="43C8B39C" w:rsidR="002273A0" w:rsidRDefault="002273A0" w:rsidP="004B05DF">
      <w:pPr>
        <w:spacing w:after="0" w:line="240" w:lineRule="auto"/>
      </w:pPr>
      <w:hyperlink r:id="rId11" w:history="1">
        <w:r w:rsidRPr="008E0E85">
          <w:rPr>
            <w:rStyle w:val="Hyperlink"/>
          </w:rPr>
          <w:t>http://isc.fra.go.jp/reports/isc/isc18_reports.html</w:t>
        </w:r>
      </w:hyperlink>
      <w:r>
        <w:t xml:space="preserve"> </w:t>
      </w:r>
    </w:p>
    <w:p w14:paraId="61E7590D" w14:textId="77777777" w:rsidR="004F2924" w:rsidRDefault="004F2924" w:rsidP="004F2924">
      <w:pPr>
        <w:pStyle w:val="Heading1"/>
        <w:rPr>
          <w:rFonts w:eastAsia="MS Mincho"/>
          <w:lang w:val="en-NZ" w:eastAsia="en-NZ"/>
        </w:rPr>
      </w:pPr>
      <w:bookmarkStart w:id="11" w:name="_Toc522779888"/>
      <w:r>
        <w:rPr>
          <w:rFonts w:eastAsia="MS Mincho"/>
          <w:lang w:val="en-NZ" w:eastAsia="en-NZ"/>
        </w:rPr>
        <w:t>Previous Assessments</w:t>
      </w:r>
      <w:bookmarkEnd w:id="11"/>
    </w:p>
    <w:p w14:paraId="0350453B" w14:textId="77777777" w:rsidR="00E46C3A" w:rsidRDefault="00E46C3A" w:rsidP="004B05DF">
      <w:pPr>
        <w:spacing w:after="0" w:line="240" w:lineRule="auto"/>
      </w:pPr>
    </w:p>
    <w:p w14:paraId="397CA56D" w14:textId="77777777" w:rsidR="00E46C3A" w:rsidRDefault="004F2924" w:rsidP="004B05DF">
      <w:pPr>
        <w:spacing w:after="0" w:line="240" w:lineRule="auto"/>
      </w:pPr>
      <w:r>
        <w:t xml:space="preserve">SC10-SA-WP-12 </w:t>
      </w:r>
      <w:r w:rsidRPr="004F2924">
        <w:t>Stock Assessment of Albacore Tuna in the North Pacific Ocean in 2014</w:t>
      </w:r>
      <w:r>
        <w:t xml:space="preserve">. </w:t>
      </w:r>
      <w:hyperlink r:id="rId12" w:history="1">
        <w:r w:rsidRPr="00E4453F">
          <w:rPr>
            <w:rStyle w:val="Hyperlink"/>
          </w:rPr>
          <w:t>https://wcpfc.int/node/19202</w:t>
        </w:r>
      </w:hyperlink>
      <w:r>
        <w:t xml:space="preserve"> </w:t>
      </w:r>
    </w:p>
    <w:p w14:paraId="7DE31AE4" w14:textId="77777777" w:rsidR="00FE1469" w:rsidRDefault="00FE1469" w:rsidP="004B05DF">
      <w:pPr>
        <w:spacing w:after="0" w:line="240" w:lineRule="auto"/>
      </w:pPr>
    </w:p>
    <w:p w14:paraId="0C8B9AF0" w14:textId="77777777" w:rsidR="00FE1469" w:rsidRDefault="00FE1469" w:rsidP="004B05DF">
      <w:pPr>
        <w:spacing w:after="0" w:line="240" w:lineRule="auto"/>
      </w:pPr>
      <w:r>
        <w:lastRenderedPageBreak/>
        <w:t xml:space="preserve">SC7-SA-WP-10 </w:t>
      </w:r>
      <w:r w:rsidRPr="00FE1469">
        <w:t>Stock assessment of albacore tuna in the North Pacific Ocean in 2011</w:t>
      </w:r>
      <w:r>
        <w:t xml:space="preserve">. </w:t>
      </w:r>
      <w:hyperlink r:id="rId13" w:history="1">
        <w:r w:rsidRPr="00E33723">
          <w:rPr>
            <w:rStyle w:val="Hyperlink"/>
          </w:rPr>
          <w:t>https://wcpfc.int/node/2860</w:t>
        </w:r>
      </w:hyperlink>
      <w:r>
        <w:t xml:space="preserve"> </w:t>
      </w:r>
    </w:p>
    <w:p w14:paraId="62C39146" w14:textId="77777777" w:rsidR="00FE1469" w:rsidRDefault="00FE1469" w:rsidP="004B05DF">
      <w:pPr>
        <w:spacing w:after="0" w:line="240" w:lineRule="auto"/>
      </w:pPr>
    </w:p>
    <w:p w14:paraId="03A90B17" w14:textId="77777777" w:rsidR="00FE1469" w:rsidRDefault="00FE1469" w:rsidP="004B05DF">
      <w:pPr>
        <w:spacing w:after="0" w:line="240" w:lineRule="auto"/>
      </w:pPr>
    </w:p>
    <w:sectPr w:rsidR="00FE1469" w:rsidSect="00CC3DC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587D" w14:textId="77777777" w:rsidR="0095517E" w:rsidRDefault="0095517E" w:rsidP="005C2B8D">
      <w:pPr>
        <w:spacing w:after="0" w:line="240" w:lineRule="auto"/>
      </w:pPr>
      <w:r>
        <w:separator/>
      </w:r>
    </w:p>
  </w:endnote>
  <w:endnote w:type="continuationSeparator" w:id="0">
    <w:p w14:paraId="1249EAA6" w14:textId="77777777" w:rsidR="0095517E" w:rsidRDefault="0095517E"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3BA641A0" w14:textId="77777777" w:rsidR="00550074" w:rsidRDefault="00550074">
        <w:pPr>
          <w:pStyle w:val="Footer"/>
          <w:jc w:val="center"/>
        </w:pPr>
        <w:r>
          <w:fldChar w:fldCharType="begin"/>
        </w:r>
        <w:r>
          <w:instrText xml:space="preserve"> PAGE   \* MERGEFORMAT </w:instrText>
        </w:r>
        <w:r>
          <w:fldChar w:fldCharType="separate"/>
        </w:r>
        <w:r w:rsidR="00585DA0">
          <w:rPr>
            <w:noProof/>
          </w:rPr>
          <w:t>3</w:t>
        </w:r>
        <w:r>
          <w:rPr>
            <w:noProof/>
          </w:rPr>
          <w:fldChar w:fldCharType="end"/>
        </w:r>
      </w:p>
    </w:sdtContent>
  </w:sdt>
  <w:p w14:paraId="74307861"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C0B7" w14:textId="77777777" w:rsidR="0095517E" w:rsidRDefault="0095517E" w:rsidP="005C2B8D">
      <w:pPr>
        <w:spacing w:after="0" w:line="240" w:lineRule="auto"/>
      </w:pPr>
      <w:r>
        <w:separator/>
      </w:r>
    </w:p>
  </w:footnote>
  <w:footnote w:type="continuationSeparator" w:id="0">
    <w:p w14:paraId="146E9403" w14:textId="77777777" w:rsidR="0095517E" w:rsidRDefault="0095517E"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09250E"/>
    <w:multiLevelType w:val="hybridMultilevel"/>
    <w:tmpl w:val="B492D056"/>
    <w:lvl w:ilvl="0" w:tplc="32543214">
      <w:start w:val="34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211DC"/>
    <w:rsid w:val="001C3938"/>
    <w:rsid w:val="002273A0"/>
    <w:rsid w:val="002D086C"/>
    <w:rsid w:val="003060E3"/>
    <w:rsid w:val="0038238E"/>
    <w:rsid w:val="004375B8"/>
    <w:rsid w:val="0045382F"/>
    <w:rsid w:val="004B05DF"/>
    <w:rsid w:val="004F2924"/>
    <w:rsid w:val="005374AB"/>
    <w:rsid w:val="00550074"/>
    <w:rsid w:val="00585DA0"/>
    <w:rsid w:val="005A5AA1"/>
    <w:rsid w:val="005C2B8D"/>
    <w:rsid w:val="006113EF"/>
    <w:rsid w:val="006A51C4"/>
    <w:rsid w:val="0073054D"/>
    <w:rsid w:val="007F084A"/>
    <w:rsid w:val="008167E8"/>
    <w:rsid w:val="00867480"/>
    <w:rsid w:val="0095517E"/>
    <w:rsid w:val="009C1672"/>
    <w:rsid w:val="00A60772"/>
    <w:rsid w:val="00C64AF4"/>
    <w:rsid w:val="00C82768"/>
    <w:rsid w:val="00CC3DC6"/>
    <w:rsid w:val="00CC59BE"/>
    <w:rsid w:val="00CC7782"/>
    <w:rsid w:val="00CF0B93"/>
    <w:rsid w:val="00E46C3A"/>
    <w:rsid w:val="00EC1DB2"/>
    <w:rsid w:val="00ED19B2"/>
    <w:rsid w:val="00EF1506"/>
    <w:rsid w:val="00FB657D"/>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B3C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character" w:styleId="UnresolvedMention">
    <w:name w:val="Unresolved Mention"/>
    <w:basedOn w:val="DefaultParagraphFont"/>
    <w:uiPriority w:val="99"/>
    <w:semiHidden/>
    <w:unhideWhenUsed/>
    <w:rsid w:val="00E46C3A"/>
    <w:rPr>
      <w:color w:val="808080"/>
      <w:shd w:val="clear" w:color="auto" w:fill="E6E6E6"/>
    </w:rPr>
  </w:style>
  <w:style w:type="paragraph" w:styleId="BodyText">
    <w:name w:val="Body Text"/>
    <w:basedOn w:val="Normal"/>
    <w:link w:val="BodyTextChar"/>
    <w:uiPriority w:val="1"/>
    <w:qFormat/>
    <w:rsid w:val="0045382F"/>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45382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pfc.int/node/2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pfc.int/node/192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c.fra.go.jp/reports/isc/isc18_repor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cpfc.int/node/295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B36B-E48A-4162-9798-A4917E16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3</cp:revision>
  <dcterms:created xsi:type="dcterms:W3CDTF">2018-08-22T22:26:00Z</dcterms:created>
  <dcterms:modified xsi:type="dcterms:W3CDTF">2018-08-22T22:29:00Z</dcterms:modified>
</cp:coreProperties>
</file>