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A8319" w14:textId="77777777" w:rsidR="002E2C57" w:rsidRPr="002E2C57" w:rsidRDefault="002E2C57" w:rsidP="002E2C57">
      <w:pPr>
        <w:autoSpaceDE w:val="0"/>
        <w:autoSpaceDN w:val="0"/>
        <w:adjustRightInd w:val="0"/>
        <w:snapToGrid w:val="0"/>
        <w:spacing w:after="0" w:line="240" w:lineRule="auto"/>
        <w:jc w:val="center"/>
        <w:rPr>
          <w:rFonts w:ascii="Times New Roman" w:hAnsi="Times New Roman" w:cs="Times New Roman"/>
          <w:b/>
          <w:bCs/>
          <w:lang w:val="en-AU" w:eastAsia="en-NZ"/>
        </w:rPr>
      </w:pPr>
    </w:p>
    <w:p w14:paraId="39D3FB66" w14:textId="77777777" w:rsidR="002E2C57" w:rsidRPr="002E2C57" w:rsidRDefault="002E2C57" w:rsidP="002E2C57">
      <w:pPr>
        <w:autoSpaceDE w:val="0"/>
        <w:autoSpaceDN w:val="0"/>
        <w:adjustRightInd w:val="0"/>
        <w:snapToGrid w:val="0"/>
        <w:spacing w:after="0" w:line="240" w:lineRule="auto"/>
        <w:jc w:val="center"/>
        <w:rPr>
          <w:rFonts w:ascii="Times New Roman" w:hAnsi="Times New Roman" w:cs="Times New Roman"/>
          <w:b/>
          <w:bCs/>
          <w:lang w:val="en-AU" w:eastAsia="en-NZ"/>
        </w:rPr>
      </w:pPr>
    </w:p>
    <w:p w14:paraId="14603D11" w14:textId="77777777" w:rsidR="002E2C57" w:rsidRPr="002E2C57" w:rsidRDefault="002E2C57" w:rsidP="002E2C57">
      <w:pPr>
        <w:autoSpaceDE w:val="0"/>
        <w:autoSpaceDN w:val="0"/>
        <w:adjustRightInd w:val="0"/>
        <w:snapToGrid w:val="0"/>
        <w:spacing w:after="0" w:line="240" w:lineRule="auto"/>
        <w:jc w:val="center"/>
        <w:rPr>
          <w:rFonts w:ascii="Times New Roman" w:hAnsi="Times New Roman" w:cs="Times New Roman"/>
          <w:b/>
          <w:bCs/>
          <w:lang w:val="en-AU" w:eastAsia="en-NZ"/>
        </w:rPr>
      </w:pPr>
      <w:r w:rsidRPr="002E2C57">
        <w:rPr>
          <w:rFonts w:ascii="Times New Roman" w:hAnsi="Times New Roman" w:cs="Times New Roman"/>
          <w:noProof/>
          <w:lang w:eastAsia="zh-CN" w:bidi="mn-Mong-CN"/>
        </w:rPr>
        <w:drawing>
          <wp:inline distT="0" distB="0" distL="0" distR="0" wp14:anchorId="0D5768FD" wp14:editId="6D6366A8">
            <wp:extent cx="2106295" cy="1104900"/>
            <wp:effectExtent l="0" t="0" r="0" b="0"/>
            <wp:docPr id="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6295" cy="1104900"/>
                    </a:xfrm>
                    <a:prstGeom prst="rect">
                      <a:avLst/>
                    </a:prstGeom>
                    <a:noFill/>
                    <a:ln>
                      <a:noFill/>
                    </a:ln>
                  </pic:spPr>
                </pic:pic>
              </a:graphicData>
            </a:graphic>
          </wp:inline>
        </w:drawing>
      </w:r>
    </w:p>
    <w:p w14:paraId="4B137F48" w14:textId="77777777" w:rsidR="002E2C57" w:rsidRPr="002E2C57" w:rsidRDefault="002E2C57" w:rsidP="002E2C57">
      <w:pPr>
        <w:autoSpaceDE w:val="0"/>
        <w:autoSpaceDN w:val="0"/>
        <w:adjustRightInd w:val="0"/>
        <w:snapToGrid w:val="0"/>
        <w:spacing w:after="0" w:line="240" w:lineRule="auto"/>
        <w:jc w:val="center"/>
        <w:rPr>
          <w:rFonts w:ascii="Times New Roman" w:hAnsi="Times New Roman" w:cs="Times New Roman"/>
          <w:b/>
          <w:bCs/>
          <w:lang w:val="en-AU" w:eastAsia="en-NZ"/>
        </w:rPr>
      </w:pPr>
    </w:p>
    <w:p w14:paraId="4606B949" w14:textId="77777777" w:rsidR="002E2C57" w:rsidRPr="002E2C57" w:rsidRDefault="002E2C57" w:rsidP="002E2C57">
      <w:pPr>
        <w:autoSpaceDE w:val="0"/>
        <w:autoSpaceDN w:val="0"/>
        <w:adjustRightInd w:val="0"/>
        <w:snapToGrid w:val="0"/>
        <w:spacing w:after="0" w:line="240" w:lineRule="auto"/>
        <w:jc w:val="center"/>
        <w:rPr>
          <w:rFonts w:ascii="Times New Roman" w:hAnsi="Times New Roman" w:cs="Times New Roman"/>
          <w:b/>
          <w:bCs/>
          <w:lang w:val="en-AU" w:eastAsia="en-NZ"/>
        </w:rPr>
      </w:pPr>
    </w:p>
    <w:p w14:paraId="0AFEEDFB"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r w:rsidRPr="002E2C57">
        <w:rPr>
          <w:rFonts w:ascii="Times New Roman" w:hAnsi="Times New Roman" w:cs="Times New Roman"/>
          <w:b/>
          <w:lang w:val="en-NZ"/>
        </w:rPr>
        <w:t xml:space="preserve">The Commission for the Conservation and Management of </w:t>
      </w:r>
    </w:p>
    <w:p w14:paraId="70FC5C18"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r w:rsidRPr="002E2C57">
        <w:rPr>
          <w:rFonts w:ascii="Times New Roman" w:hAnsi="Times New Roman" w:cs="Times New Roman"/>
          <w:b/>
          <w:lang w:val="en-NZ"/>
        </w:rPr>
        <w:t xml:space="preserve">Highly Migratory Fish Stocks in the Western and Central Pacific Ocean </w:t>
      </w:r>
    </w:p>
    <w:p w14:paraId="1C66017A"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p>
    <w:p w14:paraId="1053696F"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p>
    <w:p w14:paraId="6B007F12"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p>
    <w:p w14:paraId="0D17B4C7" w14:textId="77777777" w:rsidR="002E2C57" w:rsidRPr="002E2C57" w:rsidRDefault="002E2C57" w:rsidP="002E2C57">
      <w:pPr>
        <w:adjustRightInd w:val="0"/>
        <w:snapToGrid w:val="0"/>
        <w:spacing w:after="0" w:line="240" w:lineRule="auto"/>
        <w:jc w:val="center"/>
        <w:rPr>
          <w:rFonts w:ascii="Times New Roman" w:hAnsi="Times New Roman" w:cs="Times New Roman"/>
          <w:b/>
          <w:caps/>
          <w:lang w:val="en-NZ"/>
        </w:rPr>
      </w:pPr>
      <w:bookmarkStart w:id="0" w:name="_GoBack"/>
      <w:bookmarkEnd w:id="0"/>
      <w:r w:rsidRPr="002E2C57">
        <w:rPr>
          <w:rFonts w:ascii="Times New Roman" w:hAnsi="Times New Roman" w:cs="Times New Roman"/>
          <w:b/>
          <w:caps/>
          <w:lang w:val="en-NZ"/>
        </w:rPr>
        <w:t>Scientific Committee</w:t>
      </w:r>
    </w:p>
    <w:p w14:paraId="617EE4AC" w14:textId="77777777" w:rsidR="002E2C57" w:rsidRPr="002E2C57" w:rsidRDefault="002E2C57" w:rsidP="002E2C57">
      <w:pPr>
        <w:adjustRightInd w:val="0"/>
        <w:snapToGrid w:val="0"/>
        <w:spacing w:after="0" w:line="240" w:lineRule="auto"/>
        <w:jc w:val="center"/>
        <w:rPr>
          <w:rFonts w:ascii="Times New Roman" w:hAnsi="Times New Roman" w:cs="Times New Roman"/>
          <w:b/>
          <w:lang w:val="en-NZ"/>
        </w:rPr>
      </w:pPr>
    </w:p>
    <w:p w14:paraId="5C178508" w14:textId="77777777" w:rsidR="002E2C57" w:rsidRPr="002E2C57" w:rsidRDefault="002E2C57" w:rsidP="002E2C57">
      <w:pPr>
        <w:adjustRightInd w:val="0"/>
        <w:snapToGrid w:val="0"/>
        <w:spacing w:after="0" w:line="240" w:lineRule="auto"/>
        <w:jc w:val="center"/>
        <w:rPr>
          <w:rFonts w:ascii="Times New Roman" w:hAnsi="Times New Roman" w:cs="Times New Roman"/>
          <w:b/>
          <w:caps/>
        </w:rPr>
      </w:pPr>
    </w:p>
    <w:p w14:paraId="6965CD86" w14:textId="77777777" w:rsidR="002E2C57" w:rsidRPr="002E2C57" w:rsidRDefault="002E2C57" w:rsidP="004B05DF">
      <w:pPr>
        <w:spacing w:after="0" w:line="240" w:lineRule="auto"/>
        <w:jc w:val="center"/>
        <w:rPr>
          <w:rFonts w:ascii="Times New Roman" w:hAnsi="Times New Roman" w:cs="Times New Roman"/>
          <w:b/>
          <w:sz w:val="36"/>
          <w:szCs w:val="36"/>
        </w:rPr>
      </w:pPr>
    </w:p>
    <w:p w14:paraId="4E85F935" w14:textId="6E2054E5" w:rsidR="004B05DF" w:rsidRPr="002E2C57" w:rsidRDefault="00400113" w:rsidP="004B05DF">
      <w:pPr>
        <w:spacing w:after="0" w:line="240" w:lineRule="auto"/>
        <w:jc w:val="center"/>
        <w:rPr>
          <w:rFonts w:ascii="Times New Roman" w:hAnsi="Times New Roman" w:cs="Times New Roman"/>
          <w:b/>
          <w:sz w:val="28"/>
          <w:szCs w:val="28"/>
        </w:rPr>
      </w:pPr>
      <w:r w:rsidRPr="002E2C57">
        <w:rPr>
          <w:rFonts w:ascii="Times New Roman Bold" w:hAnsi="Times New Roman Bold" w:cs="Times New Roman"/>
          <w:b/>
          <w:caps/>
          <w:sz w:val="28"/>
          <w:szCs w:val="28"/>
        </w:rPr>
        <w:t xml:space="preserve">North </w:t>
      </w:r>
      <w:r w:rsidR="003F50D6" w:rsidRPr="002E2C57">
        <w:rPr>
          <w:rFonts w:ascii="Times New Roman Bold" w:hAnsi="Times New Roman Bold" w:cs="Times New Roman"/>
          <w:b/>
          <w:caps/>
          <w:sz w:val="28"/>
          <w:szCs w:val="28"/>
        </w:rPr>
        <w:t xml:space="preserve">Pacific </w:t>
      </w:r>
      <w:r w:rsidRPr="002E2C57">
        <w:rPr>
          <w:rFonts w:ascii="Times New Roman Bold" w:hAnsi="Times New Roman Bold" w:cs="Times New Roman"/>
          <w:b/>
          <w:caps/>
          <w:sz w:val="28"/>
          <w:szCs w:val="28"/>
        </w:rPr>
        <w:t>Swordfish</w:t>
      </w:r>
      <w:r w:rsidR="004B05DF" w:rsidRPr="002E2C57">
        <w:rPr>
          <w:rFonts w:ascii="Times New Roman" w:hAnsi="Times New Roman" w:cs="Times New Roman"/>
          <w:b/>
          <w:sz w:val="28"/>
          <w:szCs w:val="28"/>
        </w:rPr>
        <w:t xml:space="preserve"> (</w:t>
      </w:r>
      <w:r w:rsidRPr="002E2C57">
        <w:rPr>
          <w:rFonts w:ascii="Times New Roman" w:hAnsi="Times New Roman" w:cs="Times New Roman"/>
          <w:b/>
          <w:i/>
          <w:sz w:val="28"/>
          <w:szCs w:val="28"/>
        </w:rPr>
        <w:t>Xiphias gladius</w:t>
      </w:r>
      <w:r w:rsidR="004B05DF" w:rsidRPr="002E2C57">
        <w:rPr>
          <w:rFonts w:ascii="Times New Roman" w:hAnsi="Times New Roman" w:cs="Times New Roman"/>
          <w:b/>
          <w:sz w:val="28"/>
          <w:szCs w:val="28"/>
        </w:rPr>
        <w:t>)</w:t>
      </w:r>
    </w:p>
    <w:p w14:paraId="008A0A7C" w14:textId="77777777" w:rsidR="002E2C57" w:rsidRDefault="002E2C57" w:rsidP="004B05DF">
      <w:pPr>
        <w:spacing w:after="0" w:line="240" w:lineRule="auto"/>
        <w:jc w:val="center"/>
        <w:rPr>
          <w:rFonts w:ascii="Times New Roman" w:hAnsi="Times New Roman" w:cs="Times New Roman"/>
          <w:b/>
          <w:sz w:val="28"/>
          <w:szCs w:val="28"/>
        </w:rPr>
      </w:pPr>
    </w:p>
    <w:p w14:paraId="04B63DD9" w14:textId="1CB3B44E" w:rsidR="004B05DF" w:rsidRPr="002E2C57" w:rsidRDefault="004B05DF" w:rsidP="004B05DF">
      <w:pPr>
        <w:spacing w:after="0" w:line="240" w:lineRule="auto"/>
        <w:jc w:val="center"/>
        <w:rPr>
          <w:rFonts w:ascii="Times New Roman" w:hAnsi="Times New Roman" w:cs="Times New Roman"/>
          <w:caps/>
        </w:rPr>
      </w:pPr>
      <w:r w:rsidRPr="002E2C57">
        <w:rPr>
          <w:rFonts w:ascii="Times New Roman" w:hAnsi="Times New Roman" w:cs="Times New Roman"/>
          <w:caps/>
        </w:rPr>
        <w:t xml:space="preserve">Stock Status </w:t>
      </w:r>
      <w:r w:rsidR="002E2C57">
        <w:rPr>
          <w:rFonts w:ascii="Times New Roman" w:hAnsi="Times New Roman" w:cs="Times New Roman"/>
          <w:caps/>
        </w:rPr>
        <w:t>and</w:t>
      </w:r>
      <w:r w:rsidRPr="002E2C57">
        <w:rPr>
          <w:rFonts w:ascii="Times New Roman" w:hAnsi="Times New Roman" w:cs="Times New Roman"/>
          <w:caps/>
        </w:rPr>
        <w:t xml:space="preserve"> Management Advice</w:t>
      </w:r>
    </w:p>
    <w:p w14:paraId="5E6F6E45" w14:textId="3518CCFC" w:rsidR="004B05DF" w:rsidRDefault="004B05DF" w:rsidP="004B05DF">
      <w:pPr>
        <w:spacing w:after="0" w:line="240" w:lineRule="auto"/>
        <w:rPr>
          <w:rFonts w:ascii="Times New Roman" w:hAnsi="Times New Roman" w:cs="Times New Roman"/>
          <w:b/>
        </w:rPr>
      </w:pPr>
    </w:p>
    <w:p w14:paraId="137C9F50" w14:textId="2EF889A5" w:rsidR="002E2C57" w:rsidRDefault="002E2C57" w:rsidP="002E2C57">
      <w:pPr>
        <w:adjustRightInd w:val="0"/>
        <w:snapToGrid w:val="0"/>
        <w:spacing w:after="0" w:line="240" w:lineRule="auto"/>
        <w:rPr>
          <w:rFonts w:ascii="Times New Roman" w:hAnsi="Times New Roman" w:cs="Times New Roman"/>
          <w:b/>
        </w:rPr>
      </w:pPr>
    </w:p>
    <w:p w14:paraId="0FC540A8" w14:textId="1D4E2BF9" w:rsidR="002E2C57" w:rsidRDefault="002E2C57" w:rsidP="002E2C57">
      <w:pPr>
        <w:adjustRightInd w:val="0"/>
        <w:snapToGrid w:val="0"/>
        <w:spacing w:after="0" w:line="240" w:lineRule="auto"/>
        <w:rPr>
          <w:rFonts w:ascii="Times New Roman" w:hAnsi="Times New Roman" w:cs="Times New Roman"/>
          <w:b/>
        </w:rPr>
      </w:pPr>
    </w:p>
    <w:p w14:paraId="5AF9B91C" w14:textId="393F5637" w:rsidR="002E2C57" w:rsidRDefault="002E2C57" w:rsidP="002E2C57">
      <w:pPr>
        <w:adjustRightInd w:val="0"/>
        <w:snapToGrid w:val="0"/>
        <w:spacing w:after="0" w:line="240" w:lineRule="auto"/>
        <w:rPr>
          <w:rFonts w:ascii="Times New Roman" w:hAnsi="Times New Roman" w:cs="Times New Roman"/>
          <w:b/>
        </w:rPr>
      </w:pPr>
    </w:p>
    <w:p w14:paraId="4DDB5D29" w14:textId="7391DE49" w:rsidR="002E2C57" w:rsidRDefault="002E2C57" w:rsidP="002E2C57">
      <w:pPr>
        <w:adjustRightInd w:val="0"/>
        <w:snapToGrid w:val="0"/>
        <w:spacing w:after="0" w:line="240" w:lineRule="auto"/>
        <w:rPr>
          <w:rFonts w:ascii="Times New Roman" w:hAnsi="Times New Roman" w:cs="Times New Roman"/>
          <w:b/>
        </w:rPr>
      </w:pPr>
    </w:p>
    <w:p w14:paraId="3E09820B" w14:textId="0DCEACA7" w:rsidR="002E2C57" w:rsidRDefault="002E2C57" w:rsidP="002E2C57">
      <w:pPr>
        <w:adjustRightInd w:val="0"/>
        <w:snapToGrid w:val="0"/>
        <w:spacing w:after="0" w:line="240" w:lineRule="auto"/>
        <w:rPr>
          <w:rFonts w:ascii="Times New Roman" w:hAnsi="Times New Roman" w:cs="Times New Roman"/>
          <w:b/>
        </w:rPr>
      </w:pPr>
    </w:p>
    <w:p w14:paraId="4CC22F2D" w14:textId="5098A724" w:rsidR="002E2C57" w:rsidRDefault="002E2C57" w:rsidP="002E2C57">
      <w:pPr>
        <w:adjustRightInd w:val="0"/>
        <w:snapToGrid w:val="0"/>
        <w:spacing w:after="0" w:line="240" w:lineRule="auto"/>
        <w:rPr>
          <w:rFonts w:ascii="Times New Roman" w:hAnsi="Times New Roman" w:cs="Times New Roman"/>
          <w:b/>
        </w:rPr>
      </w:pPr>
    </w:p>
    <w:p w14:paraId="0B50E919" w14:textId="3A0B0F77" w:rsidR="002E2C57" w:rsidRDefault="002E2C57" w:rsidP="002E2C57">
      <w:pPr>
        <w:adjustRightInd w:val="0"/>
        <w:snapToGrid w:val="0"/>
        <w:spacing w:after="0" w:line="240" w:lineRule="auto"/>
        <w:rPr>
          <w:rFonts w:ascii="Times New Roman" w:hAnsi="Times New Roman" w:cs="Times New Roman"/>
          <w:b/>
        </w:rPr>
      </w:pPr>
    </w:p>
    <w:p w14:paraId="555D2896" w14:textId="71EAF2F5" w:rsidR="002E2C57" w:rsidRDefault="002E2C57" w:rsidP="002E2C57">
      <w:pPr>
        <w:adjustRightInd w:val="0"/>
        <w:snapToGrid w:val="0"/>
        <w:spacing w:after="0" w:line="240" w:lineRule="auto"/>
        <w:rPr>
          <w:rFonts w:ascii="Times New Roman" w:hAnsi="Times New Roman" w:cs="Times New Roman"/>
          <w:b/>
        </w:rPr>
      </w:pPr>
    </w:p>
    <w:sdt>
      <w:sdtPr>
        <w:rPr>
          <w:rFonts w:ascii="Times New Roman" w:eastAsiaTheme="minorHAnsi" w:hAnsi="Times New Roman" w:cs="Times New Roman"/>
          <w:b/>
          <w:bCs/>
          <w:color w:val="auto"/>
          <w:sz w:val="28"/>
          <w:szCs w:val="28"/>
        </w:rPr>
        <w:id w:val="-1203621396"/>
        <w:docPartObj>
          <w:docPartGallery w:val="Table of Contents"/>
          <w:docPartUnique/>
        </w:docPartObj>
      </w:sdtPr>
      <w:sdtEndPr>
        <w:rPr>
          <w:noProof/>
          <w:sz w:val="22"/>
          <w:szCs w:val="22"/>
        </w:rPr>
      </w:sdtEndPr>
      <w:sdtContent>
        <w:p w14:paraId="73E62EFF" w14:textId="77777777" w:rsidR="004B05DF" w:rsidRPr="00867AA1" w:rsidRDefault="004B05DF" w:rsidP="00867AA1">
          <w:pPr>
            <w:pStyle w:val="TOCHeading"/>
            <w:adjustRightInd w:val="0"/>
            <w:snapToGrid w:val="0"/>
            <w:spacing w:before="0" w:after="240" w:line="240" w:lineRule="auto"/>
            <w:rPr>
              <w:rFonts w:ascii="Times New Roman" w:hAnsi="Times New Roman" w:cs="Times New Roman"/>
              <w:b/>
              <w:bCs/>
              <w:sz w:val="28"/>
              <w:szCs w:val="28"/>
            </w:rPr>
          </w:pPr>
          <w:r w:rsidRPr="00867AA1">
            <w:rPr>
              <w:rFonts w:ascii="Times New Roman" w:hAnsi="Times New Roman" w:cs="Times New Roman"/>
              <w:b/>
              <w:bCs/>
              <w:sz w:val="28"/>
              <w:szCs w:val="28"/>
            </w:rPr>
            <w:t>Contents</w:t>
          </w:r>
        </w:p>
        <w:p w14:paraId="0E7B5D2C" w14:textId="0CC1AC80" w:rsidR="00867AA1" w:rsidRDefault="004B05DF" w:rsidP="00867AA1">
          <w:pPr>
            <w:pStyle w:val="TOC1"/>
            <w:rPr>
              <w:rFonts w:eastAsiaTheme="minorEastAsia"/>
              <w:lang w:eastAsia="ko-KR"/>
            </w:rPr>
          </w:pPr>
          <w:r w:rsidRPr="002E2C57">
            <w:rPr>
              <w:noProof w:val="0"/>
            </w:rPr>
            <w:fldChar w:fldCharType="begin"/>
          </w:r>
          <w:r w:rsidRPr="002E2C57">
            <w:instrText xml:space="preserve"> TOC \o "1-3" \h \z \u </w:instrText>
          </w:r>
          <w:r w:rsidRPr="002E2C57">
            <w:rPr>
              <w:noProof w:val="0"/>
            </w:rPr>
            <w:fldChar w:fldCharType="separate"/>
          </w:r>
          <w:hyperlink w:anchor="_Toc24984189" w:history="1">
            <w:r w:rsidR="00867AA1" w:rsidRPr="00B32569">
              <w:rPr>
                <w:rStyle w:val="Hyperlink"/>
              </w:rPr>
              <w:t>SC15 2019 (FISHERY INDICATORS UPDATED)</w:t>
            </w:r>
            <w:r w:rsidR="00867AA1">
              <w:rPr>
                <w:webHidden/>
              </w:rPr>
              <w:tab/>
            </w:r>
            <w:r w:rsidR="00867AA1">
              <w:rPr>
                <w:webHidden/>
              </w:rPr>
              <w:fldChar w:fldCharType="begin"/>
            </w:r>
            <w:r w:rsidR="00867AA1">
              <w:rPr>
                <w:webHidden/>
              </w:rPr>
              <w:instrText xml:space="preserve"> PAGEREF _Toc24984189 \h </w:instrText>
            </w:r>
            <w:r w:rsidR="00867AA1">
              <w:rPr>
                <w:webHidden/>
              </w:rPr>
            </w:r>
            <w:r w:rsidR="00867AA1">
              <w:rPr>
                <w:webHidden/>
              </w:rPr>
              <w:fldChar w:fldCharType="separate"/>
            </w:r>
            <w:r w:rsidR="00867AA1">
              <w:rPr>
                <w:webHidden/>
              </w:rPr>
              <w:t>2</w:t>
            </w:r>
            <w:r w:rsidR="00867AA1">
              <w:rPr>
                <w:webHidden/>
              </w:rPr>
              <w:fldChar w:fldCharType="end"/>
            </w:r>
          </w:hyperlink>
        </w:p>
        <w:p w14:paraId="2DB22A6A" w14:textId="5015BCB0" w:rsidR="00867AA1" w:rsidRDefault="00867AA1" w:rsidP="00867AA1">
          <w:pPr>
            <w:pStyle w:val="TOC1"/>
            <w:rPr>
              <w:rFonts w:eastAsiaTheme="minorEastAsia"/>
              <w:lang w:eastAsia="ko-KR"/>
            </w:rPr>
          </w:pPr>
          <w:hyperlink w:anchor="_Toc24984190" w:history="1">
            <w:r w:rsidRPr="00B32569">
              <w:rPr>
                <w:rStyle w:val="Hyperlink"/>
              </w:rPr>
              <w:t>SC14 2018 (STOCK ASSESSMENT CONDUCTED)</w:t>
            </w:r>
            <w:r>
              <w:rPr>
                <w:webHidden/>
              </w:rPr>
              <w:tab/>
            </w:r>
            <w:r>
              <w:rPr>
                <w:webHidden/>
              </w:rPr>
              <w:fldChar w:fldCharType="begin"/>
            </w:r>
            <w:r>
              <w:rPr>
                <w:webHidden/>
              </w:rPr>
              <w:instrText xml:space="preserve"> PAGEREF _Toc24984190 \h </w:instrText>
            </w:r>
            <w:r>
              <w:rPr>
                <w:webHidden/>
              </w:rPr>
            </w:r>
            <w:r>
              <w:rPr>
                <w:webHidden/>
              </w:rPr>
              <w:fldChar w:fldCharType="separate"/>
            </w:r>
            <w:r>
              <w:rPr>
                <w:webHidden/>
              </w:rPr>
              <w:t>2</w:t>
            </w:r>
            <w:r>
              <w:rPr>
                <w:webHidden/>
              </w:rPr>
              <w:fldChar w:fldCharType="end"/>
            </w:r>
          </w:hyperlink>
        </w:p>
        <w:p w14:paraId="2711FEA6" w14:textId="6723FA0B" w:rsidR="00867AA1" w:rsidRDefault="00867AA1" w:rsidP="00867AA1">
          <w:pPr>
            <w:pStyle w:val="TOC1"/>
            <w:rPr>
              <w:rFonts w:eastAsiaTheme="minorEastAsia"/>
              <w:lang w:eastAsia="ko-KR"/>
            </w:rPr>
          </w:pPr>
          <w:hyperlink w:anchor="_Toc24984191" w:history="1">
            <w:r w:rsidRPr="00B32569">
              <w:rPr>
                <w:rStyle w:val="Hyperlink"/>
              </w:rPr>
              <w:t>SC13 2017 (FISHERY INDICATORS UPDATED)</w:t>
            </w:r>
            <w:r>
              <w:rPr>
                <w:webHidden/>
              </w:rPr>
              <w:tab/>
            </w:r>
            <w:r>
              <w:rPr>
                <w:webHidden/>
              </w:rPr>
              <w:fldChar w:fldCharType="begin"/>
            </w:r>
            <w:r>
              <w:rPr>
                <w:webHidden/>
              </w:rPr>
              <w:instrText xml:space="preserve"> PAGEREF _Toc24984191 \h </w:instrText>
            </w:r>
            <w:r>
              <w:rPr>
                <w:webHidden/>
              </w:rPr>
            </w:r>
            <w:r>
              <w:rPr>
                <w:webHidden/>
              </w:rPr>
              <w:fldChar w:fldCharType="separate"/>
            </w:r>
            <w:r>
              <w:rPr>
                <w:webHidden/>
              </w:rPr>
              <w:t>7</w:t>
            </w:r>
            <w:r>
              <w:rPr>
                <w:webHidden/>
              </w:rPr>
              <w:fldChar w:fldCharType="end"/>
            </w:r>
          </w:hyperlink>
        </w:p>
        <w:p w14:paraId="7862ED7C" w14:textId="73D925B2" w:rsidR="00867AA1" w:rsidRPr="00867AA1" w:rsidRDefault="00867AA1" w:rsidP="00867AA1">
          <w:pPr>
            <w:pStyle w:val="TOC1"/>
            <w:rPr>
              <w:rFonts w:eastAsiaTheme="minorEastAsia"/>
              <w:lang w:eastAsia="ko-KR"/>
            </w:rPr>
          </w:pPr>
          <w:hyperlink w:anchor="_Toc24984192" w:history="1">
            <w:r w:rsidRPr="00867AA1">
              <w:rPr>
                <w:rStyle w:val="Hyperlink"/>
                <w:bCs w:val="0"/>
              </w:rPr>
              <w:t>Useful References</w:t>
            </w:r>
            <w:r w:rsidRPr="00867AA1">
              <w:rPr>
                <w:webHidden/>
              </w:rPr>
              <w:tab/>
            </w:r>
            <w:r w:rsidRPr="00867AA1">
              <w:rPr>
                <w:webHidden/>
              </w:rPr>
              <w:fldChar w:fldCharType="begin"/>
            </w:r>
            <w:r w:rsidRPr="00867AA1">
              <w:rPr>
                <w:webHidden/>
              </w:rPr>
              <w:instrText xml:space="preserve"> PAGEREF _Toc24984192 \h </w:instrText>
            </w:r>
            <w:r w:rsidRPr="00867AA1">
              <w:rPr>
                <w:webHidden/>
              </w:rPr>
            </w:r>
            <w:r w:rsidRPr="00867AA1">
              <w:rPr>
                <w:webHidden/>
              </w:rPr>
              <w:fldChar w:fldCharType="separate"/>
            </w:r>
            <w:r w:rsidRPr="00867AA1">
              <w:rPr>
                <w:webHidden/>
              </w:rPr>
              <w:t>8</w:t>
            </w:r>
            <w:r w:rsidRPr="00867AA1">
              <w:rPr>
                <w:webHidden/>
              </w:rPr>
              <w:fldChar w:fldCharType="end"/>
            </w:r>
          </w:hyperlink>
        </w:p>
        <w:p w14:paraId="063D9D52" w14:textId="45273EFA" w:rsidR="00867AA1" w:rsidRPr="00867AA1" w:rsidRDefault="00867AA1" w:rsidP="00867AA1">
          <w:pPr>
            <w:pStyle w:val="TOC1"/>
            <w:rPr>
              <w:rFonts w:eastAsiaTheme="minorEastAsia"/>
              <w:lang w:eastAsia="ko-KR"/>
            </w:rPr>
          </w:pPr>
          <w:hyperlink w:anchor="_Toc24984193" w:history="1">
            <w:r w:rsidRPr="00867AA1">
              <w:rPr>
                <w:rStyle w:val="Hyperlink"/>
                <w:bCs w:val="0"/>
              </w:rPr>
              <w:t>Previous Assessments</w:t>
            </w:r>
            <w:r w:rsidRPr="00867AA1">
              <w:rPr>
                <w:webHidden/>
              </w:rPr>
              <w:tab/>
            </w:r>
            <w:r w:rsidRPr="00867AA1">
              <w:rPr>
                <w:webHidden/>
              </w:rPr>
              <w:fldChar w:fldCharType="begin"/>
            </w:r>
            <w:r w:rsidRPr="00867AA1">
              <w:rPr>
                <w:webHidden/>
              </w:rPr>
              <w:instrText xml:space="preserve"> PAGEREF _Toc24984193 \h </w:instrText>
            </w:r>
            <w:r w:rsidRPr="00867AA1">
              <w:rPr>
                <w:webHidden/>
              </w:rPr>
            </w:r>
            <w:r w:rsidRPr="00867AA1">
              <w:rPr>
                <w:webHidden/>
              </w:rPr>
              <w:fldChar w:fldCharType="separate"/>
            </w:r>
            <w:r w:rsidRPr="00867AA1">
              <w:rPr>
                <w:webHidden/>
              </w:rPr>
              <w:t>8</w:t>
            </w:r>
            <w:r w:rsidRPr="00867AA1">
              <w:rPr>
                <w:webHidden/>
              </w:rPr>
              <w:fldChar w:fldCharType="end"/>
            </w:r>
          </w:hyperlink>
        </w:p>
        <w:p w14:paraId="0D741453" w14:textId="04C8FC3A" w:rsidR="004B05DF" w:rsidRPr="002E2C57" w:rsidRDefault="004B05DF" w:rsidP="00867AA1">
          <w:pPr>
            <w:adjustRightInd w:val="0"/>
            <w:snapToGrid w:val="0"/>
            <w:spacing w:after="240" w:line="240" w:lineRule="auto"/>
            <w:rPr>
              <w:rFonts w:ascii="Times New Roman" w:hAnsi="Times New Roman" w:cs="Times New Roman"/>
            </w:rPr>
          </w:pPr>
          <w:r w:rsidRPr="002E2C57">
            <w:rPr>
              <w:rFonts w:ascii="Times New Roman" w:hAnsi="Times New Roman" w:cs="Times New Roman"/>
              <w:b/>
              <w:bCs/>
              <w:noProof/>
            </w:rPr>
            <w:fldChar w:fldCharType="end"/>
          </w:r>
        </w:p>
      </w:sdtContent>
    </w:sdt>
    <w:p w14:paraId="685B42F2" w14:textId="77777777" w:rsidR="00C34855" w:rsidRPr="002E2C57" w:rsidRDefault="00C34855" w:rsidP="002E2C57">
      <w:pPr>
        <w:adjustRightInd w:val="0"/>
        <w:snapToGrid w:val="0"/>
        <w:spacing w:after="0" w:line="240" w:lineRule="auto"/>
        <w:rPr>
          <w:rFonts w:ascii="Times New Roman" w:eastAsiaTheme="majorEastAsia" w:hAnsi="Times New Roman" w:cs="Times New Roman"/>
          <w:color w:val="2F5496" w:themeColor="accent1" w:themeShade="BF"/>
          <w:sz w:val="32"/>
          <w:szCs w:val="32"/>
        </w:rPr>
      </w:pPr>
      <w:r w:rsidRPr="002E2C57">
        <w:rPr>
          <w:rFonts w:ascii="Times New Roman" w:hAnsi="Times New Roman" w:cs="Times New Roman"/>
        </w:rPr>
        <w:br w:type="page"/>
      </w:r>
    </w:p>
    <w:p w14:paraId="0ECFC249" w14:textId="225D2C55" w:rsidR="002E2C57" w:rsidRPr="00867AA1" w:rsidRDefault="002E2C57" w:rsidP="002E2C57">
      <w:pPr>
        <w:pStyle w:val="Heading1"/>
        <w:rPr>
          <w:rFonts w:ascii="Times New Roman" w:hAnsi="Times New Roman" w:cs="Times New Roman"/>
          <w:b/>
          <w:bCs/>
        </w:rPr>
      </w:pPr>
      <w:bookmarkStart w:id="1" w:name="_Toc24984189"/>
      <w:r w:rsidRPr="00867AA1">
        <w:rPr>
          <w:rFonts w:ascii="Times New Roman" w:hAnsi="Times New Roman" w:cs="Times New Roman"/>
          <w:b/>
          <w:bCs/>
        </w:rPr>
        <w:lastRenderedPageBreak/>
        <w:t>SC1</w:t>
      </w:r>
      <w:r w:rsidRPr="00867AA1">
        <w:rPr>
          <w:rFonts w:ascii="Times New Roman" w:hAnsi="Times New Roman" w:cs="Times New Roman"/>
          <w:b/>
          <w:bCs/>
        </w:rPr>
        <w:t>5</w:t>
      </w:r>
      <w:r w:rsidRPr="00867AA1">
        <w:rPr>
          <w:rFonts w:ascii="Times New Roman" w:hAnsi="Times New Roman" w:cs="Times New Roman"/>
          <w:b/>
          <w:bCs/>
        </w:rPr>
        <w:t xml:space="preserve"> 201</w:t>
      </w:r>
      <w:r w:rsidRPr="00867AA1">
        <w:rPr>
          <w:rFonts w:ascii="Times New Roman" w:hAnsi="Times New Roman" w:cs="Times New Roman"/>
          <w:b/>
          <w:bCs/>
        </w:rPr>
        <w:t>9</w:t>
      </w:r>
      <w:r w:rsidRPr="00867AA1">
        <w:rPr>
          <w:rFonts w:ascii="Times New Roman" w:hAnsi="Times New Roman" w:cs="Times New Roman"/>
          <w:b/>
          <w:bCs/>
        </w:rPr>
        <w:t xml:space="preserve"> (</w:t>
      </w:r>
      <w:r w:rsidRPr="00867AA1">
        <w:rPr>
          <w:rFonts w:ascii="Times New Roman" w:hAnsi="Times New Roman" w:cs="Times New Roman"/>
          <w:b/>
          <w:bCs/>
        </w:rPr>
        <w:t>FISHERY INDICATORS UPDATED</w:t>
      </w:r>
      <w:r w:rsidRPr="00867AA1">
        <w:rPr>
          <w:rFonts w:ascii="Times New Roman" w:hAnsi="Times New Roman" w:cs="Times New Roman"/>
          <w:b/>
          <w:bCs/>
        </w:rPr>
        <w:t>)</w:t>
      </w:r>
      <w:bookmarkEnd w:id="1"/>
      <w:r w:rsidRPr="00867AA1">
        <w:rPr>
          <w:rFonts w:ascii="Times New Roman" w:hAnsi="Times New Roman" w:cs="Times New Roman"/>
          <w:b/>
          <w:bCs/>
        </w:rPr>
        <w:t xml:space="preserve"> </w:t>
      </w:r>
    </w:p>
    <w:p w14:paraId="58F79935" w14:textId="77777777" w:rsidR="002E2C57" w:rsidRPr="002E2C57" w:rsidRDefault="002E2C57" w:rsidP="002E2C57">
      <w:pPr>
        <w:pStyle w:val="ListParagraph"/>
        <w:adjustRightInd w:val="0"/>
        <w:snapToGrid w:val="0"/>
        <w:ind w:left="0" w:firstLine="0"/>
        <w:contextualSpacing w:val="0"/>
        <w:jc w:val="left"/>
        <w:rPr>
          <w:rFonts w:ascii="Times New Roman" w:hAnsi="Times New Roman"/>
          <w:b/>
        </w:rPr>
      </w:pPr>
    </w:p>
    <w:p w14:paraId="7DD3054F" w14:textId="49D0591D" w:rsidR="002E2C57" w:rsidRPr="002E2C57" w:rsidRDefault="002E2C57" w:rsidP="002E2C57">
      <w:pPr>
        <w:pStyle w:val="ListParagraph"/>
        <w:numPr>
          <w:ilvl w:val="0"/>
          <w:numId w:val="13"/>
        </w:numPr>
        <w:adjustRightInd w:val="0"/>
        <w:snapToGrid w:val="0"/>
        <w:ind w:left="0" w:firstLine="0"/>
        <w:contextualSpacing w:val="0"/>
        <w:jc w:val="left"/>
        <w:rPr>
          <w:rFonts w:ascii="Times New Roman" w:hAnsi="Times New Roman"/>
          <w:b/>
        </w:rPr>
      </w:pPr>
      <w:r w:rsidRPr="002E2C57">
        <w:rPr>
          <w:rFonts w:ascii="Times New Roman" w:hAnsi="Times New Roman"/>
          <w:b/>
        </w:rPr>
        <w:t>Stock status and trends</w:t>
      </w:r>
    </w:p>
    <w:p w14:paraId="237F941F" w14:textId="77777777" w:rsidR="002E2C57" w:rsidRPr="002E2C57" w:rsidRDefault="002E2C57" w:rsidP="002E2C57">
      <w:pPr>
        <w:pStyle w:val="BodyText"/>
        <w:adjustRightInd w:val="0"/>
        <w:snapToGrid w:val="0"/>
        <w:rPr>
          <w:rFonts w:cs="Times New Roman"/>
        </w:rPr>
      </w:pPr>
    </w:p>
    <w:p w14:paraId="70623CCE" w14:textId="77777777" w:rsidR="002E2C57" w:rsidRPr="002E2C57" w:rsidRDefault="002E2C57" w:rsidP="002E2C57">
      <w:pPr>
        <w:pStyle w:val="WCPFC"/>
        <w:adjustRightInd w:val="0"/>
        <w:spacing w:after="0"/>
        <w:ind w:left="0" w:firstLine="0"/>
        <w:rPr>
          <w:rFonts w:cs="Times New Roman"/>
        </w:rPr>
      </w:pPr>
      <w:r w:rsidRPr="002E2C57">
        <w:rPr>
          <w:rFonts w:cs="Times New Roman"/>
        </w:rPr>
        <w:t xml:space="preserve">SC15 noted that no stock assessments were conducted for North Pacific swordfish in 2019. Therefore, the stock status descriptions from SC14 are still current for North Pacific swordfish. For further information on the stock status and trends from SC14, please see </w:t>
      </w:r>
      <w:hyperlink r:id="rId9" w:history="1">
        <w:r w:rsidRPr="002E2C57">
          <w:rPr>
            <w:rStyle w:val="Hyperlink"/>
            <w:rFonts w:cs="Times New Roman"/>
          </w:rPr>
          <w:t>https://www.wcpfc.int/node/32155</w:t>
        </w:r>
      </w:hyperlink>
      <w:r w:rsidRPr="002E2C57">
        <w:rPr>
          <w:rFonts w:cs="Times New Roman"/>
          <w:color w:val="0000FF"/>
        </w:rPr>
        <w:t xml:space="preserve">. </w:t>
      </w:r>
      <w:r w:rsidRPr="002E2C57">
        <w:rPr>
          <w:rFonts w:cs="Times New Roman"/>
        </w:rPr>
        <w:t>Updated information on catches was not compiled for and reviewed by</w:t>
      </w:r>
      <w:r w:rsidRPr="002E2C57">
        <w:rPr>
          <w:rFonts w:cs="Times New Roman"/>
          <w:spacing w:val="-19"/>
        </w:rPr>
        <w:t xml:space="preserve"> </w:t>
      </w:r>
      <w:r w:rsidRPr="002E2C57">
        <w:rPr>
          <w:rFonts w:cs="Times New Roman"/>
        </w:rPr>
        <w:t xml:space="preserve">SC15. </w:t>
      </w:r>
    </w:p>
    <w:p w14:paraId="03C398FC" w14:textId="77777777" w:rsidR="002E2C57" w:rsidRPr="002E2C57" w:rsidRDefault="002E2C57" w:rsidP="002E2C57">
      <w:pPr>
        <w:tabs>
          <w:tab w:val="left" w:pos="820"/>
        </w:tabs>
        <w:adjustRightInd w:val="0"/>
        <w:snapToGrid w:val="0"/>
        <w:spacing w:after="0" w:line="240" w:lineRule="auto"/>
        <w:jc w:val="both"/>
        <w:rPr>
          <w:rFonts w:ascii="Times New Roman" w:hAnsi="Times New Roman" w:cs="Times New Roman"/>
          <w:b/>
        </w:rPr>
      </w:pPr>
    </w:p>
    <w:p w14:paraId="01D0AFA0" w14:textId="77777777" w:rsidR="002E2C57" w:rsidRPr="002E2C57" w:rsidRDefault="002E2C57" w:rsidP="002E2C57">
      <w:pPr>
        <w:pStyle w:val="ListParagraph"/>
        <w:numPr>
          <w:ilvl w:val="0"/>
          <w:numId w:val="13"/>
        </w:numPr>
        <w:tabs>
          <w:tab w:val="left" w:pos="820"/>
        </w:tabs>
        <w:adjustRightInd w:val="0"/>
        <w:snapToGrid w:val="0"/>
        <w:ind w:left="0" w:firstLine="0"/>
        <w:contextualSpacing w:val="0"/>
        <w:rPr>
          <w:rFonts w:ascii="Times New Roman" w:hAnsi="Times New Roman"/>
          <w:b/>
        </w:rPr>
      </w:pPr>
      <w:r w:rsidRPr="002E2C57">
        <w:rPr>
          <w:rFonts w:ascii="Times New Roman" w:hAnsi="Times New Roman"/>
          <w:b/>
        </w:rPr>
        <w:t>Management Advice and implications</w:t>
      </w:r>
    </w:p>
    <w:p w14:paraId="3DEE49D1" w14:textId="77777777" w:rsidR="002E2C57" w:rsidRPr="002E2C57" w:rsidRDefault="002E2C57" w:rsidP="002E2C57">
      <w:pPr>
        <w:tabs>
          <w:tab w:val="left" w:pos="820"/>
        </w:tabs>
        <w:adjustRightInd w:val="0"/>
        <w:snapToGrid w:val="0"/>
        <w:spacing w:after="0" w:line="240" w:lineRule="auto"/>
        <w:jc w:val="both"/>
        <w:rPr>
          <w:rFonts w:ascii="Times New Roman" w:hAnsi="Times New Roman" w:cs="Times New Roman"/>
          <w:b/>
        </w:rPr>
      </w:pPr>
    </w:p>
    <w:p w14:paraId="7992B5B6" w14:textId="77777777" w:rsidR="002E2C57" w:rsidRPr="002E2C57" w:rsidRDefault="002E2C57" w:rsidP="00857BD1">
      <w:pPr>
        <w:pStyle w:val="WCPFC"/>
        <w:adjustRightInd w:val="0"/>
        <w:spacing w:after="0"/>
        <w:ind w:left="0" w:firstLine="0"/>
        <w:rPr>
          <w:rFonts w:cs="Times New Roman"/>
          <w:bCs/>
        </w:rPr>
      </w:pPr>
      <w:r w:rsidRPr="002E2C57">
        <w:rPr>
          <w:rFonts w:cs="Times New Roman"/>
          <w:bCs/>
        </w:rPr>
        <w:t xml:space="preserve">SC15 noted that no management advice has been provided since SC14 for North Pacific swordfish. Therefore, the advice from SC14 should be maintained, pending a new assessment or other new information. For further information on the management advice and implications from SC14, please see </w:t>
      </w:r>
      <w:hyperlink r:id="rId10" w:history="1">
        <w:r w:rsidRPr="002E2C57">
          <w:rPr>
            <w:rStyle w:val="Hyperlink"/>
            <w:rFonts w:cs="Times New Roman"/>
          </w:rPr>
          <w:t>https://www.wcpfc.int/node/32155</w:t>
        </w:r>
      </w:hyperlink>
    </w:p>
    <w:p w14:paraId="324D1ABE" w14:textId="5815BDD6" w:rsidR="002E2C57" w:rsidRPr="00857BD1" w:rsidRDefault="002E2C57" w:rsidP="00857BD1">
      <w:pPr>
        <w:pStyle w:val="Heading1"/>
        <w:adjustRightInd w:val="0"/>
        <w:snapToGrid w:val="0"/>
        <w:spacing w:before="0" w:line="240" w:lineRule="auto"/>
        <w:rPr>
          <w:rFonts w:ascii="Times New Roman" w:hAnsi="Times New Roman" w:cs="Times New Roman"/>
          <w:sz w:val="22"/>
          <w:szCs w:val="22"/>
        </w:rPr>
      </w:pPr>
    </w:p>
    <w:p w14:paraId="552099C0" w14:textId="77777777" w:rsidR="00857BD1" w:rsidRPr="00857BD1" w:rsidRDefault="00857BD1" w:rsidP="00857BD1">
      <w:pPr>
        <w:adjustRightInd w:val="0"/>
        <w:snapToGrid w:val="0"/>
        <w:spacing w:after="0" w:line="240" w:lineRule="auto"/>
      </w:pPr>
    </w:p>
    <w:p w14:paraId="393C6FF2" w14:textId="3AB7A54C" w:rsidR="004B05DF" w:rsidRPr="00867AA1" w:rsidRDefault="004B05DF" w:rsidP="00857BD1">
      <w:pPr>
        <w:pStyle w:val="Heading1"/>
        <w:adjustRightInd w:val="0"/>
        <w:snapToGrid w:val="0"/>
        <w:spacing w:before="0" w:line="240" w:lineRule="auto"/>
        <w:rPr>
          <w:rFonts w:ascii="Times New Roman" w:hAnsi="Times New Roman" w:cs="Times New Roman"/>
          <w:b/>
          <w:bCs/>
        </w:rPr>
      </w:pPr>
      <w:bookmarkStart w:id="2" w:name="_Toc24984190"/>
      <w:r w:rsidRPr="00867AA1">
        <w:rPr>
          <w:rFonts w:ascii="Times New Roman" w:hAnsi="Times New Roman" w:cs="Times New Roman"/>
          <w:b/>
          <w:bCs/>
        </w:rPr>
        <w:t>SC1</w:t>
      </w:r>
      <w:r w:rsidR="001C3D51" w:rsidRPr="00867AA1">
        <w:rPr>
          <w:rFonts w:ascii="Times New Roman" w:hAnsi="Times New Roman" w:cs="Times New Roman"/>
          <w:b/>
          <w:bCs/>
        </w:rPr>
        <w:t>4</w:t>
      </w:r>
      <w:r w:rsidRPr="00867AA1">
        <w:rPr>
          <w:rFonts w:ascii="Times New Roman" w:hAnsi="Times New Roman" w:cs="Times New Roman"/>
          <w:b/>
          <w:bCs/>
        </w:rPr>
        <w:t xml:space="preserve"> 201</w:t>
      </w:r>
      <w:r w:rsidR="001C3D51" w:rsidRPr="00867AA1">
        <w:rPr>
          <w:rFonts w:ascii="Times New Roman" w:hAnsi="Times New Roman" w:cs="Times New Roman"/>
          <w:b/>
          <w:bCs/>
        </w:rPr>
        <w:t>8 (STOCK ASSESSMENT CONDUCTED)</w:t>
      </w:r>
      <w:bookmarkEnd w:id="2"/>
      <w:r w:rsidRPr="00867AA1">
        <w:rPr>
          <w:rFonts w:ascii="Times New Roman" w:hAnsi="Times New Roman" w:cs="Times New Roman"/>
          <w:b/>
          <w:bCs/>
        </w:rPr>
        <w:t xml:space="preserve"> </w:t>
      </w:r>
    </w:p>
    <w:p w14:paraId="5584A3B4" w14:textId="77777777" w:rsidR="00C34855" w:rsidRPr="00857BD1" w:rsidRDefault="00C34855" w:rsidP="00857BD1">
      <w:pPr>
        <w:adjustRightInd w:val="0"/>
        <w:snapToGrid w:val="0"/>
        <w:spacing w:after="0" w:line="240" w:lineRule="auto"/>
        <w:jc w:val="both"/>
        <w:rPr>
          <w:rFonts w:ascii="Times New Roman" w:hAnsi="Times New Roman" w:cs="Times New Roman"/>
          <w:b/>
        </w:rPr>
      </w:pPr>
      <w:bookmarkStart w:id="3" w:name="_Toc495323856"/>
    </w:p>
    <w:p w14:paraId="1EB6D855" w14:textId="77777777" w:rsidR="00857BD1" w:rsidRPr="00857BD1" w:rsidRDefault="00857BD1" w:rsidP="00857BD1">
      <w:pPr>
        <w:pStyle w:val="SCa"/>
        <w:tabs>
          <w:tab w:val="clear" w:pos="1080"/>
        </w:tabs>
        <w:spacing w:after="0"/>
        <w:ind w:left="0"/>
      </w:pPr>
      <w:r w:rsidRPr="00857BD1">
        <w:t>a.</w:t>
      </w:r>
      <w:r w:rsidRPr="00857BD1">
        <w:tab/>
        <w:t xml:space="preserve">Status and trends </w:t>
      </w:r>
    </w:p>
    <w:p w14:paraId="6796025A" w14:textId="77777777" w:rsidR="00857BD1" w:rsidRPr="00857BD1" w:rsidRDefault="00857BD1" w:rsidP="00857BD1">
      <w:pPr>
        <w:pStyle w:val="SCa"/>
        <w:spacing w:after="0"/>
      </w:pPr>
    </w:p>
    <w:p w14:paraId="00E52FDC" w14:textId="77777777" w:rsidR="00857BD1" w:rsidRPr="00857BD1" w:rsidRDefault="00857BD1" w:rsidP="00857BD1">
      <w:pPr>
        <w:pStyle w:val="WCPFC"/>
        <w:numPr>
          <w:ilvl w:val="0"/>
          <w:numId w:val="17"/>
        </w:numPr>
        <w:autoSpaceDE w:val="0"/>
        <w:autoSpaceDN w:val="0"/>
        <w:adjustRightInd w:val="0"/>
        <w:spacing w:after="0"/>
        <w:ind w:left="0" w:firstLine="0"/>
        <w:rPr>
          <w:rFonts w:eastAsia="Batang" w:cs="Times New Roman"/>
          <w:lang w:eastAsia="ko-KR"/>
        </w:rPr>
      </w:pPr>
      <w:r w:rsidRPr="00857BD1">
        <w:rPr>
          <w:rFonts w:eastAsia="Batang" w:cs="Times New Roman"/>
          <w:lang w:eastAsia="ko-KR"/>
        </w:rPr>
        <w:t>SC14 noted that ISC provided the following conclusions on the stock status of Western and Central North Pacific Swordfish in the Pacific Ocean in 2017 presented in SC14-SA-WP-07 (Stock Assessment for Swordfish (</w:t>
      </w:r>
      <w:r w:rsidRPr="00857BD1">
        <w:rPr>
          <w:rFonts w:eastAsia="Batang" w:cs="Times New Roman"/>
          <w:i/>
          <w:lang w:eastAsia="ko-KR"/>
        </w:rPr>
        <w:t>Xiphias gladius</w:t>
      </w:r>
      <w:r w:rsidRPr="00857BD1">
        <w:rPr>
          <w:rFonts w:eastAsia="Batang" w:cs="Times New Roman"/>
          <w:lang w:eastAsia="ko-KR"/>
        </w:rPr>
        <w:t xml:space="preserve">) in the Western and Central North Pacific Ocean through 2016). </w:t>
      </w:r>
    </w:p>
    <w:p w14:paraId="7369B361" w14:textId="77777777" w:rsidR="00857BD1" w:rsidRPr="00857BD1" w:rsidRDefault="00857BD1" w:rsidP="00857BD1">
      <w:pPr>
        <w:autoSpaceDE w:val="0"/>
        <w:autoSpaceDN w:val="0"/>
        <w:adjustRightInd w:val="0"/>
        <w:snapToGrid w:val="0"/>
        <w:spacing w:after="0" w:line="240" w:lineRule="auto"/>
        <w:jc w:val="both"/>
        <w:rPr>
          <w:rFonts w:ascii="Times New Roman" w:eastAsia="Batang" w:hAnsi="Times New Roman" w:cs="Times New Roman"/>
          <w:bCs/>
          <w:lang w:eastAsia="ko-KR"/>
        </w:rPr>
      </w:pPr>
    </w:p>
    <w:p w14:paraId="391393BD"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r w:rsidRPr="00857BD1">
        <w:rPr>
          <w:rFonts w:ascii="Times New Roman" w:eastAsia="Batang" w:hAnsi="Times New Roman" w:cs="Times New Roman"/>
          <w:lang w:eastAsia="ko-KR"/>
        </w:rPr>
        <w:t>Estimates of total stock biomass show a relatively stable population, with a slight decline until the mid-1990s followed by a slight increase since 2000. Population biomass (age-1 and older) averaged roughly 97,919 t in 1974-1978, the first 5 years of the assessment time frame, and has declined by only 20% to 71,979 t in 2016 (Figure NPS-3). Female spawning stock biomass was estimated to be 29,403 t in 2016, or about 90% above SSB</w:t>
      </w:r>
      <w:r w:rsidRPr="00857BD1">
        <w:rPr>
          <w:rFonts w:ascii="Times New Roman" w:eastAsia="Batang" w:hAnsi="Times New Roman" w:cs="Times New Roman"/>
          <w:vertAlign w:val="subscript"/>
          <w:lang w:eastAsia="ko-KR"/>
        </w:rPr>
        <w:t>MSY</w:t>
      </w:r>
      <w:r w:rsidRPr="00857BD1">
        <w:rPr>
          <w:rFonts w:ascii="Times New Roman" w:eastAsia="Batang" w:hAnsi="Times New Roman" w:cs="Times New Roman"/>
          <w:lang w:eastAsia="ko-KR"/>
        </w:rPr>
        <w:t xml:space="preserve"> (Table NPS-1 and Table NPS-2). Fishing mortality on the stock (average F, ages 1 – 10) averaged roughly F = 0.08 yr</w:t>
      </w:r>
      <w:r w:rsidRPr="00857BD1">
        <w:rPr>
          <w:rFonts w:ascii="Times New Roman" w:eastAsia="Batang" w:hAnsi="Times New Roman" w:cs="Times New Roman"/>
          <w:vertAlign w:val="superscript"/>
          <w:lang w:eastAsia="ko-KR"/>
        </w:rPr>
        <w:t>-1</w:t>
      </w:r>
      <w:r w:rsidRPr="00857BD1">
        <w:rPr>
          <w:rFonts w:ascii="Times New Roman" w:eastAsia="Batang" w:hAnsi="Times New Roman" w:cs="Times New Roman"/>
          <w:lang w:eastAsia="ko-KR"/>
        </w:rPr>
        <w:t xml:space="preserve"> during 2013-2015, or about 45% below F</w:t>
      </w:r>
      <w:r w:rsidRPr="00857BD1">
        <w:rPr>
          <w:rFonts w:ascii="Times New Roman" w:eastAsia="Batang" w:hAnsi="Times New Roman" w:cs="Times New Roman"/>
          <w:vertAlign w:val="subscript"/>
          <w:lang w:eastAsia="ko-KR"/>
        </w:rPr>
        <w:t>MSY</w:t>
      </w:r>
      <w:r w:rsidRPr="00857BD1">
        <w:rPr>
          <w:rFonts w:ascii="Times New Roman" w:eastAsia="Batang" w:hAnsi="Times New Roman" w:cs="Times New Roman"/>
          <w:lang w:eastAsia="ko-KR"/>
        </w:rPr>
        <w:t>. The estimated SPR (the predicted spawning output at the current F as a fraction of unfished spawning output) is currently SPR</w:t>
      </w:r>
      <w:r w:rsidRPr="00857BD1">
        <w:rPr>
          <w:rFonts w:ascii="Times New Roman" w:eastAsia="Batang" w:hAnsi="Times New Roman" w:cs="Times New Roman"/>
          <w:vertAlign w:val="subscript"/>
          <w:lang w:eastAsia="ko-KR"/>
        </w:rPr>
        <w:t>2016</w:t>
      </w:r>
      <w:r w:rsidRPr="00857BD1">
        <w:rPr>
          <w:rFonts w:ascii="Times New Roman" w:eastAsia="Batang" w:hAnsi="Times New Roman" w:cs="Times New Roman"/>
          <w:lang w:eastAsia="ko-KR"/>
        </w:rPr>
        <w:t xml:space="preserve"> = 45%. Annual recruitment averaged about 717,000 recruits during 2012-2016, and no long-term trend in recruitment was apparent. Overall, the time series of spawning stock biomass and recruitment estimates indicate a stable spawning stock biomass and suggest a fluctuating pattern without trend for recruitment (Figure NPS-3). The Kobe plot depicts the stock status relative to MSY-based reference points for the base case model (Figure NPS-4) and shows that spawning stock biomass declined to almost the MSY level in the mid-1990s, but SSB has remained above SSB</w:t>
      </w:r>
      <w:r w:rsidRPr="00857BD1">
        <w:rPr>
          <w:rFonts w:ascii="Times New Roman" w:eastAsia="Batang" w:hAnsi="Times New Roman" w:cs="Times New Roman"/>
          <w:vertAlign w:val="subscript"/>
          <w:lang w:eastAsia="ko-KR"/>
        </w:rPr>
        <w:t>MSY</w:t>
      </w:r>
      <w:r w:rsidRPr="00857BD1">
        <w:rPr>
          <w:rFonts w:ascii="Times New Roman" w:eastAsia="Batang" w:hAnsi="Times New Roman" w:cs="Times New Roman"/>
          <w:lang w:eastAsia="ko-KR"/>
        </w:rPr>
        <w:t xml:space="preserve"> throughout the time series (Figure NPS-3B).</w:t>
      </w:r>
    </w:p>
    <w:p w14:paraId="3F1796A6"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p>
    <w:p w14:paraId="06FB21BE"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r w:rsidRPr="00857BD1">
        <w:rPr>
          <w:rFonts w:ascii="Times New Roman" w:eastAsia="Batang" w:hAnsi="Times New Roman" w:cs="Times New Roman"/>
          <w:lang w:eastAsia="ko-KR"/>
        </w:rPr>
        <w:t xml:space="preserve">For this 2018 benchmark assessment, note that biomass status is based on female spawning stock biomass, whereas for the 2014 update assessment, biomass status was based on exploitable biomass (effectively </w:t>
      </w:r>
      <w:proofErr w:type="gramStart"/>
      <w:r w:rsidRPr="00857BD1">
        <w:rPr>
          <w:rFonts w:ascii="Times New Roman" w:eastAsia="Batang" w:hAnsi="Times New Roman" w:cs="Times New Roman"/>
          <w:lang w:eastAsia="ko-KR"/>
        </w:rPr>
        <w:t>age-2</w:t>
      </w:r>
      <w:proofErr w:type="gramEnd"/>
      <w:r w:rsidRPr="00857BD1">
        <w:rPr>
          <w:rFonts w:ascii="Times New Roman" w:eastAsia="Batang" w:hAnsi="Times New Roman" w:cs="Times New Roman"/>
          <w:lang w:eastAsia="ko-KR"/>
        </w:rPr>
        <w:t>+ biomass). It is also important to note that there are no currently agreed upon reference points for the WCNPO swordfish stock and that retrospective analyses show that the assessment model appears to underestimate spawning stock biomass in recent years.</w:t>
      </w:r>
    </w:p>
    <w:p w14:paraId="6B4A3BC8"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p>
    <w:p w14:paraId="19E4459E"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lang w:eastAsia="ko-KR"/>
        </w:rPr>
      </w:pPr>
      <w:r w:rsidRPr="00857BD1">
        <w:rPr>
          <w:rFonts w:ascii="Times New Roman" w:eastAsia="Batang" w:hAnsi="Times New Roman" w:cs="Times New Roman"/>
          <w:lang w:eastAsia="ko-KR"/>
        </w:rPr>
        <w:t>Based on these findings, the following information on the status of the WCNPO SWO stock is provided:</w:t>
      </w:r>
    </w:p>
    <w:p w14:paraId="654F8FD8" w14:textId="77777777" w:rsidR="00857BD1" w:rsidRPr="00857BD1" w:rsidRDefault="00857BD1" w:rsidP="00857BD1">
      <w:pPr>
        <w:pStyle w:val="ListParagraph"/>
        <w:numPr>
          <w:ilvl w:val="1"/>
          <w:numId w:val="18"/>
        </w:numPr>
        <w:adjustRightInd w:val="0"/>
        <w:snapToGrid w:val="0"/>
        <w:ind w:left="1080"/>
        <w:contextualSpacing w:val="0"/>
        <w:rPr>
          <w:rFonts w:ascii="Times New Roman" w:eastAsia="Batang" w:hAnsi="Times New Roman"/>
          <w:bCs/>
          <w:lang w:eastAsia="ko-KR"/>
        </w:rPr>
      </w:pPr>
      <w:r w:rsidRPr="00857BD1">
        <w:rPr>
          <w:rFonts w:ascii="Times New Roman" w:eastAsia="Batang" w:hAnsi="Times New Roman"/>
          <w:bCs/>
          <w:lang w:eastAsia="ko-KR"/>
        </w:rPr>
        <w:lastRenderedPageBreak/>
        <w:t>The WCNPO swordfish stock has produced annual yields of around 10,200 t per year since 2012, or about 2/3 of the MSY catch amount.</w:t>
      </w:r>
    </w:p>
    <w:p w14:paraId="384E3C51" w14:textId="77777777" w:rsidR="00857BD1" w:rsidRPr="00857BD1" w:rsidRDefault="00857BD1" w:rsidP="00857BD1">
      <w:pPr>
        <w:pStyle w:val="ListParagraph"/>
        <w:numPr>
          <w:ilvl w:val="1"/>
          <w:numId w:val="18"/>
        </w:numPr>
        <w:adjustRightInd w:val="0"/>
        <w:snapToGrid w:val="0"/>
        <w:ind w:left="1080"/>
        <w:contextualSpacing w:val="0"/>
        <w:rPr>
          <w:rFonts w:ascii="Times New Roman" w:eastAsia="Batang" w:hAnsi="Times New Roman"/>
          <w:bCs/>
          <w:lang w:eastAsia="ko-KR"/>
        </w:rPr>
      </w:pPr>
      <w:r w:rsidRPr="00857BD1">
        <w:rPr>
          <w:rFonts w:ascii="Times New Roman" w:eastAsia="Batang" w:hAnsi="Times New Roman"/>
          <w:bCs/>
          <w:lang w:eastAsia="ko-KR"/>
        </w:rPr>
        <w:t>There is no evidence of excess fishing mortality above F</w:t>
      </w:r>
      <w:r w:rsidRPr="00857BD1">
        <w:rPr>
          <w:rFonts w:ascii="Times New Roman" w:eastAsia="Batang" w:hAnsi="Times New Roman"/>
          <w:bCs/>
          <w:vertAlign w:val="subscript"/>
          <w:lang w:eastAsia="ko-KR"/>
        </w:rPr>
        <w:t>MSY</w:t>
      </w:r>
      <w:r w:rsidRPr="00857BD1">
        <w:rPr>
          <w:rFonts w:ascii="Times New Roman" w:eastAsia="Batang" w:hAnsi="Times New Roman"/>
          <w:bCs/>
          <w:lang w:eastAsia="ko-KR"/>
        </w:rPr>
        <w:t xml:space="preserve"> (F</w:t>
      </w:r>
      <w:r w:rsidRPr="00857BD1">
        <w:rPr>
          <w:rFonts w:ascii="Times New Roman" w:eastAsia="Batang" w:hAnsi="Times New Roman"/>
          <w:bCs/>
          <w:vertAlign w:val="subscript"/>
          <w:lang w:eastAsia="ko-KR"/>
        </w:rPr>
        <w:t>2013-2015</w:t>
      </w:r>
      <w:r w:rsidRPr="00857BD1">
        <w:rPr>
          <w:rFonts w:ascii="Times New Roman" w:eastAsia="Batang" w:hAnsi="Times New Roman"/>
          <w:bCs/>
          <w:lang w:eastAsia="ko-KR"/>
        </w:rPr>
        <w:t xml:space="preserve"> is 45% of F</w:t>
      </w:r>
      <w:r w:rsidRPr="00857BD1">
        <w:rPr>
          <w:rFonts w:ascii="Times New Roman" w:eastAsia="Batang" w:hAnsi="Times New Roman"/>
          <w:bCs/>
          <w:vertAlign w:val="subscript"/>
          <w:lang w:eastAsia="ko-KR"/>
        </w:rPr>
        <w:t>MSY</w:t>
      </w:r>
      <w:r w:rsidRPr="00857BD1">
        <w:rPr>
          <w:rFonts w:ascii="Times New Roman" w:eastAsia="Batang" w:hAnsi="Times New Roman"/>
          <w:bCs/>
          <w:lang w:eastAsia="ko-KR"/>
        </w:rPr>
        <w:t>) or substantial depletion of spawning potential (SSB</w:t>
      </w:r>
      <w:r w:rsidRPr="00857BD1">
        <w:rPr>
          <w:rFonts w:ascii="Times New Roman" w:eastAsia="Batang" w:hAnsi="Times New Roman"/>
          <w:bCs/>
          <w:vertAlign w:val="subscript"/>
          <w:lang w:eastAsia="ko-KR"/>
        </w:rPr>
        <w:t>2016</w:t>
      </w:r>
      <w:r w:rsidRPr="00857BD1">
        <w:rPr>
          <w:rFonts w:ascii="Times New Roman" w:eastAsia="Batang" w:hAnsi="Times New Roman"/>
          <w:bCs/>
          <w:lang w:eastAsia="ko-KR"/>
        </w:rPr>
        <w:t xml:space="preserve"> is 87% above SSB</w:t>
      </w:r>
      <w:r w:rsidRPr="00857BD1">
        <w:rPr>
          <w:rFonts w:ascii="Times New Roman" w:eastAsia="Batang" w:hAnsi="Times New Roman"/>
          <w:bCs/>
          <w:vertAlign w:val="subscript"/>
          <w:lang w:eastAsia="ko-KR"/>
        </w:rPr>
        <w:t>MSY</w:t>
      </w:r>
      <w:r w:rsidRPr="00857BD1">
        <w:rPr>
          <w:rFonts w:ascii="Times New Roman" w:eastAsia="Batang" w:hAnsi="Times New Roman"/>
          <w:bCs/>
          <w:lang w:eastAsia="ko-KR"/>
        </w:rPr>
        <w:t>).</w:t>
      </w:r>
    </w:p>
    <w:p w14:paraId="2C6CCA04" w14:textId="77777777" w:rsidR="00857BD1" w:rsidRPr="00857BD1" w:rsidRDefault="00857BD1" w:rsidP="00857BD1">
      <w:pPr>
        <w:pStyle w:val="ListParagraph"/>
        <w:numPr>
          <w:ilvl w:val="1"/>
          <w:numId w:val="18"/>
        </w:numPr>
        <w:adjustRightInd w:val="0"/>
        <w:snapToGrid w:val="0"/>
        <w:ind w:left="1080"/>
        <w:contextualSpacing w:val="0"/>
        <w:rPr>
          <w:rFonts w:ascii="Times New Roman" w:eastAsia="Batang" w:hAnsi="Times New Roman"/>
          <w:bCs/>
          <w:lang w:eastAsia="ko-KR"/>
        </w:rPr>
      </w:pPr>
      <w:r w:rsidRPr="00857BD1">
        <w:rPr>
          <w:rFonts w:ascii="Times New Roman" w:eastAsia="Batang" w:hAnsi="Times New Roman"/>
          <w:bCs/>
          <w:lang w:eastAsia="ko-KR"/>
        </w:rPr>
        <w:t>Overall, the WCNPO swordfish stock is not likely overfished and is not likely experiencing overfishing relative to MSY-based or 20% of unfished spawning biomass-based reference points.</w:t>
      </w:r>
    </w:p>
    <w:p w14:paraId="648EC614" w14:textId="77777777" w:rsidR="00857BD1" w:rsidRPr="00857BD1" w:rsidRDefault="00857BD1" w:rsidP="00857BD1">
      <w:pPr>
        <w:pStyle w:val="SCa"/>
        <w:spacing w:after="0"/>
        <w:rPr>
          <w:b w:val="0"/>
          <w:bCs/>
        </w:rPr>
      </w:pPr>
    </w:p>
    <w:p w14:paraId="5451EA2C" w14:textId="77777777" w:rsidR="00857BD1" w:rsidRPr="00857BD1" w:rsidRDefault="00857BD1" w:rsidP="00857BD1">
      <w:pPr>
        <w:pStyle w:val="SCa"/>
        <w:tabs>
          <w:tab w:val="clear" w:pos="1080"/>
        </w:tabs>
        <w:spacing w:after="0"/>
        <w:ind w:left="0"/>
      </w:pPr>
      <w:r w:rsidRPr="00857BD1">
        <w:t>b.</w:t>
      </w:r>
      <w:r w:rsidRPr="00857BD1">
        <w:tab/>
        <w:t xml:space="preserve">Management advice and implications </w:t>
      </w:r>
    </w:p>
    <w:p w14:paraId="65916BF4" w14:textId="77777777" w:rsidR="00857BD1" w:rsidRPr="00857BD1" w:rsidRDefault="00857BD1" w:rsidP="00857BD1">
      <w:pPr>
        <w:pStyle w:val="SCa"/>
        <w:spacing w:after="0"/>
      </w:pPr>
    </w:p>
    <w:p w14:paraId="16E764E8" w14:textId="77777777" w:rsidR="00857BD1" w:rsidRPr="00857BD1" w:rsidRDefault="00857BD1" w:rsidP="00857BD1">
      <w:pPr>
        <w:numPr>
          <w:ilvl w:val="0"/>
          <w:numId w:val="2"/>
        </w:numPr>
        <w:autoSpaceDE w:val="0"/>
        <w:autoSpaceDN w:val="0"/>
        <w:adjustRightInd w:val="0"/>
        <w:snapToGrid w:val="0"/>
        <w:spacing w:after="0" w:line="240" w:lineRule="auto"/>
        <w:ind w:left="0" w:firstLine="0"/>
        <w:jc w:val="both"/>
        <w:rPr>
          <w:rFonts w:ascii="Times New Roman" w:eastAsia="Batang" w:hAnsi="Times New Roman" w:cs="Times New Roman"/>
          <w:lang w:eastAsia="ko-KR"/>
        </w:rPr>
      </w:pPr>
      <w:r w:rsidRPr="00857BD1">
        <w:rPr>
          <w:rFonts w:ascii="Times New Roman" w:eastAsia="Batang" w:hAnsi="Times New Roman" w:cs="Times New Roman"/>
          <w:lang w:eastAsia="ko-KR"/>
        </w:rPr>
        <w:t xml:space="preserve">SC14 noted the following conservation advice from ISC: </w:t>
      </w:r>
    </w:p>
    <w:p w14:paraId="4616D606"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r w:rsidRPr="00857BD1">
        <w:rPr>
          <w:rFonts w:ascii="Times New Roman" w:eastAsia="Batang" w:hAnsi="Times New Roman" w:cs="Times New Roman"/>
          <w:bCs/>
          <w:lang w:eastAsia="ko-KR"/>
        </w:rPr>
        <w:t>S</w:t>
      </w:r>
      <w:r w:rsidRPr="00857BD1">
        <w:rPr>
          <w:rFonts w:ascii="Times New Roman" w:eastAsia="Batang" w:hAnsi="Times New Roman" w:cs="Times New Roman"/>
          <w:lang w:eastAsia="ko-KR"/>
        </w:rPr>
        <w:t>tock projections were conducted using a two-gender projection model. The five stock projection scenarios were: (1) F status quo, (2) F</w:t>
      </w:r>
      <w:r w:rsidRPr="00857BD1">
        <w:rPr>
          <w:rFonts w:ascii="Times New Roman" w:eastAsia="Batang" w:hAnsi="Times New Roman" w:cs="Times New Roman"/>
          <w:vertAlign w:val="subscript"/>
          <w:lang w:eastAsia="ko-KR"/>
        </w:rPr>
        <w:t>MSY</w:t>
      </w:r>
      <w:r w:rsidRPr="00857BD1">
        <w:rPr>
          <w:rFonts w:ascii="Times New Roman" w:eastAsia="Batang" w:hAnsi="Times New Roman" w:cs="Times New Roman"/>
          <w:lang w:eastAsia="ko-KR"/>
        </w:rPr>
        <w:t>, (3) F at 0.2*SSB</w:t>
      </w:r>
      <w:r w:rsidRPr="00857BD1">
        <w:rPr>
          <w:rFonts w:ascii="Times New Roman" w:eastAsia="Batang" w:hAnsi="Times New Roman" w:cs="Times New Roman"/>
          <w:vertAlign w:val="subscript"/>
          <w:lang w:eastAsia="ko-KR"/>
        </w:rPr>
        <w:t>F=0</w:t>
      </w:r>
      <w:r w:rsidRPr="00857BD1">
        <w:rPr>
          <w:rFonts w:ascii="Times New Roman" w:eastAsia="Batang" w:hAnsi="Times New Roman" w:cs="Times New Roman"/>
          <w:lang w:eastAsia="ko-KR"/>
        </w:rPr>
        <w:t>, (4) F</w:t>
      </w:r>
      <w:r w:rsidRPr="00857BD1">
        <w:rPr>
          <w:rFonts w:ascii="Times New Roman" w:eastAsia="Batang" w:hAnsi="Times New Roman" w:cs="Times New Roman"/>
          <w:vertAlign w:val="subscript"/>
          <w:lang w:eastAsia="ko-KR"/>
        </w:rPr>
        <w:t>20%</w:t>
      </w:r>
      <w:r w:rsidRPr="00857BD1">
        <w:rPr>
          <w:rFonts w:ascii="Times New Roman" w:eastAsia="Batang" w:hAnsi="Times New Roman" w:cs="Times New Roman"/>
          <w:lang w:eastAsia="ko-KR"/>
        </w:rPr>
        <w:t>, and (5) F</w:t>
      </w:r>
      <w:r w:rsidRPr="00857BD1">
        <w:rPr>
          <w:rFonts w:ascii="Times New Roman" w:eastAsia="Batang" w:hAnsi="Times New Roman" w:cs="Times New Roman"/>
          <w:vertAlign w:val="subscript"/>
          <w:lang w:eastAsia="ko-KR"/>
        </w:rPr>
        <w:t>50%</w:t>
      </w:r>
      <w:r w:rsidRPr="00857BD1">
        <w:rPr>
          <w:rFonts w:ascii="Times New Roman" w:eastAsia="Batang" w:hAnsi="Times New Roman" w:cs="Times New Roman"/>
          <w:lang w:eastAsia="ko-KR"/>
        </w:rPr>
        <w:t xml:space="preserve"> (Figure NPS-5). These projection scenarios were applied to the base case model results to evaluate the impact of alternative levels of fishing intensity on future spawning biomass and yield for swordfish in the Western and Central North Pacific Ocean. The projected recruitment pattern was generated by stochastically sampling the estimated stock-recruitment model from the base case model. The projection calculations employed model estimates for the multi-fleet, multi- season, size- and age-selectivity, and structural complexity in the assessment model to produce consistent results.</w:t>
      </w:r>
    </w:p>
    <w:p w14:paraId="751D716E"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p>
    <w:p w14:paraId="05956D38"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bCs/>
          <w:lang w:eastAsia="ko-KR"/>
        </w:rPr>
      </w:pPr>
      <w:r w:rsidRPr="00857BD1">
        <w:rPr>
          <w:rFonts w:ascii="Times New Roman" w:eastAsia="Batang" w:hAnsi="Times New Roman" w:cs="Times New Roman"/>
          <w:bCs/>
          <w:lang w:eastAsia="ko-KR"/>
        </w:rPr>
        <w:t>Based on these findings, the following conservation information is provided:</w:t>
      </w:r>
    </w:p>
    <w:p w14:paraId="508BB251" w14:textId="77777777" w:rsidR="00857BD1" w:rsidRPr="00857BD1" w:rsidRDefault="00857BD1" w:rsidP="00857BD1">
      <w:pPr>
        <w:pStyle w:val="ListParagraph"/>
        <w:numPr>
          <w:ilvl w:val="0"/>
          <w:numId w:val="19"/>
        </w:numPr>
        <w:adjustRightInd w:val="0"/>
        <w:snapToGrid w:val="0"/>
        <w:contextualSpacing w:val="0"/>
        <w:rPr>
          <w:rFonts w:ascii="Times New Roman" w:eastAsia="Batang" w:hAnsi="Times New Roman"/>
          <w:bCs/>
          <w:lang w:eastAsia="ko-KR"/>
        </w:rPr>
      </w:pPr>
      <w:r w:rsidRPr="00857BD1">
        <w:rPr>
          <w:rFonts w:ascii="Times New Roman" w:eastAsia="Batang" w:hAnsi="Times New Roman"/>
          <w:bCs/>
          <w:lang w:eastAsia="ko-KR"/>
        </w:rPr>
        <w:t>The results show that projected female spawning biomass is expected to remain above SSB</w:t>
      </w:r>
      <w:r w:rsidRPr="00857BD1">
        <w:rPr>
          <w:rFonts w:ascii="Times New Roman" w:eastAsia="Batang" w:hAnsi="Times New Roman"/>
          <w:bCs/>
          <w:vertAlign w:val="subscript"/>
          <w:lang w:eastAsia="ko-KR"/>
        </w:rPr>
        <w:t>MSY</w:t>
      </w:r>
      <w:r w:rsidRPr="00857BD1">
        <w:rPr>
          <w:rFonts w:ascii="Times New Roman" w:eastAsia="Batang" w:hAnsi="Times New Roman"/>
          <w:bCs/>
          <w:lang w:eastAsia="ko-KR"/>
        </w:rPr>
        <w:t xml:space="preserve"> under </w:t>
      </w:r>
      <w:proofErr w:type="gramStart"/>
      <w:r w:rsidRPr="00857BD1">
        <w:rPr>
          <w:rFonts w:ascii="Times New Roman" w:eastAsia="Batang" w:hAnsi="Times New Roman"/>
          <w:bCs/>
          <w:lang w:eastAsia="ko-KR"/>
        </w:rPr>
        <w:t>all of</w:t>
      </w:r>
      <w:proofErr w:type="gramEnd"/>
      <w:r w:rsidRPr="00857BD1">
        <w:rPr>
          <w:rFonts w:ascii="Times New Roman" w:eastAsia="Batang" w:hAnsi="Times New Roman"/>
          <w:bCs/>
          <w:lang w:eastAsia="ko-KR"/>
        </w:rPr>
        <w:t xml:space="preserve"> the harvest scenarios (Table NPS-3 and Figure NPS-5), with increases in spawning biomass expected under lower fishing mortality rates.</w:t>
      </w:r>
    </w:p>
    <w:p w14:paraId="1A44B761" w14:textId="77777777" w:rsidR="00857BD1" w:rsidRPr="00857BD1" w:rsidRDefault="00857BD1" w:rsidP="00857BD1">
      <w:pPr>
        <w:pStyle w:val="ListParagraph"/>
        <w:numPr>
          <w:ilvl w:val="0"/>
          <w:numId w:val="19"/>
        </w:numPr>
        <w:adjustRightInd w:val="0"/>
        <w:snapToGrid w:val="0"/>
        <w:contextualSpacing w:val="0"/>
        <w:rPr>
          <w:rFonts w:ascii="Times New Roman" w:eastAsia="Batang" w:hAnsi="Times New Roman"/>
          <w:bCs/>
          <w:lang w:eastAsia="ko-KR"/>
        </w:rPr>
      </w:pPr>
      <w:r w:rsidRPr="00857BD1">
        <w:rPr>
          <w:rFonts w:ascii="Times New Roman" w:eastAsia="Batang" w:hAnsi="Times New Roman"/>
          <w:bCs/>
          <w:lang w:eastAsia="ko-KR"/>
        </w:rPr>
        <w:t>Similarly, projected catch is expected to increase under each of the five harvest scenarios, with greater increases expected under higher fishing mortality rates (Table NPS-3 and Figure NPS-5).</w:t>
      </w:r>
    </w:p>
    <w:p w14:paraId="593BB192" w14:textId="77777777" w:rsidR="00857BD1" w:rsidRPr="00857BD1" w:rsidRDefault="00857BD1" w:rsidP="00857BD1">
      <w:pPr>
        <w:pStyle w:val="ListParagraph"/>
        <w:adjustRightInd w:val="0"/>
        <w:snapToGrid w:val="0"/>
        <w:ind w:left="1540"/>
        <w:contextualSpacing w:val="0"/>
        <w:rPr>
          <w:rFonts w:ascii="Times New Roman" w:eastAsia="Batang" w:hAnsi="Times New Roman"/>
          <w:b/>
          <w:lang w:eastAsia="ko-KR"/>
        </w:rPr>
      </w:pPr>
    </w:p>
    <w:p w14:paraId="621803C1" w14:textId="77777777" w:rsidR="00857BD1" w:rsidRPr="00857BD1" w:rsidRDefault="00857BD1" w:rsidP="00857BD1">
      <w:pPr>
        <w:pStyle w:val="SCa"/>
        <w:spacing w:after="0"/>
        <w:ind w:left="720"/>
      </w:pPr>
      <w:r w:rsidRPr="00857BD1">
        <w:t>Research needs</w:t>
      </w:r>
    </w:p>
    <w:p w14:paraId="4E54FB86"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Theme="minorEastAsia" w:hAnsi="Times New Roman" w:cs="Times New Roman"/>
          <w:lang w:eastAsia="ko-KR"/>
        </w:rPr>
      </w:pPr>
    </w:p>
    <w:p w14:paraId="2D42198D" w14:textId="77777777" w:rsidR="00857BD1" w:rsidRPr="00857BD1" w:rsidRDefault="00857BD1" w:rsidP="00857BD1">
      <w:pPr>
        <w:autoSpaceDE w:val="0"/>
        <w:autoSpaceDN w:val="0"/>
        <w:adjustRightInd w:val="0"/>
        <w:snapToGrid w:val="0"/>
        <w:spacing w:after="0" w:line="240" w:lineRule="auto"/>
        <w:ind w:left="720"/>
        <w:jc w:val="both"/>
        <w:rPr>
          <w:rFonts w:ascii="Times New Roman" w:eastAsia="Batang" w:hAnsi="Times New Roman" w:cs="Times New Roman"/>
          <w:lang w:val="en-NZ" w:eastAsia="ko-KR"/>
        </w:rPr>
      </w:pPr>
      <w:r w:rsidRPr="00857BD1">
        <w:rPr>
          <w:rFonts w:ascii="Times New Roman" w:hAnsi="Times New Roman" w:cs="Times New Roman"/>
        </w:rPr>
        <w:t>The lack of sex-specific size composition data and the simplified treatment of the spatial structure of swordfish population dynamics remained as two important sources of uncertainty for this benchmark assessment</w:t>
      </w:r>
    </w:p>
    <w:p w14:paraId="5BDAEFD7" w14:textId="77777777" w:rsidR="00857BD1" w:rsidRPr="00857BD1" w:rsidRDefault="00857BD1" w:rsidP="00857BD1">
      <w:pPr>
        <w:pStyle w:val="ListParagraph"/>
        <w:adjustRightInd w:val="0"/>
        <w:snapToGrid w:val="0"/>
        <w:ind w:left="820"/>
        <w:contextualSpacing w:val="0"/>
        <w:rPr>
          <w:rFonts w:ascii="Times New Roman" w:eastAsia="Batang" w:hAnsi="Times New Roman"/>
          <w:b/>
          <w:lang w:eastAsia="ko-KR"/>
        </w:rPr>
      </w:pPr>
    </w:p>
    <w:p w14:paraId="792FFF17" w14:textId="77777777" w:rsidR="00857BD1" w:rsidRPr="00857BD1" w:rsidRDefault="00857BD1" w:rsidP="00857BD1">
      <w:pPr>
        <w:adjustRightInd w:val="0"/>
        <w:snapToGrid w:val="0"/>
        <w:spacing w:after="0" w:line="240" w:lineRule="auto"/>
        <w:rPr>
          <w:rFonts w:ascii="Times New Roman" w:eastAsiaTheme="minorEastAsia" w:hAnsi="Times New Roman" w:cs="Times New Roman"/>
          <w:b/>
          <w:color w:val="000000"/>
          <w:lang w:val="en-NZ" w:eastAsia="en-NZ"/>
        </w:rPr>
      </w:pPr>
      <w:r w:rsidRPr="00857BD1">
        <w:rPr>
          <w:rFonts w:ascii="Times New Roman" w:hAnsi="Times New Roman" w:cs="Times New Roman"/>
          <w:b/>
        </w:rPr>
        <w:br w:type="page"/>
      </w:r>
    </w:p>
    <w:p w14:paraId="415A1C74" w14:textId="77777777" w:rsidR="00857BD1" w:rsidRPr="00857BD1" w:rsidRDefault="00857BD1" w:rsidP="00857BD1">
      <w:pPr>
        <w:pStyle w:val="WCPFC"/>
        <w:numPr>
          <w:ilvl w:val="0"/>
          <w:numId w:val="0"/>
        </w:numPr>
        <w:adjustRightInd w:val="0"/>
        <w:spacing w:after="0"/>
        <w:rPr>
          <w:rFonts w:cs="Times New Roman"/>
          <w:lang w:eastAsia="ko-KR"/>
        </w:rPr>
      </w:pPr>
      <w:r w:rsidRPr="00857BD1">
        <w:rPr>
          <w:rFonts w:cs="Times New Roman"/>
          <w:b/>
        </w:rPr>
        <w:lastRenderedPageBreak/>
        <w:t>Table NPS-1</w:t>
      </w:r>
      <w:r w:rsidRPr="00857BD1">
        <w:rPr>
          <w:rFonts w:cs="Times New Roman"/>
        </w:rPr>
        <w:t>. Reported catch (</w:t>
      </w:r>
      <w:r w:rsidRPr="00857BD1">
        <w:rPr>
          <w:rFonts w:cs="Times New Roman"/>
          <w:lang w:eastAsia="ko-KR"/>
        </w:rPr>
        <w:t>m</w:t>
      </w:r>
      <w:r w:rsidRPr="00857BD1">
        <w:rPr>
          <w:rFonts w:cs="Times New Roman"/>
        </w:rPr>
        <w:t>t) used in the stock assessment along with annual estimates of population biomass (age-1 and older, mt), female spawning biomass (mt), relative female spawning biomass (</w:t>
      </w:r>
      <w:r w:rsidRPr="00857BD1">
        <w:rPr>
          <w:rFonts w:cs="Times New Roman"/>
          <w:i/>
        </w:rPr>
        <w:t>SSB/SSB</w:t>
      </w:r>
      <w:r w:rsidRPr="00857BD1">
        <w:rPr>
          <w:rFonts w:cs="Times New Roman"/>
          <w:i/>
          <w:position w:val="-2"/>
          <w:vertAlign w:val="subscript"/>
        </w:rPr>
        <w:t>MSY</w:t>
      </w:r>
      <w:r w:rsidRPr="00857BD1">
        <w:rPr>
          <w:rFonts w:cs="Times New Roman"/>
        </w:rPr>
        <w:t>), recruitment (thousands of age-0 fish), fishing mortality (average F, ages 1 to 10), relative fishing mortality (</w:t>
      </w:r>
      <w:r w:rsidRPr="00857BD1">
        <w:rPr>
          <w:rFonts w:cs="Times New Roman"/>
          <w:i/>
        </w:rPr>
        <w:t>F/F</w:t>
      </w:r>
      <w:r w:rsidRPr="00857BD1">
        <w:rPr>
          <w:rFonts w:cs="Times New Roman"/>
          <w:i/>
          <w:position w:val="-2"/>
          <w:vertAlign w:val="subscript"/>
        </w:rPr>
        <w:t>MSY</w:t>
      </w:r>
      <w:r w:rsidRPr="00857BD1">
        <w:rPr>
          <w:rFonts w:cs="Times New Roman"/>
        </w:rPr>
        <w:t>), and spawning potential ratio of Western and Central North Pacific Ocean swordfish.</w:t>
      </w:r>
    </w:p>
    <w:tbl>
      <w:tblPr>
        <w:tblStyle w:val="PlainTable4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806"/>
        <w:gridCol w:w="807"/>
        <w:gridCol w:w="807"/>
        <w:gridCol w:w="807"/>
        <w:gridCol w:w="807"/>
        <w:gridCol w:w="807"/>
        <w:gridCol w:w="807"/>
        <w:gridCol w:w="810"/>
        <w:gridCol w:w="807"/>
        <w:gridCol w:w="807"/>
      </w:tblGrid>
      <w:tr w:rsidR="00857BD1" w:rsidRPr="00857BD1" w14:paraId="3E2574A7" w14:textId="77777777" w:rsidTr="00573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90254CC"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sz w:val="22"/>
                <w:szCs w:val="22"/>
              </w:rPr>
              <w:t>Year</w:t>
            </w:r>
          </w:p>
        </w:tc>
        <w:tc>
          <w:tcPr>
            <w:tcW w:w="391" w:type="pct"/>
            <w:shd w:val="clear" w:color="auto" w:fill="auto"/>
            <w:hideMark/>
          </w:tcPr>
          <w:p w14:paraId="297BFAF7"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2010</w:t>
            </w:r>
          </w:p>
        </w:tc>
        <w:tc>
          <w:tcPr>
            <w:tcW w:w="391" w:type="pct"/>
            <w:shd w:val="clear" w:color="auto" w:fill="auto"/>
            <w:hideMark/>
          </w:tcPr>
          <w:p w14:paraId="14579BF1"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2011</w:t>
            </w:r>
          </w:p>
        </w:tc>
        <w:tc>
          <w:tcPr>
            <w:tcW w:w="391" w:type="pct"/>
            <w:shd w:val="clear" w:color="auto" w:fill="auto"/>
            <w:hideMark/>
          </w:tcPr>
          <w:p w14:paraId="00062799"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2012</w:t>
            </w:r>
          </w:p>
        </w:tc>
        <w:tc>
          <w:tcPr>
            <w:tcW w:w="391" w:type="pct"/>
            <w:shd w:val="clear" w:color="auto" w:fill="auto"/>
            <w:hideMark/>
          </w:tcPr>
          <w:p w14:paraId="0729D128"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2013</w:t>
            </w:r>
          </w:p>
        </w:tc>
        <w:tc>
          <w:tcPr>
            <w:tcW w:w="391" w:type="pct"/>
            <w:shd w:val="clear" w:color="auto" w:fill="auto"/>
            <w:hideMark/>
          </w:tcPr>
          <w:p w14:paraId="6A49A453"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2014</w:t>
            </w:r>
          </w:p>
        </w:tc>
        <w:tc>
          <w:tcPr>
            <w:tcW w:w="391" w:type="pct"/>
            <w:shd w:val="clear" w:color="auto" w:fill="auto"/>
            <w:hideMark/>
          </w:tcPr>
          <w:p w14:paraId="263205E0"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2015</w:t>
            </w:r>
          </w:p>
        </w:tc>
        <w:tc>
          <w:tcPr>
            <w:tcW w:w="391" w:type="pct"/>
            <w:shd w:val="clear" w:color="auto" w:fill="auto"/>
            <w:hideMark/>
          </w:tcPr>
          <w:p w14:paraId="68181E17"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2016</w:t>
            </w:r>
          </w:p>
        </w:tc>
        <w:tc>
          <w:tcPr>
            <w:tcW w:w="391" w:type="pct"/>
            <w:shd w:val="clear" w:color="auto" w:fill="auto"/>
            <w:hideMark/>
          </w:tcPr>
          <w:p w14:paraId="00474FA5"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Mean</w:t>
            </w:r>
            <w:r w:rsidRPr="00857BD1">
              <w:rPr>
                <w:rFonts w:ascii="Times New Roman" w:hAnsi="Times New Roman" w:cs="Times New Roman"/>
                <w:sz w:val="22"/>
                <w:szCs w:val="22"/>
                <w:vertAlign w:val="superscript"/>
              </w:rPr>
              <w:t>1</w:t>
            </w:r>
          </w:p>
        </w:tc>
        <w:tc>
          <w:tcPr>
            <w:tcW w:w="391" w:type="pct"/>
            <w:shd w:val="clear" w:color="auto" w:fill="auto"/>
            <w:hideMark/>
          </w:tcPr>
          <w:p w14:paraId="4AC72703"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Min</w:t>
            </w:r>
            <w:r w:rsidRPr="00857BD1">
              <w:rPr>
                <w:rFonts w:ascii="Times New Roman" w:hAnsi="Times New Roman" w:cs="Times New Roman"/>
                <w:sz w:val="22"/>
                <w:szCs w:val="22"/>
                <w:vertAlign w:val="superscript"/>
              </w:rPr>
              <w:t>1</w:t>
            </w:r>
          </w:p>
        </w:tc>
        <w:tc>
          <w:tcPr>
            <w:tcW w:w="390" w:type="pct"/>
            <w:shd w:val="clear" w:color="auto" w:fill="auto"/>
            <w:hideMark/>
          </w:tcPr>
          <w:p w14:paraId="55306F2A" w14:textId="77777777" w:rsidR="00857BD1" w:rsidRPr="00857BD1" w:rsidRDefault="00857BD1" w:rsidP="00857BD1">
            <w:pPr>
              <w:adjustRightInd w:val="0"/>
              <w:snapToGri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Max</w:t>
            </w:r>
            <w:r w:rsidRPr="00857BD1">
              <w:rPr>
                <w:rFonts w:ascii="Times New Roman" w:hAnsi="Times New Roman" w:cs="Times New Roman"/>
                <w:sz w:val="22"/>
                <w:szCs w:val="22"/>
                <w:vertAlign w:val="superscript"/>
              </w:rPr>
              <w:t>1</w:t>
            </w:r>
          </w:p>
        </w:tc>
      </w:tr>
      <w:tr w:rsidR="00857BD1" w:rsidRPr="00857BD1" w14:paraId="3E0DD0D1"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DF8EEB4"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b w:val="0"/>
                <w:sz w:val="22"/>
                <w:szCs w:val="22"/>
              </w:rPr>
              <w:t>Reported Catch</w:t>
            </w:r>
          </w:p>
        </w:tc>
        <w:tc>
          <w:tcPr>
            <w:tcW w:w="391" w:type="pct"/>
            <w:shd w:val="clear" w:color="auto" w:fill="auto"/>
            <w:hideMark/>
          </w:tcPr>
          <w:p w14:paraId="11EA4689"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12,716</w:t>
            </w:r>
          </w:p>
        </w:tc>
        <w:tc>
          <w:tcPr>
            <w:tcW w:w="391" w:type="pct"/>
            <w:shd w:val="clear" w:color="auto" w:fill="auto"/>
            <w:hideMark/>
          </w:tcPr>
          <w:p w14:paraId="63A0B2C2"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9,971</w:t>
            </w:r>
          </w:p>
        </w:tc>
        <w:tc>
          <w:tcPr>
            <w:tcW w:w="391" w:type="pct"/>
            <w:shd w:val="clear" w:color="auto" w:fill="auto"/>
            <w:hideMark/>
          </w:tcPr>
          <w:p w14:paraId="26F6B723"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10,608</w:t>
            </w:r>
          </w:p>
        </w:tc>
        <w:tc>
          <w:tcPr>
            <w:tcW w:w="391" w:type="pct"/>
            <w:shd w:val="clear" w:color="auto" w:fill="auto"/>
            <w:hideMark/>
          </w:tcPr>
          <w:p w14:paraId="61DC7A73"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9,241</w:t>
            </w:r>
          </w:p>
        </w:tc>
        <w:tc>
          <w:tcPr>
            <w:tcW w:w="391" w:type="pct"/>
            <w:shd w:val="clear" w:color="auto" w:fill="auto"/>
            <w:hideMark/>
          </w:tcPr>
          <w:p w14:paraId="62528B95"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9,211</w:t>
            </w:r>
          </w:p>
        </w:tc>
        <w:tc>
          <w:tcPr>
            <w:tcW w:w="391" w:type="pct"/>
            <w:shd w:val="clear" w:color="auto" w:fill="auto"/>
            <w:hideMark/>
          </w:tcPr>
          <w:p w14:paraId="13C1ABFF"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11,672</w:t>
            </w:r>
          </w:p>
        </w:tc>
        <w:tc>
          <w:tcPr>
            <w:tcW w:w="391" w:type="pct"/>
            <w:shd w:val="clear" w:color="auto" w:fill="auto"/>
            <w:hideMark/>
          </w:tcPr>
          <w:p w14:paraId="07F01973"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10,068</w:t>
            </w:r>
          </w:p>
        </w:tc>
        <w:tc>
          <w:tcPr>
            <w:tcW w:w="391" w:type="pct"/>
            <w:shd w:val="clear" w:color="auto" w:fill="auto"/>
            <w:hideMark/>
          </w:tcPr>
          <w:p w14:paraId="210D1304"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12,863</w:t>
            </w:r>
          </w:p>
        </w:tc>
        <w:tc>
          <w:tcPr>
            <w:tcW w:w="391" w:type="pct"/>
            <w:shd w:val="clear" w:color="auto" w:fill="auto"/>
            <w:hideMark/>
          </w:tcPr>
          <w:p w14:paraId="0D9F49D0"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9,211</w:t>
            </w:r>
          </w:p>
        </w:tc>
        <w:tc>
          <w:tcPr>
            <w:tcW w:w="390" w:type="pct"/>
            <w:shd w:val="clear" w:color="auto" w:fill="auto"/>
            <w:hideMark/>
          </w:tcPr>
          <w:p w14:paraId="32DF5D5F"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17,793</w:t>
            </w:r>
          </w:p>
        </w:tc>
      </w:tr>
      <w:tr w:rsidR="00857BD1" w:rsidRPr="00857BD1" w14:paraId="7E012154"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3310AA75"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b w:val="0"/>
                <w:sz w:val="22"/>
                <w:szCs w:val="22"/>
              </w:rPr>
              <w:t>Population Biomass</w:t>
            </w:r>
          </w:p>
        </w:tc>
        <w:tc>
          <w:tcPr>
            <w:tcW w:w="391" w:type="pct"/>
            <w:shd w:val="clear" w:color="auto" w:fill="auto"/>
          </w:tcPr>
          <w:p w14:paraId="21681DC0"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66,417</w:t>
            </w:r>
          </w:p>
        </w:tc>
        <w:tc>
          <w:tcPr>
            <w:tcW w:w="391" w:type="pct"/>
            <w:shd w:val="clear" w:color="auto" w:fill="auto"/>
          </w:tcPr>
          <w:p w14:paraId="324A210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66,087</w:t>
            </w:r>
          </w:p>
        </w:tc>
        <w:tc>
          <w:tcPr>
            <w:tcW w:w="391" w:type="pct"/>
            <w:shd w:val="clear" w:color="auto" w:fill="auto"/>
          </w:tcPr>
          <w:p w14:paraId="60E1A79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68,117</w:t>
            </w:r>
          </w:p>
        </w:tc>
        <w:tc>
          <w:tcPr>
            <w:tcW w:w="391" w:type="pct"/>
            <w:shd w:val="clear" w:color="auto" w:fill="auto"/>
          </w:tcPr>
          <w:p w14:paraId="4BE71F7A"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67,885</w:t>
            </w:r>
          </w:p>
        </w:tc>
        <w:tc>
          <w:tcPr>
            <w:tcW w:w="391" w:type="pct"/>
            <w:shd w:val="clear" w:color="auto" w:fill="auto"/>
          </w:tcPr>
          <w:p w14:paraId="7CAF5A11"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69,560</w:t>
            </w:r>
          </w:p>
        </w:tc>
        <w:tc>
          <w:tcPr>
            <w:tcW w:w="391" w:type="pct"/>
            <w:shd w:val="clear" w:color="auto" w:fill="auto"/>
          </w:tcPr>
          <w:p w14:paraId="6E1F3AB4"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71,951</w:t>
            </w:r>
          </w:p>
        </w:tc>
        <w:tc>
          <w:tcPr>
            <w:tcW w:w="391" w:type="pct"/>
            <w:shd w:val="clear" w:color="auto" w:fill="auto"/>
          </w:tcPr>
          <w:p w14:paraId="3F1C076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71,979</w:t>
            </w:r>
          </w:p>
        </w:tc>
        <w:tc>
          <w:tcPr>
            <w:tcW w:w="391" w:type="pct"/>
            <w:shd w:val="clear" w:color="auto" w:fill="auto"/>
          </w:tcPr>
          <w:p w14:paraId="31549F3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67,487</w:t>
            </w:r>
          </w:p>
        </w:tc>
        <w:tc>
          <w:tcPr>
            <w:tcW w:w="391" w:type="pct"/>
            <w:shd w:val="clear" w:color="auto" w:fill="auto"/>
          </w:tcPr>
          <w:p w14:paraId="166C9537"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sz w:val="22"/>
                <w:szCs w:val="22"/>
              </w:rPr>
              <w:t>51,856</w:t>
            </w:r>
          </w:p>
        </w:tc>
        <w:tc>
          <w:tcPr>
            <w:tcW w:w="390" w:type="pct"/>
            <w:shd w:val="clear" w:color="auto" w:fill="auto"/>
          </w:tcPr>
          <w:p w14:paraId="5EA5141A"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97,919</w:t>
            </w:r>
          </w:p>
        </w:tc>
      </w:tr>
      <w:tr w:rsidR="00857BD1" w:rsidRPr="00857BD1" w14:paraId="5A50CB4F"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0C688556"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b w:val="0"/>
                <w:sz w:val="22"/>
                <w:szCs w:val="22"/>
              </w:rPr>
              <w:t>Spawning Biomass</w:t>
            </w:r>
          </w:p>
        </w:tc>
        <w:tc>
          <w:tcPr>
            <w:tcW w:w="391" w:type="pct"/>
            <w:shd w:val="clear" w:color="auto" w:fill="auto"/>
            <w:hideMark/>
          </w:tcPr>
          <w:p w14:paraId="20CFE46C"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26,136</w:t>
            </w:r>
          </w:p>
        </w:tc>
        <w:tc>
          <w:tcPr>
            <w:tcW w:w="391" w:type="pct"/>
            <w:shd w:val="clear" w:color="auto" w:fill="auto"/>
            <w:hideMark/>
          </w:tcPr>
          <w:p w14:paraId="627AD534"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26,448</w:t>
            </w:r>
          </w:p>
        </w:tc>
        <w:tc>
          <w:tcPr>
            <w:tcW w:w="391" w:type="pct"/>
            <w:shd w:val="clear" w:color="auto" w:fill="auto"/>
            <w:hideMark/>
          </w:tcPr>
          <w:p w14:paraId="1D522128"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26,569</w:t>
            </w:r>
          </w:p>
        </w:tc>
        <w:tc>
          <w:tcPr>
            <w:tcW w:w="391" w:type="pct"/>
            <w:shd w:val="clear" w:color="auto" w:fill="auto"/>
            <w:hideMark/>
          </w:tcPr>
          <w:p w14:paraId="72CEB945"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27,546</w:t>
            </w:r>
          </w:p>
        </w:tc>
        <w:tc>
          <w:tcPr>
            <w:tcW w:w="391" w:type="pct"/>
            <w:shd w:val="clear" w:color="auto" w:fill="auto"/>
            <w:hideMark/>
          </w:tcPr>
          <w:p w14:paraId="7FA67FAD"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28,580</w:t>
            </w:r>
          </w:p>
        </w:tc>
        <w:tc>
          <w:tcPr>
            <w:tcW w:w="391" w:type="pct"/>
            <w:shd w:val="clear" w:color="auto" w:fill="auto"/>
            <w:hideMark/>
          </w:tcPr>
          <w:p w14:paraId="317D1A8B"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28,865</w:t>
            </w:r>
          </w:p>
        </w:tc>
        <w:tc>
          <w:tcPr>
            <w:tcW w:w="391" w:type="pct"/>
            <w:shd w:val="clear" w:color="auto" w:fill="auto"/>
            <w:hideMark/>
          </w:tcPr>
          <w:p w14:paraId="2770025E"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29,404</w:t>
            </w:r>
          </w:p>
        </w:tc>
        <w:tc>
          <w:tcPr>
            <w:tcW w:w="391" w:type="pct"/>
            <w:shd w:val="clear" w:color="auto" w:fill="auto"/>
            <w:hideMark/>
          </w:tcPr>
          <w:p w14:paraId="0F1788A6"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24,442</w:t>
            </w:r>
          </w:p>
        </w:tc>
        <w:tc>
          <w:tcPr>
            <w:tcW w:w="391" w:type="pct"/>
            <w:shd w:val="clear" w:color="auto" w:fill="auto"/>
            <w:hideMark/>
          </w:tcPr>
          <w:p w14:paraId="14E1FA23"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17,191</w:t>
            </w:r>
          </w:p>
        </w:tc>
        <w:tc>
          <w:tcPr>
            <w:tcW w:w="390" w:type="pct"/>
            <w:shd w:val="clear" w:color="auto" w:fill="auto"/>
            <w:hideMark/>
          </w:tcPr>
          <w:p w14:paraId="3C45BC2C"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44,100</w:t>
            </w:r>
          </w:p>
        </w:tc>
      </w:tr>
      <w:tr w:rsidR="00857BD1" w:rsidRPr="00857BD1" w14:paraId="742525D7"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6894820B" w14:textId="77777777" w:rsidR="00857BD1" w:rsidRPr="00857BD1" w:rsidRDefault="00857BD1" w:rsidP="00857BD1">
            <w:pPr>
              <w:adjustRightInd w:val="0"/>
              <w:snapToGrid w:val="0"/>
              <w:jc w:val="both"/>
              <w:rPr>
                <w:rFonts w:ascii="Times New Roman" w:eastAsiaTheme="minorEastAsia" w:hAnsi="Times New Roman" w:cs="Times New Roman"/>
                <w:b w:val="0"/>
                <w:sz w:val="22"/>
                <w:szCs w:val="22"/>
                <w:lang w:eastAsia="ko-KR"/>
              </w:rPr>
            </w:pPr>
            <w:r w:rsidRPr="00857BD1">
              <w:rPr>
                <w:rFonts w:ascii="Times New Roman" w:hAnsi="Times New Roman" w:cs="Times New Roman"/>
                <w:b w:val="0"/>
                <w:sz w:val="22"/>
                <w:szCs w:val="22"/>
              </w:rPr>
              <w:t xml:space="preserve">Relative </w:t>
            </w:r>
            <w:r w:rsidRPr="00857BD1">
              <w:rPr>
                <w:rFonts w:ascii="Times New Roman" w:eastAsiaTheme="minorEastAsia" w:hAnsi="Times New Roman" w:cs="Times New Roman"/>
                <w:b w:val="0"/>
                <w:sz w:val="22"/>
                <w:szCs w:val="22"/>
                <w:lang w:eastAsia="ko-KR"/>
              </w:rPr>
              <w:t>SB</w:t>
            </w:r>
          </w:p>
        </w:tc>
        <w:tc>
          <w:tcPr>
            <w:tcW w:w="391" w:type="pct"/>
            <w:shd w:val="clear" w:color="auto" w:fill="auto"/>
            <w:hideMark/>
          </w:tcPr>
          <w:p w14:paraId="244DD2DD"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1.66</w:t>
            </w:r>
          </w:p>
        </w:tc>
        <w:tc>
          <w:tcPr>
            <w:tcW w:w="391" w:type="pct"/>
            <w:shd w:val="clear" w:color="auto" w:fill="auto"/>
            <w:hideMark/>
          </w:tcPr>
          <w:p w14:paraId="589F2D38"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1.68</w:t>
            </w:r>
          </w:p>
        </w:tc>
        <w:tc>
          <w:tcPr>
            <w:tcW w:w="391" w:type="pct"/>
            <w:shd w:val="clear" w:color="auto" w:fill="auto"/>
            <w:hideMark/>
          </w:tcPr>
          <w:p w14:paraId="6D969B60"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1.69</w:t>
            </w:r>
          </w:p>
        </w:tc>
        <w:tc>
          <w:tcPr>
            <w:tcW w:w="391" w:type="pct"/>
            <w:shd w:val="clear" w:color="auto" w:fill="auto"/>
            <w:hideMark/>
          </w:tcPr>
          <w:p w14:paraId="45D3B081"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1.75</w:t>
            </w:r>
          </w:p>
        </w:tc>
        <w:tc>
          <w:tcPr>
            <w:tcW w:w="391" w:type="pct"/>
            <w:shd w:val="clear" w:color="auto" w:fill="auto"/>
            <w:hideMark/>
          </w:tcPr>
          <w:p w14:paraId="65271DCD"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1.82</w:t>
            </w:r>
          </w:p>
        </w:tc>
        <w:tc>
          <w:tcPr>
            <w:tcW w:w="391" w:type="pct"/>
            <w:shd w:val="clear" w:color="auto" w:fill="auto"/>
            <w:hideMark/>
          </w:tcPr>
          <w:p w14:paraId="28AF329E"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1.84</w:t>
            </w:r>
          </w:p>
        </w:tc>
        <w:tc>
          <w:tcPr>
            <w:tcW w:w="391" w:type="pct"/>
            <w:shd w:val="clear" w:color="auto" w:fill="auto"/>
            <w:hideMark/>
          </w:tcPr>
          <w:p w14:paraId="64359583"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1.87</w:t>
            </w:r>
          </w:p>
        </w:tc>
        <w:tc>
          <w:tcPr>
            <w:tcW w:w="391" w:type="pct"/>
            <w:shd w:val="clear" w:color="auto" w:fill="auto"/>
            <w:hideMark/>
          </w:tcPr>
          <w:p w14:paraId="76B5B2AE"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1.56</w:t>
            </w:r>
          </w:p>
        </w:tc>
        <w:tc>
          <w:tcPr>
            <w:tcW w:w="391" w:type="pct"/>
            <w:shd w:val="clear" w:color="auto" w:fill="auto"/>
            <w:hideMark/>
          </w:tcPr>
          <w:p w14:paraId="3394B339"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1.09</w:t>
            </w:r>
          </w:p>
        </w:tc>
        <w:tc>
          <w:tcPr>
            <w:tcW w:w="390" w:type="pct"/>
            <w:shd w:val="clear" w:color="auto" w:fill="auto"/>
            <w:hideMark/>
          </w:tcPr>
          <w:p w14:paraId="6AAC6ED7"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2.81</w:t>
            </w:r>
          </w:p>
        </w:tc>
      </w:tr>
      <w:tr w:rsidR="00857BD1" w:rsidRPr="00857BD1" w14:paraId="4D74FFD9"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50298CFC"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b w:val="0"/>
                <w:sz w:val="22"/>
                <w:szCs w:val="22"/>
              </w:rPr>
              <w:t>Recruitment (age 0)</w:t>
            </w:r>
          </w:p>
        </w:tc>
        <w:tc>
          <w:tcPr>
            <w:tcW w:w="391" w:type="pct"/>
            <w:shd w:val="clear" w:color="auto" w:fill="auto"/>
            <w:hideMark/>
          </w:tcPr>
          <w:p w14:paraId="65127E54"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789</w:t>
            </w:r>
          </w:p>
        </w:tc>
        <w:tc>
          <w:tcPr>
            <w:tcW w:w="391" w:type="pct"/>
            <w:shd w:val="clear" w:color="auto" w:fill="auto"/>
            <w:hideMark/>
          </w:tcPr>
          <w:p w14:paraId="1185541B"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565</w:t>
            </w:r>
          </w:p>
        </w:tc>
        <w:tc>
          <w:tcPr>
            <w:tcW w:w="391" w:type="pct"/>
            <w:shd w:val="clear" w:color="auto" w:fill="auto"/>
            <w:hideMark/>
          </w:tcPr>
          <w:p w14:paraId="42F83F63"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671</w:t>
            </w:r>
          </w:p>
        </w:tc>
        <w:tc>
          <w:tcPr>
            <w:tcW w:w="391" w:type="pct"/>
            <w:shd w:val="clear" w:color="auto" w:fill="auto"/>
            <w:hideMark/>
          </w:tcPr>
          <w:p w14:paraId="48A49FEB"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710</w:t>
            </w:r>
          </w:p>
        </w:tc>
        <w:tc>
          <w:tcPr>
            <w:tcW w:w="391" w:type="pct"/>
            <w:shd w:val="clear" w:color="auto" w:fill="auto"/>
            <w:hideMark/>
          </w:tcPr>
          <w:p w14:paraId="6E97C3E0"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683</w:t>
            </w:r>
          </w:p>
        </w:tc>
        <w:tc>
          <w:tcPr>
            <w:tcW w:w="391" w:type="pct"/>
            <w:shd w:val="clear" w:color="auto" w:fill="auto"/>
            <w:hideMark/>
          </w:tcPr>
          <w:p w14:paraId="4F42497B"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742</w:t>
            </w:r>
          </w:p>
        </w:tc>
        <w:tc>
          <w:tcPr>
            <w:tcW w:w="391" w:type="pct"/>
            <w:shd w:val="clear" w:color="auto" w:fill="auto"/>
            <w:hideMark/>
          </w:tcPr>
          <w:p w14:paraId="3D09DD1C"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781</w:t>
            </w:r>
          </w:p>
        </w:tc>
        <w:tc>
          <w:tcPr>
            <w:tcW w:w="391" w:type="pct"/>
            <w:shd w:val="clear" w:color="auto" w:fill="auto"/>
            <w:hideMark/>
          </w:tcPr>
          <w:p w14:paraId="3E744474"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761</w:t>
            </w:r>
          </w:p>
        </w:tc>
        <w:tc>
          <w:tcPr>
            <w:tcW w:w="391" w:type="pct"/>
            <w:shd w:val="clear" w:color="auto" w:fill="auto"/>
            <w:hideMark/>
          </w:tcPr>
          <w:p w14:paraId="0D72E259"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401</w:t>
            </w:r>
          </w:p>
        </w:tc>
        <w:tc>
          <w:tcPr>
            <w:tcW w:w="390" w:type="pct"/>
            <w:shd w:val="clear" w:color="auto" w:fill="auto"/>
            <w:hideMark/>
          </w:tcPr>
          <w:p w14:paraId="0B621965"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1241</w:t>
            </w:r>
          </w:p>
        </w:tc>
      </w:tr>
      <w:tr w:rsidR="00857BD1" w:rsidRPr="00857BD1" w14:paraId="0943CF35"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1C87FE9A" w14:textId="77777777" w:rsidR="00857BD1" w:rsidRPr="00857BD1" w:rsidRDefault="00857BD1" w:rsidP="00857BD1">
            <w:pPr>
              <w:adjustRightInd w:val="0"/>
              <w:snapToGrid w:val="0"/>
              <w:jc w:val="both"/>
              <w:rPr>
                <w:rFonts w:ascii="Times New Roman" w:eastAsiaTheme="minorEastAsia" w:hAnsi="Times New Roman" w:cs="Times New Roman"/>
                <w:b w:val="0"/>
                <w:sz w:val="22"/>
                <w:szCs w:val="22"/>
                <w:lang w:eastAsia="ko-KR"/>
              </w:rPr>
            </w:pPr>
            <w:r w:rsidRPr="00857BD1">
              <w:rPr>
                <w:rFonts w:ascii="Times New Roman" w:hAnsi="Times New Roman" w:cs="Times New Roman"/>
                <w:b w:val="0"/>
                <w:sz w:val="22"/>
                <w:szCs w:val="22"/>
              </w:rPr>
              <w:t xml:space="preserve">Fishing </w:t>
            </w:r>
            <w:r w:rsidRPr="00857BD1">
              <w:rPr>
                <w:rFonts w:ascii="Times New Roman" w:eastAsiaTheme="minorEastAsia" w:hAnsi="Times New Roman" w:cs="Times New Roman"/>
                <w:b w:val="0"/>
                <w:sz w:val="22"/>
                <w:szCs w:val="22"/>
                <w:lang w:eastAsia="ko-KR"/>
              </w:rPr>
              <w:t>m</w:t>
            </w:r>
            <w:r w:rsidRPr="00857BD1">
              <w:rPr>
                <w:rFonts w:ascii="Times New Roman" w:hAnsi="Times New Roman" w:cs="Times New Roman"/>
                <w:b w:val="0"/>
                <w:sz w:val="22"/>
                <w:szCs w:val="22"/>
              </w:rPr>
              <w:t>ortality</w:t>
            </w:r>
          </w:p>
        </w:tc>
        <w:tc>
          <w:tcPr>
            <w:tcW w:w="391" w:type="pct"/>
            <w:shd w:val="clear" w:color="auto" w:fill="auto"/>
            <w:noWrap/>
            <w:hideMark/>
          </w:tcPr>
          <w:p w14:paraId="283F1A7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0.10</w:t>
            </w:r>
          </w:p>
        </w:tc>
        <w:tc>
          <w:tcPr>
            <w:tcW w:w="391" w:type="pct"/>
            <w:shd w:val="clear" w:color="auto" w:fill="auto"/>
            <w:noWrap/>
            <w:hideMark/>
          </w:tcPr>
          <w:p w14:paraId="17E6E368"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0.08</w:t>
            </w:r>
          </w:p>
        </w:tc>
        <w:tc>
          <w:tcPr>
            <w:tcW w:w="391" w:type="pct"/>
            <w:shd w:val="clear" w:color="auto" w:fill="auto"/>
            <w:noWrap/>
            <w:hideMark/>
          </w:tcPr>
          <w:p w14:paraId="0FAECBA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0.09</w:t>
            </w:r>
          </w:p>
        </w:tc>
        <w:tc>
          <w:tcPr>
            <w:tcW w:w="391" w:type="pct"/>
            <w:shd w:val="clear" w:color="auto" w:fill="auto"/>
            <w:noWrap/>
            <w:hideMark/>
          </w:tcPr>
          <w:p w14:paraId="3FC761FE"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0.07</w:t>
            </w:r>
          </w:p>
        </w:tc>
        <w:tc>
          <w:tcPr>
            <w:tcW w:w="391" w:type="pct"/>
            <w:shd w:val="clear" w:color="auto" w:fill="auto"/>
            <w:noWrap/>
            <w:hideMark/>
          </w:tcPr>
          <w:p w14:paraId="5F071A13"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0.07</w:t>
            </w:r>
          </w:p>
        </w:tc>
        <w:tc>
          <w:tcPr>
            <w:tcW w:w="391" w:type="pct"/>
            <w:shd w:val="clear" w:color="auto" w:fill="auto"/>
            <w:noWrap/>
            <w:hideMark/>
          </w:tcPr>
          <w:p w14:paraId="2E802BB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0.09</w:t>
            </w:r>
          </w:p>
        </w:tc>
        <w:tc>
          <w:tcPr>
            <w:tcW w:w="391" w:type="pct"/>
            <w:shd w:val="clear" w:color="auto" w:fill="auto"/>
            <w:noWrap/>
            <w:hideMark/>
          </w:tcPr>
          <w:p w14:paraId="0619B2AC"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0.07</w:t>
            </w:r>
          </w:p>
        </w:tc>
        <w:tc>
          <w:tcPr>
            <w:tcW w:w="391" w:type="pct"/>
            <w:shd w:val="clear" w:color="auto" w:fill="auto"/>
            <w:hideMark/>
          </w:tcPr>
          <w:p w14:paraId="22E823E3"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0.12</w:t>
            </w:r>
          </w:p>
        </w:tc>
        <w:tc>
          <w:tcPr>
            <w:tcW w:w="391" w:type="pct"/>
            <w:shd w:val="clear" w:color="auto" w:fill="auto"/>
            <w:hideMark/>
          </w:tcPr>
          <w:p w14:paraId="3EB5862B"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0.07</w:t>
            </w:r>
          </w:p>
        </w:tc>
        <w:tc>
          <w:tcPr>
            <w:tcW w:w="390" w:type="pct"/>
            <w:shd w:val="clear" w:color="auto" w:fill="auto"/>
            <w:hideMark/>
          </w:tcPr>
          <w:p w14:paraId="54E8FD21"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0.18</w:t>
            </w:r>
          </w:p>
        </w:tc>
      </w:tr>
      <w:tr w:rsidR="00857BD1" w:rsidRPr="00857BD1" w14:paraId="5849D50F" w14:textId="77777777" w:rsidTr="00573C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0970CD2B" w14:textId="77777777" w:rsidR="00857BD1" w:rsidRPr="00857BD1" w:rsidRDefault="00857BD1" w:rsidP="00857BD1">
            <w:pPr>
              <w:adjustRightInd w:val="0"/>
              <w:snapToGrid w:val="0"/>
              <w:jc w:val="both"/>
              <w:rPr>
                <w:rFonts w:ascii="Times New Roman" w:eastAsiaTheme="minorEastAsia" w:hAnsi="Times New Roman" w:cs="Times New Roman"/>
                <w:b w:val="0"/>
                <w:sz w:val="22"/>
                <w:szCs w:val="22"/>
                <w:lang w:eastAsia="ko-KR"/>
              </w:rPr>
            </w:pPr>
            <w:r w:rsidRPr="00857BD1">
              <w:rPr>
                <w:rFonts w:ascii="Times New Roman" w:hAnsi="Times New Roman" w:cs="Times New Roman"/>
                <w:b w:val="0"/>
                <w:sz w:val="22"/>
                <w:szCs w:val="22"/>
              </w:rPr>
              <w:t xml:space="preserve">Relative </w:t>
            </w:r>
            <w:r w:rsidRPr="00857BD1">
              <w:rPr>
                <w:rFonts w:ascii="Times New Roman" w:eastAsiaTheme="minorEastAsia" w:hAnsi="Times New Roman" w:cs="Times New Roman"/>
                <w:b w:val="0"/>
                <w:sz w:val="22"/>
                <w:szCs w:val="22"/>
                <w:lang w:eastAsia="ko-KR"/>
              </w:rPr>
              <w:t>F</w:t>
            </w:r>
          </w:p>
        </w:tc>
        <w:tc>
          <w:tcPr>
            <w:tcW w:w="391" w:type="pct"/>
            <w:shd w:val="clear" w:color="auto" w:fill="auto"/>
            <w:noWrap/>
            <w:hideMark/>
          </w:tcPr>
          <w:p w14:paraId="477BA4D7"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0.57</w:t>
            </w:r>
          </w:p>
        </w:tc>
        <w:tc>
          <w:tcPr>
            <w:tcW w:w="391" w:type="pct"/>
            <w:shd w:val="clear" w:color="auto" w:fill="auto"/>
            <w:noWrap/>
            <w:hideMark/>
          </w:tcPr>
          <w:p w14:paraId="6D6FAB1D"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0.46</w:t>
            </w:r>
          </w:p>
        </w:tc>
        <w:tc>
          <w:tcPr>
            <w:tcW w:w="391" w:type="pct"/>
            <w:shd w:val="clear" w:color="auto" w:fill="auto"/>
            <w:noWrap/>
            <w:hideMark/>
          </w:tcPr>
          <w:p w14:paraId="70045DA9"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0.51</w:t>
            </w:r>
          </w:p>
        </w:tc>
        <w:tc>
          <w:tcPr>
            <w:tcW w:w="391" w:type="pct"/>
            <w:shd w:val="clear" w:color="auto" w:fill="auto"/>
            <w:noWrap/>
            <w:hideMark/>
          </w:tcPr>
          <w:p w14:paraId="728A0C69"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0.44</w:t>
            </w:r>
          </w:p>
        </w:tc>
        <w:tc>
          <w:tcPr>
            <w:tcW w:w="391" w:type="pct"/>
            <w:shd w:val="clear" w:color="auto" w:fill="auto"/>
            <w:noWrap/>
            <w:hideMark/>
          </w:tcPr>
          <w:p w14:paraId="350B0744"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0.40</w:t>
            </w:r>
          </w:p>
        </w:tc>
        <w:tc>
          <w:tcPr>
            <w:tcW w:w="391" w:type="pct"/>
            <w:shd w:val="clear" w:color="auto" w:fill="auto"/>
            <w:noWrap/>
            <w:hideMark/>
          </w:tcPr>
          <w:p w14:paraId="03227D92"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0.51</w:t>
            </w:r>
          </w:p>
        </w:tc>
        <w:tc>
          <w:tcPr>
            <w:tcW w:w="391" w:type="pct"/>
            <w:shd w:val="clear" w:color="auto" w:fill="auto"/>
            <w:noWrap/>
            <w:hideMark/>
          </w:tcPr>
          <w:p w14:paraId="5D37F08D"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0.44</w:t>
            </w:r>
          </w:p>
        </w:tc>
        <w:tc>
          <w:tcPr>
            <w:tcW w:w="391" w:type="pct"/>
            <w:shd w:val="clear" w:color="auto" w:fill="auto"/>
            <w:hideMark/>
          </w:tcPr>
          <w:p w14:paraId="46143900"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0.72</w:t>
            </w:r>
          </w:p>
        </w:tc>
        <w:tc>
          <w:tcPr>
            <w:tcW w:w="391" w:type="pct"/>
            <w:shd w:val="clear" w:color="auto" w:fill="auto"/>
            <w:hideMark/>
          </w:tcPr>
          <w:p w14:paraId="10DB9570"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0.40</w:t>
            </w:r>
          </w:p>
        </w:tc>
        <w:tc>
          <w:tcPr>
            <w:tcW w:w="390" w:type="pct"/>
            <w:shd w:val="clear" w:color="auto" w:fill="auto"/>
            <w:hideMark/>
          </w:tcPr>
          <w:p w14:paraId="53009465" w14:textId="77777777" w:rsidR="00857BD1" w:rsidRPr="00857BD1" w:rsidRDefault="00857BD1" w:rsidP="00857BD1">
            <w:pPr>
              <w:adjustRightInd w:val="0"/>
              <w:snapToGri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1.05</w:t>
            </w:r>
          </w:p>
        </w:tc>
      </w:tr>
      <w:tr w:rsidR="00857BD1" w:rsidRPr="00857BD1" w14:paraId="3631D0EF" w14:textId="77777777" w:rsidTr="00573C70">
        <w:tc>
          <w:tcPr>
            <w:cnfStyle w:val="001000000000" w:firstRow="0" w:lastRow="0" w:firstColumn="1" w:lastColumn="0" w:oddVBand="0" w:evenVBand="0" w:oddHBand="0" w:evenHBand="0" w:firstRowFirstColumn="0" w:firstRowLastColumn="0" w:lastRowFirstColumn="0" w:lastRowLastColumn="0"/>
            <w:tcW w:w="1090" w:type="pct"/>
            <w:shd w:val="clear" w:color="auto" w:fill="auto"/>
            <w:hideMark/>
          </w:tcPr>
          <w:p w14:paraId="237F8FA5" w14:textId="77777777" w:rsidR="00857BD1" w:rsidRPr="00857BD1" w:rsidRDefault="00857BD1" w:rsidP="00857BD1">
            <w:pPr>
              <w:adjustRightInd w:val="0"/>
              <w:snapToGrid w:val="0"/>
              <w:jc w:val="both"/>
              <w:rPr>
                <w:rFonts w:ascii="Times New Roman" w:hAnsi="Times New Roman" w:cs="Times New Roman"/>
                <w:b w:val="0"/>
                <w:sz w:val="22"/>
                <w:szCs w:val="22"/>
              </w:rPr>
            </w:pPr>
            <w:r w:rsidRPr="00857BD1">
              <w:rPr>
                <w:rFonts w:ascii="Times New Roman" w:hAnsi="Times New Roman" w:cs="Times New Roman"/>
                <w:b w:val="0"/>
                <w:sz w:val="22"/>
                <w:szCs w:val="22"/>
              </w:rPr>
              <w:t>Spawning Potential Ratio</w:t>
            </w:r>
          </w:p>
        </w:tc>
        <w:tc>
          <w:tcPr>
            <w:tcW w:w="391" w:type="pct"/>
            <w:shd w:val="clear" w:color="auto" w:fill="auto"/>
            <w:noWrap/>
            <w:hideMark/>
          </w:tcPr>
          <w:p w14:paraId="6FB675B2"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38%</w:t>
            </w:r>
          </w:p>
        </w:tc>
        <w:tc>
          <w:tcPr>
            <w:tcW w:w="391" w:type="pct"/>
            <w:shd w:val="clear" w:color="auto" w:fill="auto"/>
            <w:noWrap/>
            <w:hideMark/>
          </w:tcPr>
          <w:p w14:paraId="45CE15D0"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41%</w:t>
            </w:r>
          </w:p>
        </w:tc>
        <w:tc>
          <w:tcPr>
            <w:tcW w:w="391" w:type="pct"/>
            <w:shd w:val="clear" w:color="auto" w:fill="auto"/>
            <w:noWrap/>
            <w:hideMark/>
          </w:tcPr>
          <w:p w14:paraId="0E27B8FD"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39%</w:t>
            </w:r>
          </w:p>
        </w:tc>
        <w:tc>
          <w:tcPr>
            <w:tcW w:w="391" w:type="pct"/>
            <w:shd w:val="clear" w:color="auto" w:fill="auto"/>
            <w:noWrap/>
            <w:hideMark/>
          </w:tcPr>
          <w:p w14:paraId="24F06F05"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45%</w:t>
            </w:r>
          </w:p>
        </w:tc>
        <w:tc>
          <w:tcPr>
            <w:tcW w:w="391" w:type="pct"/>
            <w:shd w:val="clear" w:color="auto" w:fill="auto"/>
            <w:noWrap/>
            <w:hideMark/>
          </w:tcPr>
          <w:p w14:paraId="36DFD3A1"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47%</w:t>
            </w:r>
          </w:p>
        </w:tc>
        <w:tc>
          <w:tcPr>
            <w:tcW w:w="391" w:type="pct"/>
            <w:shd w:val="clear" w:color="auto" w:fill="auto"/>
            <w:noWrap/>
            <w:hideMark/>
          </w:tcPr>
          <w:p w14:paraId="43C6A5E6"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39%</w:t>
            </w:r>
          </w:p>
        </w:tc>
        <w:tc>
          <w:tcPr>
            <w:tcW w:w="391" w:type="pct"/>
            <w:shd w:val="clear" w:color="auto" w:fill="auto"/>
            <w:noWrap/>
            <w:hideMark/>
          </w:tcPr>
          <w:p w14:paraId="36D73D4D"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857BD1">
              <w:rPr>
                <w:rFonts w:ascii="Times New Roman" w:hAnsi="Times New Roman" w:cs="Times New Roman"/>
                <w:sz w:val="22"/>
                <w:szCs w:val="22"/>
              </w:rPr>
              <w:t>45%</w:t>
            </w:r>
          </w:p>
        </w:tc>
        <w:tc>
          <w:tcPr>
            <w:tcW w:w="391" w:type="pct"/>
            <w:shd w:val="clear" w:color="auto" w:fill="auto"/>
            <w:hideMark/>
          </w:tcPr>
          <w:p w14:paraId="7A577727"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29%</w:t>
            </w:r>
          </w:p>
        </w:tc>
        <w:tc>
          <w:tcPr>
            <w:tcW w:w="391" w:type="pct"/>
            <w:shd w:val="clear" w:color="auto" w:fill="auto"/>
            <w:hideMark/>
          </w:tcPr>
          <w:p w14:paraId="08831E9D"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17%</w:t>
            </w:r>
          </w:p>
        </w:tc>
        <w:tc>
          <w:tcPr>
            <w:tcW w:w="390" w:type="pct"/>
            <w:shd w:val="clear" w:color="auto" w:fill="auto"/>
            <w:hideMark/>
          </w:tcPr>
          <w:p w14:paraId="293A21DC" w14:textId="77777777" w:rsidR="00857BD1" w:rsidRPr="00857BD1" w:rsidRDefault="00857BD1" w:rsidP="00857BD1">
            <w:pPr>
              <w:adjustRightInd w:val="0"/>
              <w:snapToGrid w:val="0"/>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2"/>
                <w:szCs w:val="22"/>
              </w:rPr>
            </w:pPr>
            <w:r w:rsidRPr="00857BD1">
              <w:rPr>
                <w:rFonts w:ascii="Times New Roman" w:hAnsi="Times New Roman" w:cs="Times New Roman"/>
                <w:color w:val="auto"/>
                <w:sz w:val="22"/>
                <w:szCs w:val="22"/>
              </w:rPr>
              <w:t>47%</w:t>
            </w:r>
          </w:p>
        </w:tc>
      </w:tr>
    </w:tbl>
    <w:p w14:paraId="30293CC3" w14:textId="77777777" w:rsidR="00857BD1" w:rsidRPr="00857BD1" w:rsidRDefault="00857BD1" w:rsidP="00857BD1">
      <w:pPr>
        <w:adjustRightInd w:val="0"/>
        <w:snapToGrid w:val="0"/>
        <w:spacing w:after="0" w:line="240" w:lineRule="auto"/>
        <w:rPr>
          <w:rFonts w:ascii="Times New Roman" w:hAnsi="Times New Roman" w:cs="Times New Roman"/>
          <w:b/>
        </w:rPr>
      </w:pPr>
      <w:r w:rsidRPr="00857BD1">
        <w:rPr>
          <w:rFonts w:ascii="Times New Roman" w:hAnsi="Times New Roman" w:cs="Times New Roman"/>
          <w:vertAlign w:val="superscript"/>
        </w:rPr>
        <w:t xml:space="preserve">1 </w:t>
      </w:r>
      <w:r w:rsidRPr="00857BD1">
        <w:rPr>
          <w:rFonts w:ascii="Times New Roman" w:hAnsi="Times New Roman" w:cs="Times New Roman"/>
        </w:rPr>
        <w:t>During 1975-2016</w:t>
      </w:r>
    </w:p>
    <w:p w14:paraId="390CD9CF" w14:textId="2E6689C1" w:rsidR="00857BD1" w:rsidRDefault="00857BD1" w:rsidP="00857BD1">
      <w:pPr>
        <w:adjustRightInd w:val="0"/>
        <w:snapToGrid w:val="0"/>
        <w:spacing w:after="0" w:line="240" w:lineRule="auto"/>
        <w:rPr>
          <w:rFonts w:ascii="Times New Roman" w:eastAsiaTheme="minorEastAsia" w:hAnsi="Times New Roman" w:cs="Times New Roman"/>
          <w:color w:val="000000"/>
          <w:lang w:val="en-NZ" w:eastAsia="en-NZ"/>
        </w:rPr>
      </w:pPr>
    </w:p>
    <w:p w14:paraId="2EBF8748" w14:textId="77777777" w:rsidR="00867AA1" w:rsidRPr="00857BD1" w:rsidRDefault="00867AA1" w:rsidP="00857BD1">
      <w:pPr>
        <w:adjustRightInd w:val="0"/>
        <w:snapToGrid w:val="0"/>
        <w:spacing w:after="0" w:line="240" w:lineRule="auto"/>
        <w:rPr>
          <w:rFonts w:ascii="Times New Roman" w:eastAsiaTheme="minorEastAsia" w:hAnsi="Times New Roman" w:cs="Times New Roman"/>
          <w:color w:val="000000"/>
          <w:lang w:val="en-NZ" w:eastAsia="en-NZ"/>
        </w:rPr>
      </w:pPr>
    </w:p>
    <w:p w14:paraId="3D0CB34A" w14:textId="77777777" w:rsidR="00857BD1" w:rsidRPr="00857BD1" w:rsidRDefault="00857BD1" w:rsidP="00857BD1">
      <w:pPr>
        <w:pStyle w:val="WCPFC"/>
        <w:numPr>
          <w:ilvl w:val="0"/>
          <w:numId w:val="0"/>
        </w:numPr>
        <w:adjustRightInd w:val="0"/>
        <w:spacing w:after="0"/>
        <w:rPr>
          <w:rFonts w:cs="Times New Roman"/>
        </w:rPr>
      </w:pPr>
      <w:r w:rsidRPr="00857BD1">
        <w:rPr>
          <w:rFonts w:cs="Times New Roman"/>
          <w:b/>
        </w:rPr>
        <w:t>Table NPS-2</w:t>
      </w:r>
      <w:r w:rsidRPr="00857BD1">
        <w:rPr>
          <w:rFonts w:cs="Times New Roman"/>
        </w:rPr>
        <w:t>. Estimates of biological reference points along with estimates of fishing mortality (F), spawning stock biomass (SSB), recent average yield (C), and SPR of WCNPO swordfish, derived from the base case model assessment model, where “MSY” indicates reference points based on maximum sustainable yield.</w:t>
      </w:r>
    </w:p>
    <w:tbl>
      <w:tblPr>
        <w:tblW w:w="0" w:type="auto"/>
        <w:tblInd w:w="36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050"/>
        <w:gridCol w:w="2430"/>
      </w:tblGrid>
      <w:tr w:rsidR="00857BD1" w:rsidRPr="00857BD1" w14:paraId="2F576DC5" w14:textId="77777777" w:rsidTr="00573C70">
        <w:tc>
          <w:tcPr>
            <w:tcW w:w="4050" w:type="dxa"/>
            <w:tcBorders>
              <w:top w:val="single" w:sz="8" w:space="0" w:color="000000"/>
              <w:bottom w:val="single" w:sz="4" w:space="0" w:color="000000"/>
            </w:tcBorders>
            <w:vAlign w:val="center"/>
          </w:tcPr>
          <w:p w14:paraId="2B46F699" w14:textId="77777777" w:rsidR="00857BD1" w:rsidRPr="00857BD1" w:rsidRDefault="00857BD1" w:rsidP="00857BD1">
            <w:pPr>
              <w:pStyle w:val="TableParagraph"/>
              <w:adjustRightInd w:val="0"/>
              <w:snapToGrid w:val="0"/>
              <w:ind w:left="821" w:right="644"/>
              <w:jc w:val="center"/>
              <w:rPr>
                <w:rFonts w:ascii="Times New Roman" w:hAnsi="Times New Roman" w:cs="Times New Roman"/>
                <w:b/>
              </w:rPr>
            </w:pPr>
            <w:r w:rsidRPr="00857BD1">
              <w:rPr>
                <w:rFonts w:ascii="Times New Roman" w:hAnsi="Times New Roman" w:cs="Times New Roman"/>
                <w:b/>
              </w:rPr>
              <w:t>Reference Point</w:t>
            </w:r>
          </w:p>
        </w:tc>
        <w:tc>
          <w:tcPr>
            <w:tcW w:w="2430" w:type="dxa"/>
            <w:tcBorders>
              <w:top w:val="single" w:sz="8" w:space="0" w:color="000000"/>
              <w:bottom w:val="single" w:sz="4" w:space="0" w:color="000000"/>
            </w:tcBorders>
            <w:vAlign w:val="center"/>
          </w:tcPr>
          <w:p w14:paraId="5C6F27D1" w14:textId="77777777" w:rsidR="00857BD1" w:rsidRPr="00857BD1" w:rsidRDefault="00857BD1" w:rsidP="00857BD1">
            <w:pPr>
              <w:pStyle w:val="TableParagraph"/>
              <w:adjustRightInd w:val="0"/>
              <w:snapToGrid w:val="0"/>
              <w:ind w:right="542"/>
              <w:jc w:val="center"/>
              <w:rPr>
                <w:rFonts w:ascii="Times New Roman" w:hAnsi="Times New Roman" w:cs="Times New Roman"/>
                <w:b/>
              </w:rPr>
            </w:pPr>
            <w:r w:rsidRPr="00857BD1">
              <w:rPr>
                <w:rFonts w:ascii="Times New Roman" w:hAnsi="Times New Roman" w:cs="Times New Roman"/>
                <w:b/>
              </w:rPr>
              <w:t>Estimate</w:t>
            </w:r>
          </w:p>
        </w:tc>
      </w:tr>
      <w:tr w:rsidR="00857BD1" w:rsidRPr="00857BD1" w14:paraId="26BB3BAE" w14:textId="77777777" w:rsidTr="00573C70">
        <w:tc>
          <w:tcPr>
            <w:tcW w:w="4050" w:type="dxa"/>
            <w:tcBorders>
              <w:top w:val="single" w:sz="4" w:space="0" w:color="000000"/>
            </w:tcBorders>
            <w:vAlign w:val="center"/>
          </w:tcPr>
          <w:p w14:paraId="481AE72C" w14:textId="77777777" w:rsidR="00857BD1" w:rsidRPr="00857BD1" w:rsidRDefault="00857BD1" w:rsidP="00857BD1">
            <w:pPr>
              <w:pStyle w:val="TableParagraph"/>
              <w:adjustRightInd w:val="0"/>
              <w:snapToGrid w:val="0"/>
              <w:ind w:left="818" w:right="644"/>
              <w:jc w:val="center"/>
              <w:rPr>
                <w:rFonts w:ascii="Times New Roman" w:hAnsi="Times New Roman" w:cs="Times New Roman"/>
              </w:rPr>
            </w:pPr>
            <w:r w:rsidRPr="00857BD1">
              <w:rPr>
                <w:rFonts w:ascii="Times New Roman" w:hAnsi="Times New Roman" w:cs="Times New Roman"/>
                <w:position w:val="3"/>
              </w:rPr>
              <w:t>F</w:t>
            </w:r>
            <w:r w:rsidRPr="00857BD1">
              <w:rPr>
                <w:rFonts w:ascii="Times New Roman" w:hAnsi="Times New Roman" w:cs="Times New Roman"/>
              </w:rPr>
              <w:t>MSY</w:t>
            </w:r>
          </w:p>
        </w:tc>
        <w:tc>
          <w:tcPr>
            <w:tcW w:w="2430" w:type="dxa"/>
            <w:tcBorders>
              <w:top w:val="single" w:sz="4" w:space="0" w:color="000000"/>
            </w:tcBorders>
            <w:vAlign w:val="center"/>
          </w:tcPr>
          <w:p w14:paraId="4B235D33" w14:textId="77777777" w:rsidR="00857BD1" w:rsidRPr="00857BD1" w:rsidRDefault="00857BD1" w:rsidP="00857BD1">
            <w:pPr>
              <w:pStyle w:val="TableParagraph"/>
              <w:adjustRightInd w:val="0"/>
              <w:snapToGrid w:val="0"/>
              <w:ind w:right="578"/>
              <w:jc w:val="center"/>
              <w:rPr>
                <w:rFonts w:ascii="Times New Roman" w:hAnsi="Times New Roman" w:cs="Times New Roman"/>
              </w:rPr>
            </w:pPr>
            <w:r w:rsidRPr="00857BD1">
              <w:rPr>
                <w:rFonts w:ascii="Times New Roman" w:hAnsi="Times New Roman" w:cs="Times New Roman"/>
              </w:rPr>
              <w:t>0.17 yr</w:t>
            </w:r>
            <w:r w:rsidRPr="00857BD1">
              <w:rPr>
                <w:rFonts w:ascii="Times New Roman" w:hAnsi="Times New Roman" w:cs="Times New Roman"/>
                <w:position w:val="10"/>
              </w:rPr>
              <w:t>-1</w:t>
            </w:r>
          </w:p>
        </w:tc>
      </w:tr>
      <w:tr w:rsidR="00857BD1" w:rsidRPr="00857BD1" w14:paraId="1F9030E2" w14:textId="77777777" w:rsidTr="00573C70">
        <w:tc>
          <w:tcPr>
            <w:tcW w:w="4050" w:type="dxa"/>
            <w:vAlign w:val="center"/>
          </w:tcPr>
          <w:p w14:paraId="77ED46FE" w14:textId="77777777" w:rsidR="00857BD1" w:rsidRPr="00857BD1" w:rsidRDefault="00857BD1" w:rsidP="00857BD1">
            <w:pPr>
              <w:pStyle w:val="TableParagraph"/>
              <w:adjustRightInd w:val="0"/>
              <w:snapToGrid w:val="0"/>
              <w:ind w:left="815" w:right="644"/>
              <w:jc w:val="center"/>
              <w:rPr>
                <w:rFonts w:ascii="Times New Roman" w:hAnsi="Times New Roman" w:cs="Times New Roman"/>
              </w:rPr>
            </w:pPr>
            <w:r w:rsidRPr="00857BD1">
              <w:rPr>
                <w:rFonts w:ascii="Times New Roman" w:hAnsi="Times New Roman" w:cs="Times New Roman"/>
                <w:position w:val="3"/>
              </w:rPr>
              <w:t>F</w:t>
            </w:r>
            <w:r w:rsidRPr="00857BD1">
              <w:rPr>
                <w:rFonts w:ascii="Times New Roman" w:hAnsi="Times New Roman" w:cs="Times New Roman"/>
              </w:rPr>
              <w:t>0.2*SSB(F=0)</w:t>
            </w:r>
          </w:p>
        </w:tc>
        <w:tc>
          <w:tcPr>
            <w:tcW w:w="2430" w:type="dxa"/>
            <w:vAlign w:val="center"/>
          </w:tcPr>
          <w:p w14:paraId="64C974BC" w14:textId="77777777" w:rsidR="00857BD1" w:rsidRPr="00857BD1" w:rsidRDefault="00857BD1" w:rsidP="00857BD1">
            <w:pPr>
              <w:pStyle w:val="TableParagraph"/>
              <w:adjustRightInd w:val="0"/>
              <w:snapToGrid w:val="0"/>
              <w:ind w:right="578"/>
              <w:jc w:val="center"/>
              <w:rPr>
                <w:rFonts w:ascii="Times New Roman" w:hAnsi="Times New Roman" w:cs="Times New Roman"/>
              </w:rPr>
            </w:pPr>
            <w:r w:rsidRPr="00857BD1">
              <w:rPr>
                <w:rFonts w:ascii="Times New Roman" w:hAnsi="Times New Roman" w:cs="Times New Roman"/>
              </w:rPr>
              <w:t>0.16 yr</w:t>
            </w:r>
            <w:r w:rsidRPr="00857BD1">
              <w:rPr>
                <w:rFonts w:ascii="Times New Roman" w:hAnsi="Times New Roman" w:cs="Times New Roman"/>
                <w:position w:val="10"/>
              </w:rPr>
              <w:t>-1</w:t>
            </w:r>
          </w:p>
        </w:tc>
      </w:tr>
      <w:tr w:rsidR="00857BD1" w:rsidRPr="00857BD1" w14:paraId="1C96989C" w14:textId="77777777" w:rsidTr="00573C70">
        <w:tc>
          <w:tcPr>
            <w:tcW w:w="4050" w:type="dxa"/>
            <w:vAlign w:val="center"/>
          </w:tcPr>
          <w:p w14:paraId="79B006BF" w14:textId="77777777" w:rsidR="00857BD1" w:rsidRPr="00857BD1" w:rsidRDefault="00857BD1" w:rsidP="00857BD1">
            <w:pPr>
              <w:pStyle w:val="TableParagraph"/>
              <w:adjustRightInd w:val="0"/>
              <w:snapToGrid w:val="0"/>
              <w:ind w:left="815" w:right="644"/>
              <w:jc w:val="center"/>
              <w:rPr>
                <w:rFonts w:ascii="Times New Roman" w:hAnsi="Times New Roman" w:cs="Times New Roman"/>
              </w:rPr>
            </w:pPr>
            <w:r w:rsidRPr="00857BD1">
              <w:rPr>
                <w:rFonts w:ascii="Times New Roman" w:hAnsi="Times New Roman" w:cs="Times New Roman"/>
                <w:position w:val="3"/>
              </w:rPr>
              <w:t>F</w:t>
            </w:r>
            <w:r w:rsidRPr="00857BD1">
              <w:rPr>
                <w:rFonts w:ascii="Times New Roman" w:hAnsi="Times New Roman" w:cs="Times New Roman"/>
              </w:rPr>
              <w:t>2013-2015</w:t>
            </w:r>
          </w:p>
        </w:tc>
        <w:tc>
          <w:tcPr>
            <w:tcW w:w="2430" w:type="dxa"/>
            <w:vAlign w:val="center"/>
          </w:tcPr>
          <w:p w14:paraId="70FFB383" w14:textId="77777777" w:rsidR="00857BD1" w:rsidRPr="00857BD1" w:rsidRDefault="00857BD1" w:rsidP="00857BD1">
            <w:pPr>
              <w:pStyle w:val="TableParagraph"/>
              <w:adjustRightInd w:val="0"/>
              <w:snapToGrid w:val="0"/>
              <w:ind w:right="578"/>
              <w:jc w:val="center"/>
              <w:rPr>
                <w:rFonts w:ascii="Times New Roman" w:hAnsi="Times New Roman" w:cs="Times New Roman"/>
              </w:rPr>
            </w:pPr>
            <w:r w:rsidRPr="00857BD1">
              <w:rPr>
                <w:rFonts w:ascii="Times New Roman" w:hAnsi="Times New Roman" w:cs="Times New Roman"/>
              </w:rPr>
              <w:t>0.08 yr</w:t>
            </w:r>
            <w:r w:rsidRPr="00857BD1">
              <w:rPr>
                <w:rFonts w:ascii="Times New Roman" w:hAnsi="Times New Roman" w:cs="Times New Roman"/>
                <w:position w:val="10"/>
              </w:rPr>
              <w:t>-1</w:t>
            </w:r>
          </w:p>
        </w:tc>
      </w:tr>
      <w:tr w:rsidR="00857BD1" w:rsidRPr="00857BD1" w14:paraId="6230DDA8" w14:textId="77777777" w:rsidTr="00573C70">
        <w:tc>
          <w:tcPr>
            <w:tcW w:w="4050" w:type="dxa"/>
            <w:vAlign w:val="center"/>
          </w:tcPr>
          <w:p w14:paraId="5869616D" w14:textId="77777777" w:rsidR="00857BD1" w:rsidRPr="00857BD1" w:rsidRDefault="00857BD1" w:rsidP="00857BD1">
            <w:pPr>
              <w:pStyle w:val="TableParagraph"/>
              <w:adjustRightInd w:val="0"/>
              <w:snapToGrid w:val="0"/>
              <w:ind w:left="818" w:right="644"/>
              <w:jc w:val="center"/>
              <w:rPr>
                <w:rFonts w:ascii="Times New Roman" w:hAnsi="Times New Roman" w:cs="Times New Roman"/>
              </w:rPr>
            </w:pPr>
            <w:r w:rsidRPr="00857BD1">
              <w:rPr>
                <w:rFonts w:ascii="Times New Roman" w:hAnsi="Times New Roman" w:cs="Times New Roman"/>
              </w:rPr>
              <w:t>SSB</w:t>
            </w:r>
            <w:r w:rsidRPr="00857BD1">
              <w:rPr>
                <w:rFonts w:ascii="Times New Roman" w:hAnsi="Times New Roman" w:cs="Times New Roman"/>
                <w:position w:val="-2"/>
              </w:rPr>
              <w:t>MSY</w:t>
            </w:r>
          </w:p>
        </w:tc>
        <w:tc>
          <w:tcPr>
            <w:tcW w:w="2430" w:type="dxa"/>
            <w:vAlign w:val="center"/>
          </w:tcPr>
          <w:p w14:paraId="5DCB7ABF" w14:textId="77777777" w:rsidR="00857BD1" w:rsidRPr="00857BD1" w:rsidRDefault="00857BD1" w:rsidP="00857BD1">
            <w:pPr>
              <w:pStyle w:val="TableParagraph"/>
              <w:adjustRightInd w:val="0"/>
              <w:snapToGrid w:val="0"/>
              <w:ind w:right="489"/>
              <w:jc w:val="center"/>
              <w:rPr>
                <w:rFonts w:ascii="Times New Roman" w:hAnsi="Times New Roman" w:cs="Times New Roman"/>
              </w:rPr>
            </w:pPr>
            <w:r w:rsidRPr="00857BD1">
              <w:rPr>
                <w:rFonts w:ascii="Times New Roman" w:hAnsi="Times New Roman" w:cs="Times New Roman"/>
              </w:rPr>
              <w:t>15,702 mt</w:t>
            </w:r>
          </w:p>
        </w:tc>
      </w:tr>
      <w:tr w:rsidR="00857BD1" w:rsidRPr="00857BD1" w14:paraId="4409959D" w14:textId="77777777" w:rsidTr="00573C70">
        <w:tc>
          <w:tcPr>
            <w:tcW w:w="4050" w:type="dxa"/>
            <w:vAlign w:val="center"/>
          </w:tcPr>
          <w:p w14:paraId="07B461EF" w14:textId="77777777" w:rsidR="00857BD1" w:rsidRPr="00857BD1" w:rsidRDefault="00857BD1" w:rsidP="00857BD1">
            <w:pPr>
              <w:pStyle w:val="TableParagraph"/>
              <w:adjustRightInd w:val="0"/>
              <w:snapToGrid w:val="0"/>
              <w:ind w:left="817" w:right="644"/>
              <w:jc w:val="center"/>
              <w:rPr>
                <w:rFonts w:ascii="Times New Roman" w:hAnsi="Times New Roman" w:cs="Times New Roman"/>
              </w:rPr>
            </w:pPr>
            <w:r w:rsidRPr="00857BD1">
              <w:rPr>
                <w:rFonts w:ascii="Times New Roman" w:hAnsi="Times New Roman" w:cs="Times New Roman"/>
                <w:position w:val="3"/>
              </w:rPr>
              <w:t>SSB</w:t>
            </w:r>
            <w:r w:rsidRPr="00857BD1">
              <w:rPr>
                <w:rFonts w:ascii="Times New Roman" w:hAnsi="Times New Roman" w:cs="Times New Roman"/>
              </w:rPr>
              <w:t>2016</w:t>
            </w:r>
          </w:p>
        </w:tc>
        <w:tc>
          <w:tcPr>
            <w:tcW w:w="2430" w:type="dxa"/>
            <w:vAlign w:val="center"/>
          </w:tcPr>
          <w:p w14:paraId="2E1DB084" w14:textId="77777777" w:rsidR="00857BD1" w:rsidRPr="00857BD1" w:rsidRDefault="00857BD1" w:rsidP="00857BD1">
            <w:pPr>
              <w:pStyle w:val="TableParagraph"/>
              <w:adjustRightInd w:val="0"/>
              <w:snapToGrid w:val="0"/>
              <w:ind w:right="489"/>
              <w:jc w:val="center"/>
              <w:rPr>
                <w:rFonts w:ascii="Times New Roman" w:hAnsi="Times New Roman" w:cs="Times New Roman"/>
              </w:rPr>
            </w:pPr>
            <w:r w:rsidRPr="00857BD1">
              <w:rPr>
                <w:rFonts w:ascii="Times New Roman" w:hAnsi="Times New Roman" w:cs="Times New Roman"/>
              </w:rPr>
              <w:t>29,403 mt</w:t>
            </w:r>
          </w:p>
        </w:tc>
      </w:tr>
      <w:tr w:rsidR="00857BD1" w:rsidRPr="00857BD1" w14:paraId="7AC8A6E7" w14:textId="77777777" w:rsidTr="00573C70">
        <w:tc>
          <w:tcPr>
            <w:tcW w:w="4050" w:type="dxa"/>
            <w:vAlign w:val="center"/>
          </w:tcPr>
          <w:p w14:paraId="3EBD83D3" w14:textId="77777777" w:rsidR="00857BD1" w:rsidRPr="00857BD1" w:rsidRDefault="00857BD1" w:rsidP="00857BD1">
            <w:pPr>
              <w:pStyle w:val="TableParagraph"/>
              <w:adjustRightInd w:val="0"/>
              <w:snapToGrid w:val="0"/>
              <w:ind w:left="817" w:right="644"/>
              <w:jc w:val="center"/>
              <w:rPr>
                <w:rFonts w:ascii="Times New Roman" w:hAnsi="Times New Roman" w:cs="Times New Roman"/>
              </w:rPr>
            </w:pPr>
            <w:r w:rsidRPr="00857BD1">
              <w:rPr>
                <w:rFonts w:ascii="Times New Roman" w:hAnsi="Times New Roman" w:cs="Times New Roman"/>
              </w:rPr>
              <w:t>SSB</w:t>
            </w:r>
            <w:r w:rsidRPr="00857BD1">
              <w:rPr>
                <w:rFonts w:ascii="Times New Roman" w:hAnsi="Times New Roman" w:cs="Times New Roman"/>
                <w:position w:val="-2"/>
              </w:rPr>
              <w:t>F=0</w:t>
            </w:r>
          </w:p>
        </w:tc>
        <w:tc>
          <w:tcPr>
            <w:tcW w:w="2430" w:type="dxa"/>
            <w:vAlign w:val="center"/>
          </w:tcPr>
          <w:p w14:paraId="0776FCB0" w14:textId="77777777" w:rsidR="00857BD1" w:rsidRPr="00857BD1" w:rsidRDefault="00857BD1" w:rsidP="00857BD1">
            <w:pPr>
              <w:pStyle w:val="TableParagraph"/>
              <w:adjustRightInd w:val="0"/>
              <w:snapToGrid w:val="0"/>
              <w:ind w:right="489"/>
              <w:jc w:val="center"/>
              <w:rPr>
                <w:rFonts w:ascii="Times New Roman" w:hAnsi="Times New Roman" w:cs="Times New Roman"/>
              </w:rPr>
            </w:pPr>
            <w:r w:rsidRPr="00857BD1">
              <w:rPr>
                <w:rFonts w:ascii="Times New Roman" w:hAnsi="Times New Roman" w:cs="Times New Roman"/>
              </w:rPr>
              <w:t>97,286 mt</w:t>
            </w:r>
          </w:p>
        </w:tc>
      </w:tr>
      <w:tr w:rsidR="00857BD1" w:rsidRPr="00857BD1" w14:paraId="1ED63CC4" w14:textId="77777777" w:rsidTr="00573C70">
        <w:tc>
          <w:tcPr>
            <w:tcW w:w="4050" w:type="dxa"/>
            <w:vAlign w:val="center"/>
          </w:tcPr>
          <w:p w14:paraId="7EB7EA3E" w14:textId="77777777" w:rsidR="00857BD1" w:rsidRPr="00857BD1" w:rsidRDefault="00857BD1" w:rsidP="00857BD1">
            <w:pPr>
              <w:pStyle w:val="TableParagraph"/>
              <w:adjustRightInd w:val="0"/>
              <w:snapToGrid w:val="0"/>
              <w:ind w:left="819" w:right="644"/>
              <w:jc w:val="center"/>
              <w:rPr>
                <w:rFonts w:ascii="Times New Roman" w:hAnsi="Times New Roman" w:cs="Times New Roman"/>
              </w:rPr>
            </w:pPr>
            <w:r w:rsidRPr="00857BD1">
              <w:rPr>
                <w:rFonts w:ascii="Times New Roman" w:hAnsi="Times New Roman" w:cs="Times New Roman"/>
              </w:rPr>
              <w:t>MSY</w:t>
            </w:r>
          </w:p>
        </w:tc>
        <w:tc>
          <w:tcPr>
            <w:tcW w:w="2430" w:type="dxa"/>
            <w:vAlign w:val="center"/>
          </w:tcPr>
          <w:p w14:paraId="70A25650" w14:textId="77777777" w:rsidR="00857BD1" w:rsidRPr="00857BD1" w:rsidRDefault="00857BD1" w:rsidP="00857BD1">
            <w:pPr>
              <w:pStyle w:val="TableParagraph"/>
              <w:adjustRightInd w:val="0"/>
              <w:snapToGrid w:val="0"/>
              <w:ind w:right="489"/>
              <w:jc w:val="center"/>
              <w:rPr>
                <w:rFonts w:ascii="Times New Roman" w:hAnsi="Times New Roman" w:cs="Times New Roman"/>
              </w:rPr>
            </w:pPr>
            <w:r w:rsidRPr="00857BD1">
              <w:rPr>
                <w:rFonts w:ascii="Times New Roman" w:hAnsi="Times New Roman" w:cs="Times New Roman"/>
              </w:rPr>
              <w:t>14,941 mt</w:t>
            </w:r>
          </w:p>
        </w:tc>
      </w:tr>
      <w:tr w:rsidR="00857BD1" w:rsidRPr="00857BD1" w14:paraId="07F231E1" w14:textId="77777777" w:rsidTr="00573C70">
        <w:tc>
          <w:tcPr>
            <w:tcW w:w="4050" w:type="dxa"/>
            <w:vAlign w:val="center"/>
          </w:tcPr>
          <w:p w14:paraId="1BE5EEDE" w14:textId="77777777" w:rsidR="00857BD1" w:rsidRPr="00857BD1" w:rsidRDefault="00857BD1" w:rsidP="00857BD1">
            <w:pPr>
              <w:pStyle w:val="TableParagraph"/>
              <w:adjustRightInd w:val="0"/>
              <w:snapToGrid w:val="0"/>
              <w:ind w:left="815" w:right="644"/>
              <w:jc w:val="center"/>
              <w:rPr>
                <w:rFonts w:ascii="Times New Roman" w:hAnsi="Times New Roman" w:cs="Times New Roman"/>
              </w:rPr>
            </w:pPr>
            <w:r w:rsidRPr="00857BD1">
              <w:rPr>
                <w:rFonts w:ascii="Times New Roman" w:hAnsi="Times New Roman" w:cs="Times New Roman"/>
                <w:position w:val="3"/>
              </w:rPr>
              <w:t>C</w:t>
            </w:r>
            <w:r w:rsidRPr="00857BD1">
              <w:rPr>
                <w:rFonts w:ascii="Times New Roman" w:hAnsi="Times New Roman" w:cs="Times New Roman"/>
              </w:rPr>
              <w:t>2012-2016</w:t>
            </w:r>
          </w:p>
        </w:tc>
        <w:tc>
          <w:tcPr>
            <w:tcW w:w="2430" w:type="dxa"/>
            <w:vAlign w:val="center"/>
          </w:tcPr>
          <w:p w14:paraId="5F096EF2" w14:textId="77777777" w:rsidR="00857BD1" w:rsidRPr="00857BD1" w:rsidRDefault="00857BD1" w:rsidP="00857BD1">
            <w:pPr>
              <w:pStyle w:val="TableParagraph"/>
              <w:adjustRightInd w:val="0"/>
              <w:snapToGrid w:val="0"/>
              <w:ind w:right="489"/>
              <w:jc w:val="center"/>
              <w:rPr>
                <w:rFonts w:ascii="Times New Roman" w:hAnsi="Times New Roman" w:cs="Times New Roman"/>
              </w:rPr>
            </w:pPr>
            <w:r w:rsidRPr="00857BD1">
              <w:rPr>
                <w:rFonts w:ascii="Times New Roman" w:hAnsi="Times New Roman" w:cs="Times New Roman"/>
              </w:rPr>
              <w:t>10,160 mt</w:t>
            </w:r>
          </w:p>
        </w:tc>
      </w:tr>
      <w:tr w:rsidR="00857BD1" w:rsidRPr="00857BD1" w14:paraId="1F3F57F6" w14:textId="77777777" w:rsidTr="00573C70">
        <w:tc>
          <w:tcPr>
            <w:tcW w:w="4050" w:type="dxa"/>
            <w:vAlign w:val="center"/>
          </w:tcPr>
          <w:p w14:paraId="717030CB" w14:textId="77777777" w:rsidR="00857BD1" w:rsidRPr="00857BD1" w:rsidRDefault="00857BD1" w:rsidP="00857BD1">
            <w:pPr>
              <w:pStyle w:val="TableParagraph"/>
              <w:adjustRightInd w:val="0"/>
              <w:snapToGrid w:val="0"/>
              <w:ind w:left="821" w:right="642"/>
              <w:jc w:val="center"/>
              <w:rPr>
                <w:rFonts w:ascii="Times New Roman" w:hAnsi="Times New Roman" w:cs="Times New Roman"/>
              </w:rPr>
            </w:pPr>
            <w:r w:rsidRPr="00857BD1">
              <w:rPr>
                <w:rFonts w:ascii="Times New Roman" w:hAnsi="Times New Roman" w:cs="Times New Roman"/>
              </w:rPr>
              <w:t>SPR</w:t>
            </w:r>
            <w:r w:rsidRPr="00857BD1">
              <w:rPr>
                <w:rFonts w:ascii="Times New Roman" w:hAnsi="Times New Roman" w:cs="Times New Roman"/>
                <w:position w:val="-2"/>
              </w:rPr>
              <w:t>MSY</w:t>
            </w:r>
          </w:p>
        </w:tc>
        <w:tc>
          <w:tcPr>
            <w:tcW w:w="2430" w:type="dxa"/>
            <w:vAlign w:val="center"/>
          </w:tcPr>
          <w:p w14:paraId="780CD474" w14:textId="77777777" w:rsidR="00857BD1" w:rsidRPr="00857BD1" w:rsidRDefault="00857BD1" w:rsidP="00857BD1">
            <w:pPr>
              <w:pStyle w:val="TableParagraph"/>
              <w:adjustRightInd w:val="0"/>
              <w:snapToGrid w:val="0"/>
              <w:ind w:left="909" w:right="738"/>
              <w:jc w:val="center"/>
              <w:rPr>
                <w:rFonts w:ascii="Times New Roman" w:hAnsi="Times New Roman" w:cs="Times New Roman"/>
              </w:rPr>
            </w:pPr>
            <w:r w:rsidRPr="00857BD1">
              <w:rPr>
                <w:rFonts w:ascii="Times New Roman" w:hAnsi="Times New Roman" w:cs="Times New Roman"/>
              </w:rPr>
              <w:t>18%</w:t>
            </w:r>
          </w:p>
        </w:tc>
      </w:tr>
      <w:tr w:rsidR="00857BD1" w:rsidRPr="00857BD1" w14:paraId="69F13E47" w14:textId="77777777" w:rsidTr="00573C70">
        <w:tc>
          <w:tcPr>
            <w:tcW w:w="4050" w:type="dxa"/>
            <w:tcBorders>
              <w:bottom w:val="single" w:sz="8" w:space="0" w:color="000000"/>
            </w:tcBorders>
            <w:vAlign w:val="center"/>
          </w:tcPr>
          <w:p w14:paraId="5C1E288B" w14:textId="77777777" w:rsidR="00857BD1" w:rsidRPr="00857BD1" w:rsidRDefault="00857BD1" w:rsidP="00857BD1">
            <w:pPr>
              <w:pStyle w:val="TableParagraph"/>
              <w:adjustRightInd w:val="0"/>
              <w:snapToGrid w:val="0"/>
              <w:ind w:left="817" w:right="644"/>
              <w:jc w:val="center"/>
              <w:rPr>
                <w:rFonts w:ascii="Times New Roman" w:hAnsi="Times New Roman" w:cs="Times New Roman"/>
              </w:rPr>
            </w:pPr>
            <w:r w:rsidRPr="00857BD1">
              <w:rPr>
                <w:rFonts w:ascii="Times New Roman" w:hAnsi="Times New Roman" w:cs="Times New Roman"/>
                <w:position w:val="3"/>
              </w:rPr>
              <w:t>SPR</w:t>
            </w:r>
            <w:r w:rsidRPr="00857BD1">
              <w:rPr>
                <w:rFonts w:ascii="Times New Roman" w:hAnsi="Times New Roman" w:cs="Times New Roman"/>
              </w:rPr>
              <w:t>2016</w:t>
            </w:r>
          </w:p>
        </w:tc>
        <w:tc>
          <w:tcPr>
            <w:tcW w:w="2430" w:type="dxa"/>
            <w:tcBorders>
              <w:bottom w:val="single" w:sz="8" w:space="0" w:color="000000"/>
            </w:tcBorders>
            <w:vAlign w:val="center"/>
          </w:tcPr>
          <w:p w14:paraId="0C0654D6" w14:textId="77777777" w:rsidR="00857BD1" w:rsidRPr="00857BD1" w:rsidRDefault="00857BD1" w:rsidP="00857BD1">
            <w:pPr>
              <w:pStyle w:val="TableParagraph"/>
              <w:adjustRightInd w:val="0"/>
              <w:snapToGrid w:val="0"/>
              <w:ind w:left="909" w:right="738"/>
              <w:jc w:val="center"/>
              <w:rPr>
                <w:rFonts w:ascii="Times New Roman" w:hAnsi="Times New Roman" w:cs="Times New Roman"/>
              </w:rPr>
            </w:pPr>
            <w:r w:rsidRPr="00857BD1">
              <w:rPr>
                <w:rFonts w:ascii="Times New Roman" w:hAnsi="Times New Roman" w:cs="Times New Roman"/>
              </w:rPr>
              <w:t>45%</w:t>
            </w:r>
          </w:p>
        </w:tc>
      </w:tr>
    </w:tbl>
    <w:p w14:paraId="66EF0DE5" w14:textId="77777777" w:rsidR="00857BD1" w:rsidRPr="00857BD1" w:rsidRDefault="00857BD1" w:rsidP="00857BD1">
      <w:pPr>
        <w:pStyle w:val="WCPFC"/>
        <w:numPr>
          <w:ilvl w:val="0"/>
          <w:numId w:val="0"/>
        </w:numPr>
        <w:adjustRightInd w:val="0"/>
        <w:spacing w:after="0"/>
        <w:ind w:left="360"/>
        <w:rPr>
          <w:rFonts w:cs="Times New Roman"/>
        </w:rPr>
      </w:pPr>
    </w:p>
    <w:p w14:paraId="036E4503" w14:textId="77777777" w:rsidR="00857BD1" w:rsidRDefault="00857BD1">
      <w:pPr>
        <w:rPr>
          <w:rFonts w:ascii="Times New Roman" w:hAnsi="Times New Roman" w:cs="Times New Roman"/>
          <w:b/>
          <w:lang w:val="en-NZ" w:eastAsia="en-NZ"/>
        </w:rPr>
      </w:pPr>
      <w:r>
        <w:rPr>
          <w:rFonts w:cs="Times New Roman"/>
          <w:b/>
        </w:rPr>
        <w:br w:type="page"/>
      </w:r>
    </w:p>
    <w:p w14:paraId="7BF4FDCD" w14:textId="5A36CD49" w:rsidR="00857BD1" w:rsidRPr="00857BD1" w:rsidRDefault="00857BD1" w:rsidP="00857BD1">
      <w:pPr>
        <w:pStyle w:val="WCPFC"/>
        <w:numPr>
          <w:ilvl w:val="0"/>
          <w:numId w:val="0"/>
        </w:numPr>
        <w:adjustRightInd w:val="0"/>
        <w:spacing w:after="0"/>
        <w:rPr>
          <w:rFonts w:cs="Times New Roman"/>
        </w:rPr>
      </w:pPr>
      <w:r w:rsidRPr="00857BD1">
        <w:rPr>
          <w:rFonts w:cs="Times New Roman"/>
          <w:b/>
        </w:rPr>
        <w:lastRenderedPageBreak/>
        <w:t>Table NPS-3</w:t>
      </w:r>
      <w:r w:rsidRPr="00857BD1">
        <w:rPr>
          <w:rFonts w:cs="Times New Roman"/>
        </w:rPr>
        <w:t>. Projected values of WCNPO swordfish spawning stock biomass (SSB, mt) and catch (mt)</w:t>
      </w:r>
      <w:r w:rsidRPr="00857BD1">
        <w:rPr>
          <w:rFonts w:cs="Times New Roman"/>
          <w:lang w:eastAsia="ko-KR"/>
        </w:rPr>
        <w:t xml:space="preserve"> </w:t>
      </w:r>
      <w:r w:rsidRPr="00857BD1">
        <w:rPr>
          <w:rFonts w:cs="Times New Roman"/>
        </w:rPr>
        <w:t>under five constant fishing mortality rate (F, yr</w:t>
      </w:r>
      <w:r w:rsidRPr="00857BD1">
        <w:rPr>
          <w:rFonts w:cs="Times New Roman"/>
          <w:vertAlign w:val="superscript"/>
          <w:lang w:eastAsia="ko-KR"/>
        </w:rPr>
        <w:t>-1</w:t>
      </w:r>
      <w:r w:rsidRPr="00857BD1">
        <w:rPr>
          <w:rFonts w:cs="Times New Roman"/>
        </w:rPr>
        <w:t>) scenarios during 2017-2026.</w:t>
      </w:r>
    </w:p>
    <w:tbl>
      <w:tblPr>
        <w:tblpPr w:leftFromText="180" w:rightFromText="180" w:vertAnchor="text" w:horzAnchor="margin" w:tblpY="166"/>
        <w:tblW w:w="9592"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94"/>
        <w:gridCol w:w="932"/>
        <w:gridCol w:w="876"/>
        <w:gridCol w:w="878"/>
        <w:gridCol w:w="877"/>
        <w:gridCol w:w="877"/>
        <w:gridCol w:w="877"/>
        <w:gridCol w:w="876"/>
        <w:gridCol w:w="878"/>
        <w:gridCol w:w="877"/>
        <w:gridCol w:w="850"/>
      </w:tblGrid>
      <w:tr w:rsidR="00857BD1" w:rsidRPr="00857BD1" w14:paraId="5EA1E21D" w14:textId="77777777" w:rsidTr="00573C70">
        <w:trPr>
          <w:trHeight w:val="20"/>
        </w:trPr>
        <w:tc>
          <w:tcPr>
            <w:tcW w:w="794" w:type="dxa"/>
            <w:tcBorders>
              <w:top w:val="single" w:sz="8" w:space="0" w:color="000000"/>
              <w:bottom w:val="single" w:sz="8" w:space="0" w:color="000000"/>
            </w:tcBorders>
          </w:tcPr>
          <w:p w14:paraId="00B9AC18" w14:textId="77777777" w:rsidR="00857BD1" w:rsidRPr="00857BD1" w:rsidRDefault="00857BD1" w:rsidP="00857BD1">
            <w:pPr>
              <w:pStyle w:val="TableParagraph"/>
              <w:adjustRightInd w:val="0"/>
              <w:snapToGrid w:val="0"/>
              <w:rPr>
                <w:rFonts w:ascii="Times New Roman" w:hAnsi="Times New Roman" w:cs="Times New Roman"/>
                <w:b/>
              </w:rPr>
            </w:pPr>
            <w:r w:rsidRPr="00857BD1">
              <w:rPr>
                <w:rFonts w:ascii="Times New Roman" w:hAnsi="Times New Roman" w:cs="Times New Roman"/>
                <w:b/>
              </w:rPr>
              <w:t>Year</w:t>
            </w:r>
          </w:p>
        </w:tc>
        <w:tc>
          <w:tcPr>
            <w:tcW w:w="932" w:type="dxa"/>
            <w:tcBorders>
              <w:top w:val="single" w:sz="8" w:space="0" w:color="000000"/>
              <w:bottom w:val="single" w:sz="8" w:space="0" w:color="000000"/>
            </w:tcBorders>
          </w:tcPr>
          <w:p w14:paraId="6E0BC9B1" w14:textId="77777777" w:rsidR="00857BD1" w:rsidRPr="00857BD1" w:rsidRDefault="00857BD1" w:rsidP="00857BD1">
            <w:pPr>
              <w:pStyle w:val="TableParagraph"/>
              <w:adjustRightInd w:val="0"/>
              <w:snapToGrid w:val="0"/>
              <w:ind w:left="106"/>
              <w:jc w:val="right"/>
              <w:rPr>
                <w:rFonts w:ascii="Times New Roman" w:hAnsi="Times New Roman" w:cs="Times New Roman"/>
                <w:b/>
              </w:rPr>
            </w:pPr>
            <w:r w:rsidRPr="00857BD1">
              <w:rPr>
                <w:rFonts w:ascii="Times New Roman" w:hAnsi="Times New Roman" w:cs="Times New Roman"/>
                <w:b/>
              </w:rPr>
              <w:t>2017</w:t>
            </w:r>
          </w:p>
        </w:tc>
        <w:tc>
          <w:tcPr>
            <w:tcW w:w="876" w:type="dxa"/>
            <w:tcBorders>
              <w:top w:val="single" w:sz="8" w:space="0" w:color="000000"/>
              <w:bottom w:val="single" w:sz="8" w:space="0" w:color="000000"/>
            </w:tcBorders>
          </w:tcPr>
          <w:p w14:paraId="55457540"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2018</w:t>
            </w:r>
          </w:p>
        </w:tc>
        <w:tc>
          <w:tcPr>
            <w:tcW w:w="878" w:type="dxa"/>
            <w:tcBorders>
              <w:top w:val="single" w:sz="8" w:space="0" w:color="000000"/>
              <w:bottom w:val="single" w:sz="8" w:space="0" w:color="000000"/>
            </w:tcBorders>
          </w:tcPr>
          <w:p w14:paraId="64AFF77B"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2019</w:t>
            </w:r>
          </w:p>
        </w:tc>
        <w:tc>
          <w:tcPr>
            <w:tcW w:w="877" w:type="dxa"/>
            <w:tcBorders>
              <w:top w:val="single" w:sz="8" w:space="0" w:color="000000"/>
              <w:bottom w:val="single" w:sz="8" w:space="0" w:color="000000"/>
            </w:tcBorders>
          </w:tcPr>
          <w:p w14:paraId="4DB624B7" w14:textId="77777777" w:rsidR="00857BD1" w:rsidRPr="00857BD1" w:rsidRDefault="00857BD1" w:rsidP="00857BD1">
            <w:pPr>
              <w:pStyle w:val="TableParagraph"/>
              <w:adjustRightInd w:val="0"/>
              <w:snapToGrid w:val="0"/>
              <w:ind w:left="30"/>
              <w:jc w:val="right"/>
              <w:rPr>
                <w:rFonts w:ascii="Times New Roman" w:hAnsi="Times New Roman" w:cs="Times New Roman"/>
                <w:b/>
              </w:rPr>
            </w:pPr>
            <w:r w:rsidRPr="00857BD1">
              <w:rPr>
                <w:rFonts w:ascii="Times New Roman" w:hAnsi="Times New Roman" w:cs="Times New Roman"/>
                <w:b/>
              </w:rPr>
              <w:t>2020</w:t>
            </w:r>
          </w:p>
        </w:tc>
        <w:tc>
          <w:tcPr>
            <w:tcW w:w="877" w:type="dxa"/>
            <w:tcBorders>
              <w:top w:val="single" w:sz="8" w:space="0" w:color="000000"/>
              <w:bottom w:val="single" w:sz="8" w:space="0" w:color="000000"/>
            </w:tcBorders>
          </w:tcPr>
          <w:p w14:paraId="5FAB640F"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2021</w:t>
            </w:r>
          </w:p>
        </w:tc>
        <w:tc>
          <w:tcPr>
            <w:tcW w:w="877" w:type="dxa"/>
            <w:tcBorders>
              <w:top w:val="single" w:sz="8" w:space="0" w:color="000000"/>
              <w:bottom w:val="single" w:sz="8" w:space="0" w:color="000000"/>
            </w:tcBorders>
          </w:tcPr>
          <w:p w14:paraId="4D2A7CA6"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2022</w:t>
            </w:r>
          </w:p>
        </w:tc>
        <w:tc>
          <w:tcPr>
            <w:tcW w:w="876" w:type="dxa"/>
            <w:tcBorders>
              <w:top w:val="single" w:sz="8" w:space="0" w:color="000000"/>
              <w:bottom w:val="single" w:sz="8" w:space="0" w:color="000000"/>
            </w:tcBorders>
          </w:tcPr>
          <w:p w14:paraId="71FCC70A"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2023</w:t>
            </w:r>
          </w:p>
        </w:tc>
        <w:tc>
          <w:tcPr>
            <w:tcW w:w="878" w:type="dxa"/>
            <w:tcBorders>
              <w:top w:val="single" w:sz="8" w:space="0" w:color="000000"/>
              <w:bottom w:val="single" w:sz="8" w:space="0" w:color="000000"/>
            </w:tcBorders>
          </w:tcPr>
          <w:p w14:paraId="096CC991"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2024</w:t>
            </w:r>
          </w:p>
        </w:tc>
        <w:tc>
          <w:tcPr>
            <w:tcW w:w="877" w:type="dxa"/>
            <w:tcBorders>
              <w:top w:val="single" w:sz="8" w:space="0" w:color="000000"/>
              <w:bottom w:val="single" w:sz="8" w:space="0" w:color="000000"/>
            </w:tcBorders>
          </w:tcPr>
          <w:p w14:paraId="2D7D67C4" w14:textId="77777777" w:rsidR="00857BD1" w:rsidRPr="00857BD1" w:rsidRDefault="00857BD1" w:rsidP="00857BD1">
            <w:pPr>
              <w:pStyle w:val="TableParagraph"/>
              <w:adjustRightInd w:val="0"/>
              <w:snapToGrid w:val="0"/>
              <w:jc w:val="right"/>
              <w:rPr>
                <w:rFonts w:ascii="Times New Roman" w:hAnsi="Times New Roman" w:cs="Times New Roman"/>
                <w:b/>
              </w:rPr>
            </w:pPr>
            <w:r w:rsidRPr="00857BD1">
              <w:rPr>
                <w:rFonts w:ascii="Times New Roman" w:hAnsi="Times New Roman" w:cs="Times New Roman"/>
                <w:b/>
              </w:rPr>
              <w:t>2025</w:t>
            </w:r>
          </w:p>
        </w:tc>
        <w:tc>
          <w:tcPr>
            <w:tcW w:w="850" w:type="dxa"/>
            <w:tcBorders>
              <w:top w:val="single" w:sz="8" w:space="0" w:color="000000"/>
              <w:bottom w:val="single" w:sz="8" w:space="0" w:color="000000"/>
            </w:tcBorders>
          </w:tcPr>
          <w:p w14:paraId="3F02847F" w14:textId="77777777" w:rsidR="00857BD1" w:rsidRPr="00857BD1" w:rsidRDefault="00857BD1" w:rsidP="00857BD1">
            <w:pPr>
              <w:pStyle w:val="TableParagraph"/>
              <w:adjustRightInd w:val="0"/>
              <w:snapToGrid w:val="0"/>
              <w:ind w:left="-12"/>
              <w:jc w:val="right"/>
              <w:rPr>
                <w:rFonts w:ascii="Times New Roman" w:hAnsi="Times New Roman" w:cs="Times New Roman"/>
                <w:b/>
              </w:rPr>
            </w:pPr>
            <w:r w:rsidRPr="00857BD1">
              <w:rPr>
                <w:rFonts w:ascii="Times New Roman" w:hAnsi="Times New Roman" w:cs="Times New Roman"/>
                <w:b/>
              </w:rPr>
              <w:t>2026</w:t>
            </w:r>
          </w:p>
        </w:tc>
      </w:tr>
      <w:tr w:rsidR="00857BD1" w:rsidRPr="00857BD1" w14:paraId="6DF42273" w14:textId="77777777" w:rsidTr="00573C70">
        <w:trPr>
          <w:trHeight w:val="20"/>
        </w:trPr>
        <w:tc>
          <w:tcPr>
            <w:tcW w:w="9592" w:type="dxa"/>
            <w:gridSpan w:val="11"/>
            <w:tcBorders>
              <w:top w:val="single" w:sz="8" w:space="0" w:color="000000"/>
            </w:tcBorders>
          </w:tcPr>
          <w:p w14:paraId="036C548C" w14:textId="77777777" w:rsidR="00857BD1" w:rsidRPr="00857BD1" w:rsidRDefault="00857BD1" w:rsidP="00857BD1">
            <w:pPr>
              <w:pStyle w:val="TableParagraph"/>
              <w:adjustRightInd w:val="0"/>
              <w:snapToGrid w:val="0"/>
              <w:ind w:left="-12"/>
              <w:rPr>
                <w:rFonts w:ascii="Times New Roman" w:hAnsi="Times New Roman" w:cs="Times New Roman"/>
                <w:b/>
              </w:rPr>
            </w:pPr>
            <w:r w:rsidRPr="00857BD1">
              <w:rPr>
                <w:rFonts w:ascii="Times New Roman" w:hAnsi="Times New Roman" w:cs="Times New Roman"/>
                <w:b/>
                <w:u w:val="single"/>
              </w:rPr>
              <w:t>Scenario 1: F = F</w:t>
            </w:r>
            <w:r w:rsidRPr="00857BD1">
              <w:rPr>
                <w:rFonts w:ascii="Times New Roman" w:hAnsi="Times New Roman" w:cs="Times New Roman"/>
                <w:b/>
                <w:position w:val="-2"/>
                <w:u w:val="single"/>
              </w:rPr>
              <w:t>2013-2015</w:t>
            </w:r>
          </w:p>
        </w:tc>
      </w:tr>
      <w:tr w:rsidR="00857BD1" w:rsidRPr="00857BD1" w14:paraId="7962AD91" w14:textId="77777777" w:rsidTr="00573C70">
        <w:trPr>
          <w:trHeight w:val="20"/>
        </w:trPr>
        <w:tc>
          <w:tcPr>
            <w:tcW w:w="794" w:type="dxa"/>
          </w:tcPr>
          <w:p w14:paraId="49DA7A55"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SSB</w:t>
            </w:r>
          </w:p>
        </w:tc>
        <w:tc>
          <w:tcPr>
            <w:tcW w:w="932" w:type="dxa"/>
          </w:tcPr>
          <w:p w14:paraId="5D93DFB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w w:val="95"/>
              </w:rPr>
              <w:t>32,118</w:t>
            </w:r>
          </w:p>
        </w:tc>
        <w:tc>
          <w:tcPr>
            <w:tcW w:w="876" w:type="dxa"/>
          </w:tcPr>
          <w:p w14:paraId="0CFABC0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33,207</w:t>
            </w:r>
          </w:p>
        </w:tc>
        <w:tc>
          <w:tcPr>
            <w:tcW w:w="878" w:type="dxa"/>
          </w:tcPr>
          <w:p w14:paraId="0A0C7A77"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34,599</w:t>
            </w:r>
          </w:p>
        </w:tc>
        <w:tc>
          <w:tcPr>
            <w:tcW w:w="877" w:type="dxa"/>
          </w:tcPr>
          <w:p w14:paraId="1BC2EEDD"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35,476</w:t>
            </w:r>
          </w:p>
        </w:tc>
        <w:tc>
          <w:tcPr>
            <w:tcW w:w="877" w:type="dxa"/>
          </w:tcPr>
          <w:p w14:paraId="205260A4"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36,270</w:t>
            </w:r>
          </w:p>
        </w:tc>
        <w:tc>
          <w:tcPr>
            <w:tcW w:w="877" w:type="dxa"/>
          </w:tcPr>
          <w:p w14:paraId="13522A94"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37,082</w:t>
            </w:r>
          </w:p>
        </w:tc>
        <w:tc>
          <w:tcPr>
            <w:tcW w:w="876" w:type="dxa"/>
          </w:tcPr>
          <w:p w14:paraId="52382FAE"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37,951</w:t>
            </w:r>
          </w:p>
        </w:tc>
        <w:tc>
          <w:tcPr>
            <w:tcW w:w="878" w:type="dxa"/>
          </w:tcPr>
          <w:p w14:paraId="5089FDB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38,967</w:t>
            </w:r>
          </w:p>
        </w:tc>
        <w:tc>
          <w:tcPr>
            <w:tcW w:w="877" w:type="dxa"/>
          </w:tcPr>
          <w:p w14:paraId="58D7A867"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40,083</w:t>
            </w:r>
          </w:p>
        </w:tc>
        <w:tc>
          <w:tcPr>
            <w:tcW w:w="850" w:type="dxa"/>
          </w:tcPr>
          <w:p w14:paraId="64645D78"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w w:val="95"/>
              </w:rPr>
              <w:t>41,087</w:t>
            </w:r>
          </w:p>
        </w:tc>
      </w:tr>
      <w:tr w:rsidR="00857BD1" w:rsidRPr="00857BD1" w14:paraId="1260965E" w14:textId="77777777" w:rsidTr="00573C70">
        <w:trPr>
          <w:trHeight w:val="20"/>
        </w:trPr>
        <w:tc>
          <w:tcPr>
            <w:tcW w:w="794" w:type="dxa"/>
          </w:tcPr>
          <w:p w14:paraId="59A97FDF"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Catch</w:t>
            </w:r>
          </w:p>
        </w:tc>
        <w:tc>
          <w:tcPr>
            <w:tcW w:w="932" w:type="dxa"/>
          </w:tcPr>
          <w:p w14:paraId="569B72F0"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8,851</w:t>
            </w:r>
          </w:p>
        </w:tc>
        <w:tc>
          <w:tcPr>
            <w:tcW w:w="876" w:type="dxa"/>
          </w:tcPr>
          <w:p w14:paraId="249554BB"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9,135</w:t>
            </w:r>
          </w:p>
        </w:tc>
        <w:tc>
          <w:tcPr>
            <w:tcW w:w="878" w:type="dxa"/>
          </w:tcPr>
          <w:p w14:paraId="0FE040DC"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9,407</w:t>
            </w:r>
          </w:p>
        </w:tc>
        <w:tc>
          <w:tcPr>
            <w:tcW w:w="877" w:type="dxa"/>
          </w:tcPr>
          <w:p w14:paraId="2924F0DE"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9,599</w:t>
            </w:r>
          </w:p>
        </w:tc>
        <w:tc>
          <w:tcPr>
            <w:tcW w:w="877" w:type="dxa"/>
          </w:tcPr>
          <w:p w14:paraId="0939504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9,794</w:t>
            </w:r>
          </w:p>
        </w:tc>
        <w:tc>
          <w:tcPr>
            <w:tcW w:w="877" w:type="dxa"/>
          </w:tcPr>
          <w:p w14:paraId="76C9DFF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10,022</w:t>
            </w:r>
          </w:p>
        </w:tc>
        <w:tc>
          <w:tcPr>
            <w:tcW w:w="876" w:type="dxa"/>
          </w:tcPr>
          <w:p w14:paraId="39A26365"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10,275</w:t>
            </w:r>
          </w:p>
        </w:tc>
        <w:tc>
          <w:tcPr>
            <w:tcW w:w="878" w:type="dxa"/>
          </w:tcPr>
          <w:p w14:paraId="25CBF0FC"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10,595</w:t>
            </w:r>
          </w:p>
        </w:tc>
        <w:tc>
          <w:tcPr>
            <w:tcW w:w="877" w:type="dxa"/>
          </w:tcPr>
          <w:p w14:paraId="1BE8BE7A"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rPr>
              <w:t>11,053</w:t>
            </w:r>
          </w:p>
        </w:tc>
        <w:tc>
          <w:tcPr>
            <w:tcW w:w="850" w:type="dxa"/>
          </w:tcPr>
          <w:p w14:paraId="4AE01A5F" w14:textId="77777777" w:rsidR="00857BD1" w:rsidRPr="00857BD1" w:rsidRDefault="00857BD1" w:rsidP="00857BD1">
            <w:pPr>
              <w:pStyle w:val="TableParagraph"/>
              <w:adjustRightInd w:val="0"/>
              <w:snapToGrid w:val="0"/>
              <w:ind w:right="16"/>
              <w:jc w:val="right"/>
              <w:rPr>
                <w:rFonts w:ascii="Times New Roman" w:hAnsi="Times New Roman" w:cs="Times New Roman"/>
              </w:rPr>
            </w:pPr>
            <w:r w:rsidRPr="00857BD1">
              <w:rPr>
                <w:rFonts w:ascii="Times New Roman" w:hAnsi="Times New Roman" w:cs="Times New Roman"/>
                <w:w w:val="95"/>
              </w:rPr>
              <w:t>11,142</w:t>
            </w:r>
          </w:p>
        </w:tc>
      </w:tr>
      <w:tr w:rsidR="00857BD1" w:rsidRPr="00857BD1" w14:paraId="12DF6718" w14:textId="77777777" w:rsidTr="00573C70">
        <w:trPr>
          <w:trHeight w:val="20"/>
        </w:trPr>
        <w:tc>
          <w:tcPr>
            <w:tcW w:w="9592" w:type="dxa"/>
            <w:gridSpan w:val="11"/>
          </w:tcPr>
          <w:p w14:paraId="1E753E30" w14:textId="77777777" w:rsidR="00857BD1" w:rsidRPr="00857BD1" w:rsidRDefault="00857BD1" w:rsidP="00857BD1">
            <w:pPr>
              <w:pStyle w:val="TableParagraph"/>
              <w:adjustRightInd w:val="0"/>
              <w:snapToGrid w:val="0"/>
              <w:ind w:left="-12"/>
              <w:rPr>
                <w:rFonts w:ascii="Times New Roman" w:hAnsi="Times New Roman" w:cs="Times New Roman"/>
                <w:b/>
              </w:rPr>
            </w:pPr>
            <w:r w:rsidRPr="00857BD1">
              <w:rPr>
                <w:rFonts w:ascii="Times New Roman" w:hAnsi="Times New Roman" w:cs="Times New Roman"/>
                <w:b/>
                <w:u w:val="single"/>
              </w:rPr>
              <w:t>Scenario 2: F = F</w:t>
            </w:r>
            <w:r w:rsidRPr="00857BD1">
              <w:rPr>
                <w:rFonts w:ascii="Times New Roman" w:hAnsi="Times New Roman" w:cs="Times New Roman"/>
                <w:b/>
                <w:position w:val="-2"/>
                <w:u w:val="single"/>
              </w:rPr>
              <w:t>MSY</w:t>
            </w:r>
          </w:p>
        </w:tc>
      </w:tr>
      <w:tr w:rsidR="00857BD1" w:rsidRPr="00857BD1" w14:paraId="1C686D13" w14:textId="77777777" w:rsidTr="00573C70">
        <w:trPr>
          <w:trHeight w:val="20"/>
        </w:trPr>
        <w:tc>
          <w:tcPr>
            <w:tcW w:w="794" w:type="dxa"/>
          </w:tcPr>
          <w:p w14:paraId="1F82CB47"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SSB</w:t>
            </w:r>
          </w:p>
        </w:tc>
        <w:tc>
          <w:tcPr>
            <w:tcW w:w="932" w:type="dxa"/>
          </w:tcPr>
          <w:p w14:paraId="77BD282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28,267</w:t>
            </w:r>
          </w:p>
        </w:tc>
        <w:tc>
          <w:tcPr>
            <w:tcW w:w="876" w:type="dxa"/>
          </w:tcPr>
          <w:p w14:paraId="2EBB27D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23,963</w:t>
            </w:r>
          </w:p>
        </w:tc>
        <w:tc>
          <w:tcPr>
            <w:tcW w:w="878" w:type="dxa"/>
          </w:tcPr>
          <w:p w14:paraId="5CF3D5FE"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21,443</w:t>
            </w:r>
          </w:p>
        </w:tc>
        <w:tc>
          <w:tcPr>
            <w:tcW w:w="877" w:type="dxa"/>
          </w:tcPr>
          <w:p w14:paraId="11655348"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19,458</w:t>
            </w:r>
          </w:p>
        </w:tc>
        <w:tc>
          <w:tcPr>
            <w:tcW w:w="877" w:type="dxa"/>
          </w:tcPr>
          <w:p w14:paraId="7738BB1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18,303</w:t>
            </w:r>
          </w:p>
        </w:tc>
        <w:tc>
          <w:tcPr>
            <w:tcW w:w="877" w:type="dxa"/>
          </w:tcPr>
          <w:p w14:paraId="566F05BA"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17,618</w:t>
            </w:r>
          </w:p>
        </w:tc>
        <w:tc>
          <w:tcPr>
            <w:tcW w:w="876" w:type="dxa"/>
          </w:tcPr>
          <w:p w14:paraId="7C3B816A"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17,293</w:t>
            </w:r>
          </w:p>
        </w:tc>
        <w:tc>
          <w:tcPr>
            <w:tcW w:w="878" w:type="dxa"/>
          </w:tcPr>
          <w:p w14:paraId="11E0BF5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17,197</w:t>
            </w:r>
          </w:p>
        </w:tc>
        <w:tc>
          <w:tcPr>
            <w:tcW w:w="877" w:type="dxa"/>
          </w:tcPr>
          <w:p w14:paraId="76191B9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17,253</w:t>
            </w:r>
          </w:p>
        </w:tc>
        <w:tc>
          <w:tcPr>
            <w:tcW w:w="850" w:type="dxa"/>
          </w:tcPr>
          <w:p w14:paraId="3C441F10"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17,263</w:t>
            </w:r>
          </w:p>
        </w:tc>
      </w:tr>
      <w:tr w:rsidR="00857BD1" w:rsidRPr="00857BD1" w14:paraId="546CFFBD" w14:textId="77777777" w:rsidTr="00573C70">
        <w:trPr>
          <w:trHeight w:val="20"/>
        </w:trPr>
        <w:tc>
          <w:tcPr>
            <w:tcW w:w="794" w:type="dxa"/>
          </w:tcPr>
          <w:p w14:paraId="6D2D3795"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Catch</w:t>
            </w:r>
          </w:p>
        </w:tc>
        <w:tc>
          <w:tcPr>
            <w:tcW w:w="932" w:type="dxa"/>
          </w:tcPr>
          <w:p w14:paraId="7ABA4C7B"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20,885</w:t>
            </w:r>
          </w:p>
        </w:tc>
        <w:tc>
          <w:tcPr>
            <w:tcW w:w="876" w:type="dxa"/>
          </w:tcPr>
          <w:p w14:paraId="5815068A"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18,323</w:t>
            </w:r>
          </w:p>
        </w:tc>
        <w:tc>
          <w:tcPr>
            <w:tcW w:w="878" w:type="dxa"/>
          </w:tcPr>
          <w:p w14:paraId="39A8BFB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16,509</w:t>
            </w:r>
          </w:p>
        </w:tc>
        <w:tc>
          <w:tcPr>
            <w:tcW w:w="877" w:type="dxa"/>
          </w:tcPr>
          <w:p w14:paraId="19CF9252"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15,294</w:t>
            </w:r>
          </w:p>
        </w:tc>
        <w:tc>
          <w:tcPr>
            <w:tcW w:w="877" w:type="dxa"/>
          </w:tcPr>
          <w:p w14:paraId="4B2D082A"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14,666</w:t>
            </w:r>
          </w:p>
        </w:tc>
        <w:tc>
          <w:tcPr>
            <w:tcW w:w="877" w:type="dxa"/>
          </w:tcPr>
          <w:p w14:paraId="199F0BD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14,353</w:t>
            </w:r>
          </w:p>
        </w:tc>
        <w:tc>
          <w:tcPr>
            <w:tcW w:w="876" w:type="dxa"/>
          </w:tcPr>
          <w:p w14:paraId="05956BF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14,308</w:t>
            </w:r>
          </w:p>
        </w:tc>
        <w:tc>
          <w:tcPr>
            <w:tcW w:w="878" w:type="dxa"/>
          </w:tcPr>
          <w:p w14:paraId="505B425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14,520</w:t>
            </w:r>
          </w:p>
        </w:tc>
        <w:tc>
          <w:tcPr>
            <w:tcW w:w="877" w:type="dxa"/>
          </w:tcPr>
          <w:p w14:paraId="580DB1A4"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14,650</w:t>
            </w:r>
          </w:p>
        </w:tc>
        <w:tc>
          <w:tcPr>
            <w:tcW w:w="850" w:type="dxa"/>
          </w:tcPr>
          <w:p w14:paraId="2064C1D6"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14,348</w:t>
            </w:r>
          </w:p>
        </w:tc>
      </w:tr>
      <w:tr w:rsidR="00857BD1" w:rsidRPr="00857BD1" w14:paraId="1A7C7BC4" w14:textId="77777777" w:rsidTr="00573C70">
        <w:trPr>
          <w:trHeight w:val="20"/>
        </w:trPr>
        <w:tc>
          <w:tcPr>
            <w:tcW w:w="9592" w:type="dxa"/>
            <w:gridSpan w:val="11"/>
          </w:tcPr>
          <w:p w14:paraId="749BDD0F" w14:textId="77777777" w:rsidR="00857BD1" w:rsidRPr="00857BD1" w:rsidRDefault="00857BD1" w:rsidP="00857BD1">
            <w:pPr>
              <w:pStyle w:val="TableParagraph"/>
              <w:adjustRightInd w:val="0"/>
              <w:snapToGrid w:val="0"/>
              <w:ind w:left="-12"/>
              <w:rPr>
                <w:rFonts w:ascii="Times New Roman" w:hAnsi="Times New Roman" w:cs="Times New Roman"/>
                <w:b/>
              </w:rPr>
            </w:pPr>
            <w:r w:rsidRPr="00857BD1">
              <w:rPr>
                <w:rFonts w:ascii="Times New Roman" w:hAnsi="Times New Roman" w:cs="Times New Roman"/>
                <w:b/>
                <w:u w:val="single"/>
              </w:rPr>
              <w:t>Scenario 3: F = F20%SSB(F=0)</w:t>
            </w:r>
          </w:p>
        </w:tc>
      </w:tr>
      <w:tr w:rsidR="00857BD1" w:rsidRPr="00857BD1" w14:paraId="58457AAF" w14:textId="77777777" w:rsidTr="00573C70">
        <w:trPr>
          <w:trHeight w:val="20"/>
        </w:trPr>
        <w:tc>
          <w:tcPr>
            <w:tcW w:w="794" w:type="dxa"/>
          </w:tcPr>
          <w:p w14:paraId="34A4D6A9"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SSB</w:t>
            </w:r>
          </w:p>
        </w:tc>
        <w:tc>
          <w:tcPr>
            <w:tcW w:w="932" w:type="dxa"/>
          </w:tcPr>
          <w:p w14:paraId="32CBDDA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28,425</w:t>
            </w:r>
          </w:p>
        </w:tc>
        <w:tc>
          <w:tcPr>
            <w:tcW w:w="876" w:type="dxa"/>
          </w:tcPr>
          <w:p w14:paraId="5203E5E0"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24,384</w:t>
            </w:r>
          </w:p>
        </w:tc>
        <w:tc>
          <w:tcPr>
            <w:tcW w:w="878" w:type="dxa"/>
          </w:tcPr>
          <w:p w14:paraId="7A96ACC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21,800</w:t>
            </w:r>
          </w:p>
        </w:tc>
        <w:tc>
          <w:tcPr>
            <w:tcW w:w="877" w:type="dxa"/>
          </w:tcPr>
          <w:p w14:paraId="016EFF1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19,735</w:t>
            </w:r>
          </w:p>
        </w:tc>
        <w:tc>
          <w:tcPr>
            <w:tcW w:w="877" w:type="dxa"/>
          </w:tcPr>
          <w:p w14:paraId="1A3C38F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18,530</w:t>
            </w:r>
          </w:p>
        </w:tc>
        <w:tc>
          <w:tcPr>
            <w:tcW w:w="877" w:type="dxa"/>
          </w:tcPr>
          <w:p w14:paraId="13625D5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17,874</w:t>
            </w:r>
          </w:p>
        </w:tc>
        <w:tc>
          <w:tcPr>
            <w:tcW w:w="876" w:type="dxa"/>
          </w:tcPr>
          <w:p w14:paraId="3FA45A8A"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17,496</w:t>
            </w:r>
          </w:p>
        </w:tc>
        <w:tc>
          <w:tcPr>
            <w:tcW w:w="878" w:type="dxa"/>
          </w:tcPr>
          <w:p w14:paraId="1F32469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17,586</w:t>
            </w:r>
          </w:p>
        </w:tc>
        <w:tc>
          <w:tcPr>
            <w:tcW w:w="877" w:type="dxa"/>
          </w:tcPr>
          <w:p w14:paraId="66CB314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17,818</w:t>
            </w:r>
          </w:p>
        </w:tc>
        <w:tc>
          <w:tcPr>
            <w:tcW w:w="850" w:type="dxa"/>
          </w:tcPr>
          <w:p w14:paraId="1C2F2906"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17,779</w:t>
            </w:r>
          </w:p>
        </w:tc>
      </w:tr>
      <w:tr w:rsidR="00857BD1" w:rsidRPr="00857BD1" w14:paraId="1AA68DE8" w14:textId="77777777" w:rsidTr="00573C70">
        <w:trPr>
          <w:trHeight w:val="20"/>
        </w:trPr>
        <w:tc>
          <w:tcPr>
            <w:tcW w:w="794" w:type="dxa"/>
          </w:tcPr>
          <w:p w14:paraId="7C806B8E"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Catch</w:t>
            </w:r>
          </w:p>
        </w:tc>
        <w:tc>
          <w:tcPr>
            <w:tcW w:w="932" w:type="dxa"/>
          </w:tcPr>
          <w:p w14:paraId="65AB1A9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20,691</w:t>
            </w:r>
          </w:p>
        </w:tc>
        <w:tc>
          <w:tcPr>
            <w:tcW w:w="876" w:type="dxa"/>
          </w:tcPr>
          <w:p w14:paraId="70275A22"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18,122</w:t>
            </w:r>
          </w:p>
        </w:tc>
        <w:tc>
          <w:tcPr>
            <w:tcW w:w="878" w:type="dxa"/>
          </w:tcPr>
          <w:p w14:paraId="30B9B74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16,454</w:t>
            </w:r>
          </w:p>
        </w:tc>
        <w:tc>
          <w:tcPr>
            <w:tcW w:w="877" w:type="dxa"/>
          </w:tcPr>
          <w:p w14:paraId="5FB9BCA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15,261</w:t>
            </w:r>
          </w:p>
        </w:tc>
        <w:tc>
          <w:tcPr>
            <w:tcW w:w="877" w:type="dxa"/>
          </w:tcPr>
          <w:p w14:paraId="7386DE34"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14,653</w:t>
            </w:r>
          </w:p>
        </w:tc>
        <w:tc>
          <w:tcPr>
            <w:tcW w:w="877" w:type="dxa"/>
          </w:tcPr>
          <w:p w14:paraId="1807700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14,361</w:t>
            </w:r>
          </w:p>
        </w:tc>
        <w:tc>
          <w:tcPr>
            <w:tcW w:w="876" w:type="dxa"/>
          </w:tcPr>
          <w:p w14:paraId="70623946"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14,319</w:t>
            </w:r>
          </w:p>
        </w:tc>
        <w:tc>
          <w:tcPr>
            <w:tcW w:w="878" w:type="dxa"/>
          </w:tcPr>
          <w:p w14:paraId="033C261F"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14,554</w:t>
            </w:r>
          </w:p>
        </w:tc>
        <w:tc>
          <w:tcPr>
            <w:tcW w:w="877" w:type="dxa"/>
          </w:tcPr>
          <w:p w14:paraId="358F381F"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14,665</w:t>
            </w:r>
          </w:p>
        </w:tc>
        <w:tc>
          <w:tcPr>
            <w:tcW w:w="850" w:type="dxa"/>
          </w:tcPr>
          <w:p w14:paraId="5268D454"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14,384</w:t>
            </w:r>
          </w:p>
        </w:tc>
      </w:tr>
      <w:tr w:rsidR="00857BD1" w:rsidRPr="00857BD1" w14:paraId="211D240B" w14:textId="77777777" w:rsidTr="00573C70">
        <w:trPr>
          <w:trHeight w:val="20"/>
        </w:trPr>
        <w:tc>
          <w:tcPr>
            <w:tcW w:w="9592" w:type="dxa"/>
            <w:gridSpan w:val="11"/>
          </w:tcPr>
          <w:p w14:paraId="029ECCA2" w14:textId="77777777" w:rsidR="00857BD1" w:rsidRPr="00857BD1" w:rsidRDefault="00857BD1" w:rsidP="00857BD1">
            <w:pPr>
              <w:pStyle w:val="TableParagraph"/>
              <w:adjustRightInd w:val="0"/>
              <w:snapToGrid w:val="0"/>
              <w:ind w:left="-12"/>
              <w:rPr>
                <w:rFonts w:ascii="Times New Roman" w:hAnsi="Times New Roman" w:cs="Times New Roman"/>
                <w:b/>
              </w:rPr>
            </w:pPr>
            <w:r w:rsidRPr="00857BD1">
              <w:rPr>
                <w:rFonts w:ascii="Times New Roman" w:hAnsi="Times New Roman" w:cs="Times New Roman"/>
                <w:b/>
                <w:u w:val="single"/>
              </w:rPr>
              <w:t>Scenario 4: F = F</w:t>
            </w:r>
            <w:r w:rsidRPr="00857BD1">
              <w:rPr>
                <w:rFonts w:ascii="Times New Roman" w:hAnsi="Times New Roman" w:cs="Times New Roman"/>
                <w:b/>
                <w:position w:val="-2"/>
                <w:u w:val="single"/>
              </w:rPr>
              <w:t>20%</w:t>
            </w:r>
          </w:p>
        </w:tc>
      </w:tr>
      <w:tr w:rsidR="00857BD1" w:rsidRPr="00857BD1" w14:paraId="7AFED699" w14:textId="77777777" w:rsidTr="00573C70">
        <w:trPr>
          <w:trHeight w:val="20"/>
        </w:trPr>
        <w:tc>
          <w:tcPr>
            <w:tcW w:w="794" w:type="dxa"/>
          </w:tcPr>
          <w:p w14:paraId="75FC6E85"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SSB</w:t>
            </w:r>
          </w:p>
        </w:tc>
        <w:tc>
          <w:tcPr>
            <w:tcW w:w="932" w:type="dxa"/>
          </w:tcPr>
          <w:p w14:paraId="7028E1D2"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29,007</w:t>
            </w:r>
          </w:p>
        </w:tc>
        <w:tc>
          <w:tcPr>
            <w:tcW w:w="876" w:type="dxa"/>
          </w:tcPr>
          <w:p w14:paraId="6B6C18B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25,431</w:t>
            </w:r>
          </w:p>
        </w:tc>
        <w:tc>
          <w:tcPr>
            <w:tcW w:w="878" w:type="dxa"/>
          </w:tcPr>
          <w:p w14:paraId="2CFD262F"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23,527</w:t>
            </w:r>
          </w:p>
        </w:tc>
        <w:tc>
          <w:tcPr>
            <w:tcW w:w="877" w:type="dxa"/>
          </w:tcPr>
          <w:p w14:paraId="06AE9CBD"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21,763</w:t>
            </w:r>
          </w:p>
        </w:tc>
        <w:tc>
          <w:tcPr>
            <w:tcW w:w="877" w:type="dxa"/>
          </w:tcPr>
          <w:p w14:paraId="73BFB2F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20,736</w:t>
            </w:r>
          </w:p>
        </w:tc>
        <w:tc>
          <w:tcPr>
            <w:tcW w:w="877" w:type="dxa"/>
          </w:tcPr>
          <w:p w14:paraId="1C4158F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20,131</w:t>
            </w:r>
          </w:p>
        </w:tc>
        <w:tc>
          <w:tcPr>
            <w:tcW w:w="876" w:type="dxa"/>
          </w:tcPr>
          <w:p w14:paraId="11FECE3B"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19,893</w:t>
            </w:r>
          </w:p>
        </w:tc>
        <w:tc>
          <w:tcPr>
            <w:tcW w:w="878" w:type="dxa"/>
          </w:tcPr>
          <w:p w14:paraId="773A6062"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19,883</w:t>
            </w:r>
          </w:p>
        </w:tc>
        <w:tc>
          <w:tcPr>
            <w:tcW w:w="877" w:type="dxa"/>
          </w:tcPr>
          <w:p w14:paraId="15907D3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19,981</w:t>
            </w:r>
          </w:p>
        </w:tc>
        <w:tc>
          <w:tcPr>
            <w:tcW w:w="850" w:type="dxa"/>
          </w:tcPr>
          <w:p w14:paraId="6320C3A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20,066</w:t>
            </w:r>
          </w:p>
        </w:tc>
      </w:tr>
      <w:tr w:rsidR="00857BD1" w:rsidRPr="00857BD1" w14:paraId="61D1D99D" w14:textId="77777777" w:rsidTr="00573C70">
        <w:trPr>
          <w:trHeight w:val="20"/>
        </w:trPr>
        <w:tc>
          <w:tcPr>
            <w:tcW w:w="794" w:type="dxa"/>
          </w:tcPr>
          <w:p w14:paraId="1D7BB23B"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Catch</w:t>
            </w:r>
          </w:p>
        </w:tc>
        <w:tc>
          <w:tcPr>
            <w:tcW w:w="932" w:type="dxa"/>
          </w:tcPr>
          <w:p w14:paraId="2D7144A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18,680</w:t>
            </w:r>
          </w:p>
        </w:tc>
        <w:tc>
          <w:tcPr>
            <w:tcW w:w="876" w:type="dxa"/>
          </w:tcPr>
          <w:p w14:paraId="6D634528"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16,933</w:t>
            </w:r>
          </w:p>
        </w:tc>
        <w:tc>
          <w:tcPr>
            <w:tcW w:w="878" w:type="dxa"/>
          </w:tcPr>
          <w:p w14:paraId="1460F9D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15,657</w:t>
            </w:r>
          </w:p>
        </w:tc>
        <w:tc>
          <w:tcPr>
            <w:tcW w:w="877" w:type="dxa"/>
          </w:tcPr>
          <w:p w14:paraId="675E16CE"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14,726</w:t>
            </w:r>
          </w:p>
        </w:tc>
        <w:tc>
          <w:tcPr>
            <w:tcW w:w="877" w:type="dxa"/>
          </w:tcPr>
          <w:p w14:paraId="1F9DCB48"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14,242</w:t>
            </w:r>
          </w:p>
        </w:tc>
        <w:tc>
          <w:tcPr>
            <w:tcW w:w="877" w:type="dxa"/>
          </w:tcPr>
          <w:p w14:paraId="038C58F5"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14,033</w:t>
            </w:r>
          </w:p>
        </w:tc>
        <w:tc>
          <w:tcPr>
            <w:tcW w:w="876" w:type="dxa"/>
          </w:tcPr>
          <w:p w14:paraId="3A3D73A4"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14,050</w:t>
            </w:r>
          </w:p>
        </w:tc>
        <w:tc>
          <w:tcPr>
            <w:tcW w:w="878" w:type="dxa"/>
          </w:tcPr>
          <w:p w14:paraId="628A1CBD"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14,292</w:t>
            </w:r>
          </w:p>
        </w:tc>
        <w:tc>
          <w:tcPr>
            <w:tcW w:w="877" w:type="dxa"/>
          </w:tcPr>
          <w:p w14:paraId="677D6768"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14,496</w:t>
            </w:r>
          </w:p>
        </w:tc>
        <w:tc>
          <w:tcPr>
            <w:tcW w:w="850" w:type="dxa"/>
          </w:tcPr>
          <w:p w14:paraId="50F4FE6F"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14,253</w:t>
            </w:r>
          </w:p>
        </w:tc>
      </w:tr>
      <w:tr w:rsidR="00857BD1" w:rsidRPr="00857BD1" w14:paraId="034C79A2" w14:textId="77777777" w:rsidTr="00573C70">
        <w:trPr>
          <w:trHeight w:val="20"/>
        </w:trPr>
        <w:tc>
          <w:tcPr>
            <w:tcW w:w="9592" w:type="dxa"/>
            <w:gridSpan w:val="11"/>
          </w:tcPr>
          <w:p w14:paraId="4A964E73" w14:textId="77777777" w:rsidR="00857BD1" w:rsidRPr="00857BD1" w:rsidRDefault="00857BD1" w:rsidP="00857BD1">
            <w:pPr>
              <w:pStyle w:val="TableParagraph"/>
              <w:adjustRightInd w:val="0"/>
              <w:snapToGrid w:val="0"/>
              <w:ind w:left="-12"/>
              <w:rPr>
                <w:rFonts w:ascii="Times New Roman" w:hAnsi="Times New Roman" w:cs="Times New Roman"/>
                <w:b/>
              </w:rPr>
            </w:pPr>
            <w:r w:rsidRPr="00857BD1">
              <w:rPr>
                <w:rFonts w:ascii="Times New Roman" w:hAnsi="Times New Roman" w:cs="Times New Roman"/>
                <w:b/>
                <w:u w:val="single"/>
              </w:rPr>
              <w:t>Scenario 5: F = F</w:t>
            </w:r>
            <w:r w:rsidRPr="00857BD1">
              <w:rPr>
                <w:rFonts w:ascii="Times New Roman" w:hAnsi="Times New Roman" w:cs="Times New Roman"/>
                <w:b/>
                <w:position w:val="-2"/>
                <w:u w:val="single"/>
              </w:rPr>
              <w:t>50%</w:t>
            </w:r>
          </w:p>
        </w:tc>
      </w:tr>
      <w:tr w:rsidR="00857BD1" w:rsidRPr="00857BD1" w14:paraId="606C595F" w14:textId="77777777" w:rsidTr="00573C70">
        <w:trPr>
          <w:trHeight w:val="20"/>
        </w:trPr>
        <w:tc>
          <w:tcPr>
            <w:tcW w:w="794" w:type="dxa"/>
          </w:tcPr>
          <w:p w14:paraId="27E2E5E3"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SSB</w:t>
            </w:r>
          </w:p>
        </w:tc>
        <w:tc>
          <w:tcPr>
            <w:tcW w:w="932" w:type="dxa"/>
          </w:tcPr>
          <w:p w14:paraId="469A0B7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32,559</w:t>
            </w:r>
          </w:p>
        </w:tc>
        <w:tc>
          <w:tcPr>
            <w:tcW w:w="876" w:type="dxa"/>
          </w:tcPr>
          <w:p w14:paraId="1EB7729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34,334</w:t>
            </w:r>
          </w:p>
        </w:tc>
        <w:tc>
          <w:tcPr>
            <w:tcW w:w="878" w:type="dxa"/>
          </w:tcPr>
          <w:p w14:paraId="7EB486FC"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36,290</w:t>
            </w:r>
          </w:p>
        </w:tc>
        <w:tc>
          <w:tcPr>
            <w:tcW w:w="877" w:type="dxa"/>
          </w:tcPr>
          <w:p w14:paraId="6EAB7A37"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37,666</w:t>
            </w:r>
          </w:p>
        </w:tc>
        <w:tc>
          <w:tcPr>
            <w:tcW w:w="877" w:type="dxa"/>
          </w:tcPr>
          <w:p w14:paraId="437C75CF"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38,836</w:t>
            </w:r>
          </w:p>
        </w:tc>
        <w:tc>
          <w:tcPr>
            <w:tcW w:w="877" w:type="dxa"/>
          </w:tcPr>
          <w:p w14:paraId="18C05A5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39,984</w:t>
            </w:r>
          </w:p>
        </w:tc>
        <w:tc>
          <w:tcPr>
            <w:tcW w:w="876" w:type="dxa"/>
          </w:tcPr>
          <w:p w14:paraId="2656BB2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41,148</w:t>
            </w:r>
          </w:p>
        </w:tc>
        <w:tc>
          <w:tcPr>
            <w:tcW w:w="878" w:type="dxa"/>
          </w:tcPr>
          <w:p w14:paraId="6855E708"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42,490</w:t>
            </w:r>
          </w:p>
        </w:tc>
        <w:tc>
          <w:tcPr>
            <w:tcW w:w="877" w:type="dxa"/>
          </w:tcPr>
          <w:p w14:paraId="428D1C6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44,049</w:t>
            </w:r>
          </w:p>
        </w:tc>
        <w:tc>
          <w:tcPr>
            <w:tcW w:w="850" w:type="dxa"/>
          </w:tcPr>
          <w:p w14:paraId="3A86CCD2"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45,625</w:t>
            </w:r>
          </w:p>
        </w:tc>
      </w:tr>
      <w:tr w:rsidR="00857BD1" w:rsidRPr="00857BD1" w14:paraId="4C1B2E07" w14:textId="77777777" w:rsidTr="00573C70">
        <w:trPr>
          <w:trHeight w:val="20"/>
        </w:trPr>
        <w:tc>
          <w:tcPr>
            <w:tcW w:w="794" w:type="dxa"/>
            <w:tcBorders>
              <w:bottom w:val="single" w:sz="4" w:space="0" w:color="auto"/>
            </w:tcBorders>
          </w:tcPr>
          <w:p w14:paraId="37AD7D7C" w14:textId="77777777" w:rsidR="00857BD1" w:rsidRPr="00857BD1" w:rsidRDefault="00857BD1" w:rsidP="00857BD1">
            <w:pPr>
              <w:pStyle w:val="TableParagraph"/>
              <w:adjustRightInd w:val="0"/>
              <w:snapToGrid w:val="0"/>
              <w:rPr>
                <w:rFonts w:ascii="Times New Roman" w:hAnsi="Times New Roman" w:cs="Times New Roman"/>
              </w:rPr>
            </w:pPr>
            <w:r w:rsidRPr="00857BD1">
              <w:rPr>
                <w:rFonts w:ascii="Times New Roman" w:hAnsi="Times New Roman" w:cs="Times New Roman"/>
              </w:rPr>
              <w:t>Catch</w:t>
            </w:r>
          </w:p>
        </w:tc>
        <w:tc>
          <w:tcPr>
            <w:tcW w:w="932" w:type="dxa"/>
            <w:tcBorders>
              <w:bottom w:val="single" w:sz="4" w:space="0" w:color="auto"/>
            </w:tcBorders>
          </w:tcPr>
          <w:p w14:paraId="15B3CE13"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7,556</w:t>
            </w:r>
          </w:p>
        </w:tc>
        <w:tc>
          <w:tcPr>
            <w:tcW w:w="876" w:type="dxa"/>
            <w:tcBorders>
              <w:bottom w:val="single" w:sz="4" w:space="0" w:color="auto"/>
            </w:tcBorders>
          </w:tcPr>
          <w:p w14:paraId="2DF56214"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7,973</w:t>
            </w:r>
          </w:p>
        </w:tc>
        <w:tc>
          <w:tcPr>
            <w:tcW w:w="878" w:type="dxa"/>
            <w:tcBorders>
              <w:bottom w:val="single" w:sz="4" w:space="0" w:color="auto"/>
            </w:tcBorders>
          </w:tcPr>
          <w:p w14:paraId="39C0756E"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8,343</w:t>
            </w:r>
          </w:p>
        </w:tc>
        <w:tc>
          <w:tcPr>
            <w:tcW w:w="877" w:type="dxa"/>
            <w:tcBorders>
              <w:bottom w:val="single" w:sz="4" w:space="0" w:color="auto"/>
            </w:tcBorders>
          </w:tcPr>
          <w:p w14:paraId="2765C07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8,605</w:t>
            </w:r>
          </w:p>
        </w:tc>
        <w:tc>
          <w:tcPr>
            <w:tcW w:w="877" w:type="dxa"/>
            <w:tcBorders>
              <w:bottom w:val="single" w:sz="4" w:space="0" w:color="auto"/>
            </w:tcBorders>
          </w:tcPr>
          <w:p w14:paraId="0595AEB0"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8,847</w:t>
            </w:r>
          </w:p>
        </w:tc>
        <w:tc>
          <w:tcPr>
            <w:tcW w:w="877" w:type="dxa"/>
            <w:tcBorders>
              <w:bottom w:val="single" w:sz="4" w:space="0" w:color="auto"/>
            </w:tcBorders>
          </w:tcPr>
          <w:p w14:paraId="5A5B4969"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9,101</w:t>
            </w:r>
          </w:p>
        </w:tc>
        <w:tc>
          <w:tcPr>
            <w:tcW w:w="876" w:type="dxa"/>
            <w:tcBorders>
              <w:bottom w:val="single" w:sz="4" w:space="0" w:color="auto"/>
            </w:tcBorders>
          </w:tcPr>
          <w:p w14:paraId="7B1C392D"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9,366</w:t>
            </w:r>
          </w:p>
        </w:tc>
        <w:tc>
          <w:tcPr>
            <w:tcW w:w="878" w:type="dxa"/>
            <w:tcBorders>
              <w:bottom w:val="single" w:sz="4" w:space="0" w:color="auto"/>
            </w:tcBorders>
          </w:tcPr>
          <w:p w14:paraId="04CA731B"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rPr>
              <w:t>9,692</w:t>
            </w:r>
          </w:p>
        </w:tc>
        <w:tc>
          <w:tcPr>
            <w:tcW w:w="877" w:type="dxa"/>
            <w:tcBorders>
              <w:bottom w:val="single" w:sz="4" w:space="0" w:color="auto"/>
            </w:tcBorders>
          </w:tcPr>
          <w:p w14:paraId="65AE7ABE"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10,087</w:t>
            </w:r>
          </w:p>
        </w:tc>
        <w:tc>
          <w:tcPr>
            <w:tcW w:w="850" w:type="dxa"/>
            <w:tcBorders>
              <w:bottom w:val="single" w:sz="4" w:space="0" w:color="auto"/>
            </w:tcBorders>
          </w:tcPr>
          <w:p w14:paraId="71A7C41B" w14:textId="77777777" w:rsidR="00857BD1" w:rsidRPr="00857BD1" w:rsidRDefault="00857BD1" w:rsidP="00857BD1">
            <w:pPr>
              <w:pStyle w:val="TableParagraph"/>
              <w:adjustRightInd w:val="0"/>
              <w:snapToGrid w:val="0"/>
              <w:ind w:left="16" w:right="16"/>
              <w:jc w:val="right"/>
              <w:rPr>
                <w:rFonts w:ascii="Times New Roman" w:hAnsi="Times New Roman" w:cs="Times New Roman"/>
              </w:rPr>
            </w:pPr>
            <w:r w:rsidRPr="00857BD1">
              <w:rPr>
                <w:rFonts w:ascii="Times New Roman" w:hAnsi="Times New Roman" w:cs="Times New Roman"/>
                <w:w w:val="95"/>
              </w:rPr>
              <w:t>10,223</w:t>
            </w:r>
          </w:p>
        </w:tc>
      </w:tr>
    </w:tbl>
    <w:p w14:paraId="49C1A3E0" w14:textId="385A2F40" w:rsidR="00857BD1" w:rsidRDefault="00857BD1" w:rsidP="00857BD1">
      <w:pPr>
        <w:pStyle w:val="WCPFC"/>
        <w:numPr>
          <w:ilvl w:val="0"/>
          <w:numId w:val="0"/>
        </w:numPr>
        <w:adjustRightInd w:val="0"/>
        <w:spacing w:after="0"/>
        <w:ind w:left="360"/>
        <w:rPr>
          <w:rFonts w:cs="Times New Roman"/>
        </w:rPr>
      </w:pPr>
    </w:p>
    <w:p w14:paraId="76D375B3" w14:textId="295750DC" w:rsidR="00857BD1" w:rsidRDefault="00857BD1" w:rsidP="00857BD1">
      <w:pPr>
        <w:pStyle w:val="WCPFC"/>
        <w:numPr>
          <w:ilvl w:val="0"/>
          <w:numId w:val="0"/>
        </w:numPr>
        <w:adjustRightInd w:val="0"/>
        <w:spacing w:after="0"/>
        <w:ind w:left="360"/>
        <w:rPr>
          <w:rFonts w:cs="Times New Roman"/>
        </w:rPr>
      </w:pPr>
    </w:p>
    <w:p w14:paraId="15C5D314" w14:textId="77777777" w:rsidR="00857BD1" w:rsidRPr="00857BD1" w:rsidRDefault="00857BD1" w:rsidP="00857BD1">
      <w:pPr>
        <w:pStyle w:val="WCPFC"/>
        <w:numPr>
          <w:ilvl w:val="0"/>
          <w:numId w:val="0"/>
        </w:numPr>
        <w:adjustRightInd w:val="0"/>
        <w:spacing w:after="0"/>
        <w:ind w:left="360"/>
        <w:rPr>
          <w:rFonts w:cs="Times New Roma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4956"/>
      </w:tblGrid>
      <w:tr w:rsidR="00857BD1" w:rsidRPr="00857BD1" w14:paraId="4FB72DCA" w14:textId="77777777" w:rsidTr="00573C70">
        <w:tc>
          <w:tcPr>
            <w:tcW w:w="4779" w:type="dxa"/>
          </w:tcPr>
          <w:p w14:paraId="24B8A058" w14:textId="77777777" w:rsidR="00857BD1" w:rsidRPr="00857BD1" w:rsidRDefault="00857BD1" w:rsidP="00857BD1">
            <w:pPr>
              <w:pStyle w:val="WCPFC"/>
              <w:numPr>
                <w:ilvl w:val="0"/>
                <w:numId w:val="0"/>
              </w:numPr>
              <w:adjustRightInd w:val="0"/>
              <w:spacing w:after="0"/>
              <w:rPr>
                <w:rFonts w:cs="Times New Roman"/>
              </w:rPr>
            </w:pPr>
            <w:r w:rsidRPr="00857BD1">
              <w:rPr>
                <w:rFonts w:cs="Times New Roman"/>
                <w:noProof/>
                <w:lang w:val="en-US" w:eastAsia="zh-CN" w:bidi="mn-Mong-CN"/>
              </w:rPr>
              <w:drawing>
                <wp:inline distT="0" distB="0" distL="0" distR="0" wp14:anchorId="0DCA8F2B" wp14:editId="2EE3194C">
                  <wp:extent cx="2482850" cy="1871668"/>
                  <wp:effectExtent l="0" t="0" r="0" b="0"/>
                  <wp:docPr id="41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1" cstate="print"/>
                          <a:stretch>
                            <a:fillRect/>
                          </a:stretch>
                        </pic:blipFill>
                        <pic:spPr>
                          <a:xfrm>
                            <a:off x="0" y="0"/>
                            <a:ext cx="2489943" cy="1877015"/>
                          </a:xfrm>
                          <a:prstGeom prst="rect">
                            <a:avLst/>
                          </a:prstGeom>
                        </pic:spPr>
                      </pic:pic>
                    </a:graphicData>
                  </a:graphic>
                </wp:inline>
              </w:drawing>
            </w:r>
          </w:p>
        </w:tc>
        <w:tc>
          <w:tcPr>
            <w:tcW w:w="4779" w:type="dxa"/>
            <w:vAlign w:val="center"/>
          </w:tcPr>
          <w:p w14:paraId="59EC0CE2" w14:textId="77777777" w:rsidR="00857BD1" w:rsidRPr="00857BD1" w:rsidRDefault="00857BD1" w:rsidP="00857BD1">
            <w:pPr>
              <w:pStyle w:val="WCPFC"/>
              <w:numPr>
                <w:ilvl w:val="0"/>
                <w:numId w:val="0"/>
              </w:numPr>
              <w:adjustRightInd w:val="0"/>
              <w:spacing w:after="0"/>
              <w:jc w:val="center"/>
              <w:rPr>
                <w:rFonts w:cs="Times New Roman"/>
              </w:rPr>
            </w:pPr>
            <w:r w:rsidRPr="00857BD1">
              <w:rPr>
                <w:rFonts w:cs="Times New Roman"/>
                <w:b/>
                <w:noProof/>
                <w:lang w:val="en-US" w:eastAsia="zh-CN" w:bidi="mn-Mong-CN"/>
              </w:rPr>
              <w:drawing>
                <wp:anchor distT="0" distB="0" distL="0" distR="0" simplePos="0" relativeHeight="251659264" behindDoc="1" locked="0" layoutInCell="1" allowOverlap="1" wp14:anchorId="594E46AF" wp14:editId="2AFA8BC1">
                  <wp:simplePos x="0" y="0"/>
                  <wp:positionH relativeFrom="page">
                    <wp:posOffset>133985</wp:posOffset>
                  </wp:positionH>
                  <wp:positionV relativeFrom="paragraph">
                    <wp:posOffset>-1754505</wp:posOffset>
                  </wp:positionV>
                  <wp:extent cx="3003550" cy="1699260"/>
                  <wp:effectExtent l="0" t="0" r="6350" b="0"/>
                  <wp:wrapTight wrapText="bothSides">
                    <wp:wrapPolygon edited="0">
                      <wp:start x="0" y="0"/>
                      <wp:lineTo x="0" y="21309"/>
                      <wp:lineTo x="21509" y="21309"/>
                      <wp:lineTo x="21509" y="0"/>
                      <wp:lineTo x="0" y="0"/>
                    </wp:wrapPolygon>
                  </wp:wrapTight>
                  <wp:docPr id="4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2" cstate="print"/>
                          <a:stretch>
                            <a:fillRect/>
                          </a:stretch>
                        </pic:blipFill>
                        <pic:spPr>
                          <a:xfrm>
                            <a:off x="0" y="0"/>
                            <a:ext cx="3003550" cy="1699260"/>
                          </a:xfrm>
                          <a:prstGeom prst="rect">
                            <a:avLst/>
                          </a:prstGeom>
                        </pic:spPr>
                      </pic:pic>
                    </a:graphicData>
                  </a:graphic>
                  <wp14:sizeRelH relativeFrom="margin">
                    <wp14:pctWidth>0</wp14:pctWidth>
                  </wp14:sizeRelH>
                  <wp14:sizeRelV relativeFrom="margin">
                    <wp14:pctHeight>0</wp14:pctHeight>
                  </wp14:sizeRelV>
                </wp:anchor>
              </w:drawing>
            </w:r>
          </w:p>
        </w:tc>
      </w:tr>
      <w:tr w:rsidR="00857BD1" w:rsidRPr="00857BD1" w14:paraId="5B33CBC1" w14:textId="77777777" w:rsidTr="00573C70">
        <w:tc>
          <w:tcPr>
            <w:tcW w:w="4779" w:type="dxa"/>
          </w:tcPr>
          <w:p w14:paraId="4164899B" w14:textId="77777777" w:rsidR="00857BD1" w:rsidRPr="00857BD1" w:rsidRDefault="00857BD1" w:rsidP="00857BD1">
            <w:pPr>
              <w:pStyle w:val="WCPFC"/>
              <w:numPr>
                <w:ilvl w:val="0"/>
                <w:numId w:val="0"/>
              </w:numPr>
              <w:adjustRightInd w:val="0"/>
              <w:spacing w:after="0"/>
              <w:rPr>
                <w:rFonts w:cs="Times New Roman"/>
                <w:lang w:val="en-US" w:eastAsia="ko-KR"/>
              </w:rPr>
            </w:pPr>
            <w:r w:rsidRPr="00857BD1">
              <w:rPr>
                <w:rFonts w:cs="Times New Roman"/>
                <w:b/>
                <w:lang w:val="en-US"/>
              </w:rPr>
              <w:t>Figure NPS-1</w:t>
            </w:r>
            <w:r w:rsidRPr="00857BD1">
              <w:rPr>
                <w:rFonts w:cs="Times New Roman"/>
                <w:lang w:val="en-US"/>
              </w:rPr>
              <w:t>. Stock boundaries used for this assessment of North Pacific Ocean swordfish: purple lines indicate stock area divisions; stock area 1 was assessed as the WCNPO stock, stock area 2 contains the Eastern Pacific Ocean stock, the green line indicates Western Central Pacific Fisheries Commission convention area, blue dashed line indicates IATTC convention area.</w:t>
            </w:r>
          </w:p>
        </w:tc>
        <w:tc>
          <w:tcPr>
            <w:tcW w:w="4779" w:type="dxa"/>
          </w:tcPr>
          <w:p w14:paraId="48FFD660" w14:textId="77777777" w:rsidR="00857BD1" w:rsidRPr="00857BD1" w:rsidRDefault="00857BD1" w:rsidP="00857BD1">
            <w:pPr>
              <w:pStyle w:val="WCPFC"/>
              <w:numPr>
                <w:ilvl w:val="0"/>
                <w:numId w:val="0"/>
              </w:numPr>
              <w:adjustRightInd w:val="0"/>
              <w:spacing w:after="0"/>
              <w:ind w:left="-30"/>
              <w:rPr>
                <w:rFonts w:cs="Times New Roman"/>
              </w:rPr>
            </w:pPr>
            <w:r w:rsidRPr="00857BD1">
              <w:rPr>
                <w:rFonts w:cs="Times New Roman"/>
                <w:b/>
              </w:rPr>
              <w:t>Figure NPS-2</w:t>
            </w:r>
            <w:r w:rsidRPr="00857BD1">
              <w:rPr>
                <w:rFonts w:cs="Times New Roman"/>
              </w:rPr>
              <w:t>. Annual catch biomass (t) of WCNPO swordfish (</w:t>
            </w:r>
            <w:r w:rsidRPr="00857BD1">
              <w:rPr>
                <w:rFonts w:cs="Times New Roman"/>
                <w:i/>
              </w:rPr>
              <w:t>Xiphias gladius</w:t>
            </w:r>
            <w:r w:rsidRPr="00857BD1">
              <w:rPr>
                <w:rFonts w:cs="Times New Roman"/>
              </w:rPr>
              <w:t>) by country for Japan, Chinese Taipei, the U.S.A., and all other countries during 1975-2016.</w:t>
            </w:r>
          </w:p>
          <w:p w14:paraId="19CFFD44" w14:textId="77777777" w:rsidR="00857BD1" w:rsidRPr="00857BD1" w:rsidRDefault="00857BD1" w:rsidP="00857BD1">
            <w:pPr>
              <w:pStyle w:val="WCPFC"/>
              <w:numPr>
                <w:ilvl w:val="0"/>
                <w:numId w:val="0"/>
              </w:numPr>
              <w:adjustRightInd w:val="0"/>
              <w:spacing w:after="0"/>
              <w:rPr>
                <w:rFonts w:cs="Times New Roman"/>
              </w:rPr>
            </w:pPr>
          </w:p>
        </w:tc>
      </w:tr>
    </w:tbl>
    <w:p w14:paraId="6D1C91D6" w14:textId="77777777" w:rsidR="00857BD1" w:rsidRPr="00857BD1" w:rsidRDefault="00857BD1" w:rsidP="00857BD1">
      <w:pPr>
        <w:pStyle w:val="WCPFC"/>
        <w:numPr>
          <w:ilvl w:val="0"/>
          <w:numId w:val="0"/>
        </w:numPr>
        <w:adjustRightInd w:val="0"/>
        <w:spacing w:after="0"/>
        <w:ind w:left="36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6"/>
        <w:gridCol w:w="4554"/>
      </w:tblGrid>
      <w:tr w:rsidR="00857BD1" w:rsidRPr="00857BD1" w14:paraId="773B6D04" w14:textId="77777777" w:rsidTr="00573C70">
        <w:tc>
          <w:tcPr>
            <w:tcW w:w="4806" w:type="dxa"/>
            <w:vAlign w:val="center"/>
          </w:tcPr>
          <w:p w14:paraId="7C13C011" w14:textId="77777777" w:rsidR="00857BD1" w:rsidRPr="00857BD1" w:rsidRDefault="00857BD1" w:rsidP="00857BD1">
            <w:pPr>
              <w:pStyle w:val="WCPFC"/>
              <w:numPr>
                <w:ilvl w:val="0"/>
                <w:numId w:val="0"/>
              </w:numPr>
              <w:adjustRightInd w:val="0"/>
              <w:spacing w:after="0"/>
              <w:jc w:val="center"/>
              <w:rPr>
                <w:rFonts w:cs="Times New Roman"/>
              </w:rPr>
            </w:pPr>
            <w:r w:rsidRPr="00857BD1">
              <w:rPr>
                <w:rFonts w:cs="Times New Roman"/>
                <w:noProof/>
                <w:lang w:val="en-US" w:eastAsia="zh-CN" w:bidi="mn-Mong-CN"/>
              </w:rPr>
              <w:lastRenderedPageBreak/>
              <w:drawing>
                <wp:inline distT="0" distB="0" distL="0" distR="0" wp14:anchorId="68D03F55" wp14:editId="181A8004">
                  <wp:extent cx="2907045" cy="1857375"/>
                  <wp:effectExtent l="0" t="0" r="7620" b="0"/>
                  <wp:docPr id="416"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3" cstate="print"/>
                          <a:stretch>
                            <a:fillRect/>
                          </a:stretch>
                        </pic:blipFill>
                        <pic:spPr>
                          <a:xfrm>
                            <a:off x="0" y="0"/>
                            <a:ext cx="2915461" cy="1862752"/>
                          </a:xfrm>
                          <a:prstGeom prst="rect">
                            <a:avLst/>
                          </a:prstGeom>
                        </pic:spPr>
                      </pic:pic>
                    </a:graphicData>
                  </a:graphic>
                </wp:inline>
              </w:drawing>
            </w:r>
          </w:p>
          <w:p w14:paraId="1CBC39CC" w14:textId="77777777" w:rsidR="00857BD1" w:rsidRPr="00857BD1" w:rsidRDefault="00857BD1" w:rsidP="00857BD1">
            <w:pPr>
              <w:tabs>
                <w:tab w:val="left" w:pos="3379"/>
              </w:tabs>
              <w:adjustRightInd w:val="0"/>
              <w:snapToGrid w:val="0"/>
              <w:jc w:val="center"/>
              <w:rPr>
                <w:rFonts w:ascii="Times New Roman" w:hAnsi="Times New Roman" w:cs="Times New Roman"/>
                <w:lang w:val="en-NZ" w:eastAsia="en-NZ"/>
              </w:rPr>
            </w:pPr>
          </w:p>
        </w:tc>
        <w:tc>
          <w:tcPr>
            <w:tcW w:w="4770" w:type="dxa"/>
          </w:tcPr>
          <w:p w14:paraId="7C02170E" w14:textId="77777777" w:rsidR="00857BD1" w:rsidRPr="00857BD1" w:rsidRDefault="00857BD1" w:rsidP="00857BD1">
            <w:pPr>
              <w:pStyle w:val="WCPFC"/>
              <w:numPr>
                <w:ilvl w:val="0"/>
                <w:numId w:val="0"/>
              </w:numPr>
              <w:adjustRightInd w:val="0"/>
              <w:spacing w:after="0"/>
              <w:rPr>
                <w:rFonts w:cs="Times New Roman"/>
              </w:rPr>
            </w:pPr>
            <w:r w:rsidRPr="00857BD1">
              <w:rPr>
                <w:rFonts w:cs="Times New Roman"/>
                <w:noProof/>
                <w:lang w:val="en-US" w:eastAsia="zh-CN" w:bidi="mn-Mong-CN"/>
              </w:rPr>
              <w:drawing>
                <wp:inline distT="0" distB="0" distL="0" distR="0" wp14:anchorId="4BADCEA7" wp14:editId="65DDB528">
                  <wp:extent cx="2209800" cy="2209800"/>
                  <wp:effectExtent l="0" t="0" r="0" b="0"/>
                  <wp:docPr id="41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4" cstate="print"/>
                          <a:stretch>
                            <a:fillRect/>
                          </a:stretch>
                        </pic:blipFill>
                        <pic:spPr>
                          <a:xfrm>
                            <a:off x="0" y="0"/>
                            <a:ext cx="2209800" cy="2209800"/>
                          </a:xfrm>
                          <a:prstGeom prst="rect">
                            <a:avLst/>
                          </a:prstGeom>
                        </pic:spPr>
                      </pic:pic>
                    </a:graphicData>
                  </a:graphic>
                </wp:inline>
              </w:drawing>
            </w:r>
          </w:p>
        </w:tc>
      </w:tr>
      <w:tr w:rsidR="00857BD1" w:rsidRPr="00857BD1" w14:paraId="73D5749D" w14:textId="77777777" w:rsidTr="00573C70">
        <w:tc>
          <w:tcPr>
            <w:tcW w:w="4806" w:type="dxa"/>
          </w:tcPr>
          <w:p w14:paraId="5773B369" w14:textId="77777777" w:rsidR="00857BD1" w:rsidRDefault="00857BD1" w:rsidP="00857BD1">
            <w:pPr>
              <w:pStyle w:val="WCPFC"/>
              <w:numPr>
                <w:ilvl w:val="0"/>
                <w:numId w:val="0"/>
              </w:numPr>
              <w:adjustRightInd w:val="0"/>
              <w:spacing w:after="0"/>
              <w:rPr>
                <w:rFonts w:cs="Times New Roman"/>
              </w:rPr>
            </w:pPr>
            <w:r w:rsidRPr="00857BD1">
              <w:rPr>
                <w:rFonts w:cs="Times New Roman"/>
                <w:b/>
              </w:rPr>
              <w:t>Figure NPS-3</w:t>
            </w:r>
            <w:r w:rsidRPr="00857BD1">
              <w:rPr>
                <w:rFonts w:cs="Times New Roman"/>
              </w:rPr>
              <w:t>. Time series of estimates of (a) population biomass (age 1+) (first point in time series represents unfished biomass), (b) spawning biomass, (c) recruitment (age-0 fish), and (d) instantaneous fishing mortality (average for ages 1 to 10, yr</w:t>
            </w:r>
            <w:r w:rsidRPr="00857BD1">
              <w:rPr>
                <w:rFonts w:cs="Times New Roman"/>
                <w:vertAlign w:val="superscript"/>
                <w:lang w:eastAsia="ko-KR"/>
              </w:rPr>
              <w:t>-1</w:t>
            </w:r>
            <w:r w:rsidRPr="00857BD1">
              <w:rPr>
                <w:rFonts w:cs="Times New Roman"/>
              </w:rPr>
              <w:t>) for WCNPO swordfish (</w:t>
            </w:r>
            <w:r w:rsidRPr="00857BD1">
              <w:rPr>
                <w:rFonts w:cs="Times New Roman"/>
                <w:i/>
              </w:rPr>
              <w:t>Xiphias gladius</w:t>
            </w:r>
            <w:r w:rsidRPr="00857BD1">
              <w:rPr>
                <w:rFonts w:cs="Times New Roman"/>
              </w:rPr>
              <w:t>) derived from the 2018 stock assessment. The solid circles are the maximum likelihood estimates by year for each quantity and the error bars represent the uncertainty of the estimates (80% confidence intervals), green dashed lines indicate B</w:t>
            </w:r>
            <w:r w:rsidRPr="00857BD1">
              <w:rPr>
                <w:rFonts w:cs="Times New Roman"/>
                <w:position w:val="-2"/>
              </w:rPr>
              <w:t>MSY</w:t>
            </w:r>
            <w:r w:rsidRPr="00857BD1">
              <w:rPr>
                <w:rFonts w:cs="Times New Roman"/>
              </w:rPr>
              <w:t>, equilibrium recruitment, and F</w:t>
            </w:r>
            <w:r w:rsidRPr="00857BD1">
              <w:rPr>
                <w:rFonts w:cs="Times New Roman"/>
                <w:position w:val="-2"/>
                <w:vertAlign w:val="subscript"/>
              </w:rPr>
              <w:t>MSY</w:t>
            </w:r>
            <w:r w:rsidRPr="00857BD1">
              <w:rPr>
                <w:rFonts w:cs="Times New Roman"/>
                <w:position w:val="-2"/>
              </w:rPr>
              <w:t xml:space="preserve"> </w:t>
            </w:r>
            <w:r w:rsidRPr="00857BD1">
              <w:rPr>
                <w:rFonts w:cs="Times New Roman"/>
              </w:rPr>
              <w:t>except for the population biomass time series.</w:t>
            </w:r>
          </w:p>
          <w:p w14:paraId="53722F93" w14:textId="77777777" w:rsidR="00857BD1" w:rsidRDefault="00857BD1" w:rsidP="00857BD1">
            <w:pPr>
              <w:pStyle w:val="WCPFC"/>
              <w:numPr>
                <w:ilvl w:val="0"/>
                <w:numId w:val="0"/>
              </w:numPr>
              <w:adjustRightInd w:val="0"/>
              <w:spacing w:after="0"/>
              <w:rPr>
                <w:rFonts w:cs="Times New Roman"/>
              </w:rPr>
            </w:pPr>
          </w:p>
          <w:p w14:paraId="06006605" w14:textId="77777777" w:rsidR="00857BD1" w:rsidRDefault="00857BD1" w:rsidP="00857BD1">
            <w:pPr>
              <w:pStyle w:val="WCPFC"/>
              <w:numPr>
                <w:ilvl w:val="0"/>
                <w:numId w:val="0"/>
              </w:numPr>
              <w:adjustRightInd w:val="0"/>
              <w:spacing w:after="0"/>
              <w:rPr>
                <w:rFonts w:cs="Times New Roman"/>
              </w:rPr>
            </w:pPr>
          </w:p>
          <w:p w14:paraId="3DD23940" w14:textId="5E97F0DE" w:rsidR="00857BD1" w:rsidRPr="00857BD1" w:rsidRDefault="00857BD1" w:rsidP="00857BD1">
            <w:pPr>
              <w:pStyle w:val="WCPFC"/>
              <w:numPr>
                <w:ilvl w:val="0"/>
                <w:numId w:val="0"/>
              </w:numPr>
              <w:adjustRightInd w:val="0"/>
              <w:spacing w:after="0"/>
              <w:rPr>
                <w:rFonts w:cs="Times New Roman"/>
                <w:lang w:eastAsia="ko-KR"/>
              </w:rPr>
            </w:pPr>
          </w:p>
        </w:tc>
        <w:tc>
          <w:tcPr>
            <w:tcW w:w="4770" w:type="dxa"/>
          </w:tcPr>
          <w:p w14:paraId="44EB1D66" w14:textId="77777777" w:rsidR="00857BD1" w:rsidRPr="00857BD1" w:rsidRDefault="00857BD1" w:rsidP="00857BD1">
            <w:pPr>
              <w:pStyle w:val="WCPFC"/>
              <w:numPr>
                <w:ilvl w:val="0"/>
                <w:numId w:val="0"/>
              </w:numPr>
              <w:adjustRightInd w:val="0"/>
              <w:spacing w:after="0"/>
              <w:rPr>
                <w:rFonts w:cs="Times New Roman"/>
              </w:rPr>
            </w:pPr>
            <w:r w:rsidRPr="00857BD1">
              <w:rPr>
                <w:rFonts w:cs="Times New Roman"/>
                <w:b/>
              </w:rPr>
              <w:t>Figure NPS-4</w:t>
            </w:r>
            <w:r w:rsidRPr="00857BD1">
              <w:rPr>
                <w:rFonts w:cs="Times New Roman"/>
              </w:rPr>
              <w:t>. Kobe plot of the time series of estimates of relative fishing mortality (average of ages 1-10) and relative spawning stock biomass of WCNPO swordfish (</w:t>
            </w:r>
            <w:r w:rsidRPr="00857BD1">
              <w:rPr>
                <w:rFonts w:cs="Times New Roman"/>
                <w:i/>
              </w:rPr>
              <w:t>Xiphias gladius</w:t>
            </w:r>
            <w:r w:rsidRPr="00857BD1">
              <w:rPr>
                <w:rFonts w:cs="Times New Roman"/>
              </w:rPr>
              <w:t>) during 1975-2016. The white circle denotes the first year (1975) and the yellow circle denotes the last year (2016) of the assessment time horizon. The dashed lines represent the 95% confidence intervals around the 2016 estimate.</w:t>
            </w:r>
          </w:p>
          <w:p w14:paraId="0AD3A108" w14:textId="77777777" w:rsidR="00857BD1" w:rsidRPr="00857BD1" w:rsidRDefault="00857BD1" w:rsidP="00857BD1">
            <w:pPr>
              <w:pStyle w:val="WCPFC"/>
              <w:numPr>
                <w:ilvl w:val="0"/>
                <w:numId w:val="0"/>
              </w:numPr>
              <w:adjustRightInd w:val="0"/>
              <w:spacing w:after="0"/>
              <w:rPr>
                <w:rFonts w:cs="Times New Roman"/>
              </w:rPr>
            </w:pPr>
          </w:p>
        </w:tc>
      </w:tr>
    </w:tbl>
    <w:p w14:paraId="5EE79A87" w14:textId="77777777" w:rsidR="00857BD1" w:rsidRPr="00857BD1" w:rsidRDefault="00857BD1" w:rsidP="00857BD1">
      <w:pPr>
        <w:pStyle w:val="WCPFC"/>
        <w:numPr>
          <w:ilvl w:val="0"/>
          <w:numId w:val="0"/>
        </w:numPr>
        <w:adjustRightInd w:val="0"/>
        <w:spacing w:after="0"/>
        <w:rPr>
          <w:rFonts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569"/>
      </w:tblGrid>
      <w:tr w:rsidR="00857BD1" w:rsidRPr="00857BD1" w14:paraId="4966CAF4" w14:textId="77777777" w:rsidTr="00573C70">
        <w:tc>
          <w:tcPr>
            <w:tcW w:w="4788" w:type="dxa"/>
          </w:tcPr>
          <w:p w14:paraId="762011AB" w14:textId="77777777" w:rsidR="00857BD1" w:rsidRPr="00857BD1" w:rsidRDefault="00857BD1" w:rsidP="00857BD1">
            <w:pPr>
              <w:pStyle w:val="WCPFC"/>
              <w:numPr>
                <w:ilvl w:val="0"/>
                <w:numId w:val="0"/>
              </w:numPr>
              <w:adjustRightInd w:val="0"/>
              <w:spacing w:after="0"/>
              <w:rPr>
                <w:rFonts w:cs="Times New Roman"/>
                <w:lang w:val="en-US"/>
              </w:rPr>
            </w:pPr>
            <w:r w:rsidRPr="00857BD1">
              <w:rPr>
                <w:rFonts w:cs="Times New Roman"/>
                <w:noProof/>
                <w:lang w:val="en-US" w:eastAsia="zh-CN" w:bidi="mn-Mong-CN"/>
              </w:rPr>
              <w:drawing>
                <wp:inline distT="0" distB="0" distL="0" distR="0" wp14:anchorId="057BAD3B" wp14:editId="74B160E9">
                  <wp:extent cx="2905125" cy="2410649"/>
                  <wp:effectExtent l="0" t="0" r="0" b="8890"/>
                  <wp:docPr id="418"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5" cstate="print"/>
                          <a:stretch>
                            <a:fillRect/>
                          </a:stretch>
                        </pic:blipFill>
                        <pic:spPr>
                          <a:xfrm>
                            <a:off x="0" y="0"/>
                            <a:ext cx="2905262" cy="2410762"/>
                          </a:xfrm>
                          <a:prstGeom prst="rect">
                            <a:avLst/>
                          </a:prstGeom>
                        </pic:spPr>
                      </pic:pic>
                    </a:graphicData>
                  </a:graphic>
                </wp:inline>
              </w:drawing>
            </w:r>
          </w:p>
        </w:tc>
        <w:tc>
          <w:tcPr>
            <w:tcW w:w="4788" w:type="dxa"/>
          </w:tcPr>
          <w:p w14:paraId="4752CB26" w14:textId="77777777" w:rsidR="00857BD1" w:rsidRPr="00857BD1" w:rsidRDefault="00857BD1" w:rsidP="00857BD1">
            <w:pPr>
              <w:pStyle w:val="WCPFC"/>
              <w:numPr>
                <w:ilvl w:val="0"/>
                <w:numId w:val="0"/>
              </w:numPr>
              <w:adjustRightInd w:val="0"/>
              <w:spacing w:after="0"/>
              <w:rPr>
                <w:rFonts w:cs="Times New Roman"/>
              </w:rPr>
            </w:pPr>
            <w:r w:rsidRPr="00857BD1">
              <w:rPr>
                <w:rFonts w:cs="Times New Roman"/>
                <w:b/>
              </w:rPr>
              <w:t>Figure NPS-5</w:t>
            </w:r>
            <w:r w:rsidRPr="00857BD1">
              <w:rPr>
                <w:rFonts w:cs="Times New Roman"/>
              </w:rPr>
              <w:t>. Historical and projected trajectories of (a) spawning stock biomass and (b) total catch from the WCNPO swordfish base case model. Stock projection results are shown for S1 = the status quo or average fishing intensity during 2013-2015 (</w:t>
            </w:r>
            <w:r w:rsidRPr="00857BD1">
              <w:rPr>
                <w:rFonts w:ascii="Cambria Math" w:eastAsia="Cambria Math" w:hAnsi="Cambria Math" w:cs="Cambria Math"/>
              </w:rPr>
              <w:t>𝐹</w:t>
            </w:r>
            <w:r w:rsidRPr="00857BD1">
              <w:rPr>
                <w:rFonts w:cs="Times New Roman"/>
                <w:position w:val="-2"/>
                <w:vertAlign w:val="subscript"/>
              </w:rPr>
              <w:t>2013−2015</w:t>
            </w:r>
            <w:r w:rsidRPr="00857BD1">
              <w:rPr>
                <w:rFonts w:cs="Times New Roman"/>
              </w:rPr>
              <w:t xml:space="preserve">= </w:t>
            </w:r>
            <w:r w:rsidRPr="00857BD1">
              <w:rPr>
                <w:rFonts w:ascii="Cambria Math" w:eastAsia="Cambria Math" w:hAnsi="Cambria Math" w:cs="Cambria Math"/>
              </w:rPr>
              <w:t>𝐹</w:t>
            </w:r>
            <w:r w:rsidRPr="00857BD1">
              <w:rPr>
                <w:rFonts w:cs="Times New Roman"/>
                <w:position w:val="-2"/>
                <w:vertAlign w:val="subscript"/>
              </w:rPr>
              <w:t>43%</w:t>
            </w:r>
            <w:r w:rsidRPr="00857BD1">
              <w:rPr>
                <w:rFonts w:cs="Times New Roman"/>
              </w:rPr>
              <w:t>); S2 = F</w:t>
            </w:r>
            <w:r w:rsidRPr="00857BD1">
              <w:rPr>
                <w:rFonts w:cs="Times New Roman"/>
                <w:position w:val="-2"/>
                <w:vertAlign w:val="subscript"/>
              </w:rPr>
              <w:t>MSY</w:t>
            </w:r>
            <w:r w:rsidRPr="00857BD1">
              <w:rPr>
                <w:rFonts w:cs="Times New Roman"/>
                <w:position w:val="-2"/>
              </w:rPr>
              <w:t xml:space="preserve"> </w:t>
            </w:r>
            <w:r w:rsidRPr="00857BD1">
              <w:rPr>
                <w:rFonts w:cs="Times New Roman"/>
              </w:rPr>
              <w:t>(</w:t>
            </w:r>
            <w:r w:rsidRPr="00857BD1">
              <w:rPr>
                <w:rFonts w:ascii="Cambria Math" w:eastAsia="Cambria Math" w:hAnsi="Cambria Math" w:cs="Cambria Math"/>
              </w:rPr>
              <w:t>𝐹</w:t>
            </w:r>
            <w:r w:rsidRPr="00857BD1">
              <w:rPr>
                <w:rFonts w:cs="Times New Roman"/>
                <w:position w:val="-2"/>
                <w:vertAlign w:val="subscript"/>
              </w:rPr>
              <w:t>18%</w:t>
            </w:r>
            <w:r w:rsidRPr="00857BD1">
              <w:rPr>
                <w:rFonts w:cs="Times New Roman"/>
              </w:rPr>
              <w:t>); S3 = F to produce 20% of unfished spawning stock biomass or F</w:t>
            </w:r>
            <w:r w:rsidRPr="00857BD1">
              <w:rPr>
                <w:rFonts w:cs="Times New Roman"/>
                <w:position w:val="-2"/>
                <w:vertAlign w:val="subscript"/>
              </w:rPr>
              <w:t>0.2</w:t>
            </w:r>
            <w:r w:rsidRPr="00857BD1">
              <w:rPr>
                <w:rFonts w:cs="Times New Roman"/>
                <w:position w:val="-2"/>
              </w:rPr>
              <w:t>*SSB</w:t>
            </w:r>
            <w:r w:rsidRPr="00857BD1">
              <w:rPr>
                <w:rFonts w:cs="Times New Roman"/>
                <w:position w:val="-2"/>
                <w:vertAlign w:val="subscript"/>
              </w:rPr>
              <w:t>F=0</w:t>
            </w:r>
            <w:r w:rsidRPr="00857BD1">
              <w:rPr>
                <w:rFonts w:cs="Times New Roman"/>
                <w:position w:val="-2"/>
              </w:rPr>
              <w:t xml:space="preserve"> </w:t>
            </w:r>
            <w:r w:rsidRPr="00857BD1">
              <w:rPr>
                <w:rFonts w:cs="Times New Roman"/>
              </w:rPr>
              <w:t>(</w:t>
            </w:r>
            <w:r w:rsidRPr="00857BD1">
              <w:rPr>
                <w:rFonts w:ascii="Cambria Math" w:eastAsia="Cambria Math" w:hAnsi="Cambria Math" w:cs="Cambria Math"/>
              </w:rPr>
              <w:t>𝐹</w:t>
            </w:r>
            <w:r w:rsidRPr="00857BD1">
              <w:rPr>
                <w:rFonts w:cs="Times New Roman"/>
                <w:position w:val="-2"/>
                <w:vertAlign w:val="subscript"/>
              </w:rPr>
              <w:t>22%</w:t>
            </w:r>
            <w:r w:rsidRPr="00857BD1">
              <w:rPr>
                <w:rFonts w:cs="Times New Roman"/>
              </w:rPr>
              <w:t>); S4 = the highest 3-year average F during 1975-2016 or High F (F</w:t>
            </w:r>
            <w:r w:rsidRPr="00857BD1">
              <w:rPr>
                <w:rFonts w:cs="Times New Roman"/>
                <w:position w:val="-2"/>
                <w:vertAlign w:val="subscript"/>
              </w:rPr>
              <w:t>20%</w:t>
            </w:r>
            <w:r w:rsidRPr="00857BD1">
              <w:rPr>
                <w:rFonts w:cs="Times New Roman"/>
              </w:rPr>
              <w:t>); S5 = Low F (F</w:t>
            </w:r>
            <w:r w:rsidRPr="00857BD1">
              <w:rPr>
                <w:rFonts w:cs="Times New Roman"/>
                <w:position w:val="-2"/>
                <w:vertAlign w:val="subscript"/>
              </w:rPr>
              <w:t>50%</w:t>
            </w:r>
            <w:r w:rsidRPr="00857BD1">
              <w:rPr>
                <w:rFonts w:cs="Times New Roman"/>
              </w:rPr>
              <w:t>).</w:t>
            </w:r>
          </w:p>
          <w:p w14:paraId="4E485EB9" w14:textId="77777777" w:rsidR="00857BD1" w:rsidRPr="00857BD1" w:rsidRDefault="00857BD1" w:rsidP="00857BD1">
            <w:pPr>
              <w:pStyle w:val="WCPFC"/>
              <w:numPr>
                <w:ilvl w:val="0"/>
                <w:numId w:val="0"/>
              </w:numPr>
              <w:adjustRightInd w:val="0"/>
              <w:spacing w:after="0"/>
              <w:rPr>
                <w:rFonts w:cs="Times New Roman"/>
                <w:lang w:val="en-US"/>
              </w:rPr>
            </w:pPr>
          </w:p>
        </w:tc>
      </w:tr>
    </w:tbl>
    <w:p w14:paraId="0784D420" w14:textId="77777777" w:rsidR="00857BD1" w:rsidRPr="00857BD1" w:rsidRDefault="00857BD1" w:rsidP="00857BD1">
      <w:pPr>
        <w:pStyle w:val="WCPFC"/>
        <w:numPr>
          <w:ilvl w:val="0"/>
          <w:numId w:val="0"/>
        </w:numPr>
        <w:adjustRightInd w:val="0"/>
        <w:spacing w:after="0"/>
        <w:ind w:left="360"/>
        <w:rPr>
          <w:rFonts w:cs="Times New Roman"/>
        </w:rPr>
      </w:pPr>
    </w:p>
    <w:p w14:paraId="5DDE879B" w14:textId="77777777" w:rsidR="001C3D51" w:rsidRPr="00857BD1" w:rsidRDefault="001C3D51" w:rsidP="00857BD1">
      <w:pPr>
        <w:pStyle w:val="BodyText"/>
        <w:adjustRightInd w:val="0"/>
        <w:snapToGrid w:val="0"/>
        <w:rPr>
          <w:rFonts w:cs="Times New Roman"/>
          <w:b/>
          <w:sz w:val="22"/>
          <w:szCs w:val="22"/>
          <w:lang w:val="en-NZ"/>
        </w:rPr>
      </w:pPr>
    </w:p>
    <w:p w14:paraId="124ADBC8" w14:textId="77777777" w:rsidR="00857BD1" w:rsidRDefault="00857BD1">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56DA3FD8" w14:textId="310119E3" w:rsidR="002E2C57" w:rsidRPr="002E2C57" w:rsidRDefault="002E2C57" w:rsidP="00857BD1">
      <w:pPr>
        <w:pStyle w:val="Heading1"/>
        <w:adjustRightInd w:val="0"/>
        <w:snapToGrid w:val="0"/>
        <w:spacing w:before="0" w:line="240" w:lineRule="auto"/>
        <w:rPr>
          <w:rFonts w:ascii="Times New Roman" w:hAnsi="Times New Roman" w:cs="Times New Roman"/>
        </w:rPr>
      </w:pPr>
      <w:bookmarkStart w:id="4" w:name="_Toc24984191"/>
      <w:r w:rsidRPr="002E2C57">
        <w:rPr>
          <w:rFonts w:ascii="Times New Roman" w:hAnsi="Times New Roman" w:cs="Times New Roman"/>
        </w:rPr>
        <w:lastRenderedPageBreak/>
        <w:t>SC1</w:t>
      </w:r>
      <w:r>
        <w:rPr>
          <w:rFonts w:ascii="Times New Roman" w:hAnsi="Times New Roman" w:cs="Times New Roman"/>
        </w:rPr>
        <w:t>3</w:t>
      </w:r>
      <w:r w:rsidRPr="002E2C57">
        <w:rPr>
          <w:rFonts w:ascii="Times New Roman" w:hAnsi="Times New Roman" w:cs="Times New Roman"/>
        </w:rPr>
        <w:t xml:space="preserve"> 201</w:t>
      </w:r>
      <w:r>
        <w:rPr>
          <w:rFonts w:ascii="Times New Roman" w:hAnsi="Times New Roman" w:cs="Times New Roman"/>
        </w:rPr>
        <w:t>7</w:t>
      </w:r>
      <w:r w:rsidRPr="002E2C57">
        <w:rPr>
          <w:rFonts w:ascii="Times New Roman" w:hAnsi="Times New Roman" w:cs="Times New Roman"/>
        </w:rPr>
        <w:t xml:space="preserve"> (</w:t>
      </w:r>
      <w:r>
        <w:rPr>
          <w:rFonts w:ascii="Times New Roman" w:hAnsi="Times New Roman" w:cs="Times New Roman"/>
        </w:rPr>
        <w:t>FISHERY INDICATORS UPDATED</w:t>
      </w:r>
      <w:r w:rsidRPr="002E2C57">
        <w:rPr>
          <w:rFonts w:ascii="Times New Roman" w:hAnsi="Times New Roman" w:cs="Times New Roman"/>
        </w:rPr>
        <w:t>)</w:t>
      </w:r>
      <w:bookmarkEnd w:id="4"/>
      <w:r w:rsidRPr="002E2C57">
        <w:rPr>
          <w:rFonts w:ascii="Times New Roman" w:hAnsi="Times New Roman" w:cs="Times New Roman"/>
        </w:rPr>
        <w:t xml:space="preserve"> </w:t>
      </w:r>
    </w:p>
    <w:p w14:paraId="27774F09" w14:textId="77777777" w:rsidR="00857BD1" w:rsidRDefault="00857BD1" w:rsidP="00857BD1">
      <w:pPr>
        <w:adjustRightInd w:val="0"/>
        <w:snapToGrid w:val="0"/>
        <w:spacing w:after="0" w:line="240" w:lineRule="auto"/>
        <w:rPr>
          <w:rFonts w:ascii="Times New Roman" w:eastAsia="MS Mincho" w:hAnsi="Times New Roman" w:cs="Times New Roman"/>
          <w:lang w:val="en-NZ" w:eastAsia="en-NZ"/>
        </w:rPr>
      </w:pPr>
    </w:p>
    <w:p w14:paraId="271FE00B" w14:textId="77777777" w:rsidR="00857BD1" w:rsidRPr="009C2ADD" w:rsidRDefault="00857BD1" w:rsidP="00857BD1">
      <w:pPr>
        <w:pStyle w:val="Heading7"/>
        <w:numPr>
          <w:ilvl w:val="0"/>
          <w:numId w:val="8"/>
        </w:numPr>
        <w:adjustRightInd w:val="0"/>
        <w:snapToGrid w:val="0"/>
        <w:spacing w:before="0" w:line="240" w:lineRule="auto"/>
        <w:ind w:left="0" w:firstLine="0"/>
        <w:jc w:val="both"/>
        <w:rPr>
          <w:rFonts w:ascii="Times New Roman" w:eastAsia="Batang" w:hAnsi="Times New Roman"/>
          <w:b/>
          <w:bCs/>
          <w:i w:val="0"/>
          <w:iCs w:val="0"/>
          <w:color w:val="auto"/>
          <w:lang w:eastAsia="ko-KR"/>
        </w:rPr>
      </w:pPr>
      <w:r w:rsidRPr="009C2ADD">
        <w:rPr>
          <w:rFonts w:ascii="Times New Roman" w:eastAsia="Batang" w:hAnsi="Times New Roman"/>
          <w:b/>
          <w:bCs/>
          <w:i w:val="0"/>
          <w:iCs w:val="0"/>
          <w:color w:val="auto"/>
          <w:lang w:eastAsia="ko-KR"/>
        </w:rPr>
        <w:t>Stock status and trends</w:t>
      </w:r>
    </w:p>
    <w:p w14:paraId="0CE2BC53" w14:textId="77777777" w:rsidR="00857BD1" w:rsidRPr="009C2ADD" w:rsidRDefault="00857BD1" w:rsidP="00857BD1">
      <w:pPr>
        <w:adjustRightInd w:val="0"/>
        <w:snapToGrid w:val="0"/>
        <w:spacing w:after="0"/>
        <w:rPr>
          <w:rFonts w:ascii="Times New Roman" w:hAnsi="Times New Roman"/>
          <w:lang w:eastAsia="ko-KR"/>
        </w:rPr>
      </w:pPr>
    </w:p>
    <w:p w14:paraId="715F63B6" w14:textId="77777777" w:rsidR="00857BD1" w:rsidRPr="00867AA1" w:rsidRDefault="00857BD1" w:rsidP="00867AA1">
      <w:pPr>
        <w:pStyle w:val="WCPFC"/>
        <w:numPr>
          <w:ilvl w:val="0"/>
          <w:numId w:val="20"/>
        </w:numPr>
        <w:autoSpaceDE w:val="0"/>
        <w:autoSpaceDN w:val="0"/>
        <w:adjustRightInd w:val="0"/>
        <w:spacing w:after="0"/>
        <w:ind w:left="0" w:firstLine="0"/>
        <w:rPr>
          <w:bCs/>
          <w:lang w:val="en-AU"/>
        </w:rPr>
      </w:pPr>
      <w:r w:rsidRPr="00867AA1">
        <w:rPr>
          <w:bCs/>
          <w:lang w:val="en-AU"/>
        </w:rPr>
        <w:t xml:space="preserve">SC13 noted that no stock assessments were conducted for these species in 2017. Therefore, the stock status descriptions from SC10 are still current. Updated information on North Pacific swordfish catches is available in the ISC Plenary Report but was not compiled for and reviewed by SC13. For further information on the stock status and trends from SC10, please see </w:t>
      </w:r>
      <w:hyperlink r:id="rId16" w:history="1">
        <w:r w:rsidRPr="00867AA1">
          <w:rPr>
            <w:rStyle w:val="Hyperlink"/>
            <w:bCs/>
            <w:lang w:val="en-AU"/>
          </w:rPr>
          <w:t>http://www.wcpfc.int/node/19472</w:t>
        </w:r>
      </w:hyperlink>
      <w:r w:rsidRPr="00867AA1">
        <w:rPr>
          <w:bCs/>
          <w:lang w:val="en-AU"/>
        </w:rPr>
        <w:t xml:space="preserve"> </w:t>
      </w:r>
    </w:p>
    <w:p w14:paraId="738139B8" w14:textId="77777777" w:rsidR="00857BD1" w:rsidRPr="00464B7F" w:rsidRDefault="00857BD1" w:rsidP="00857BD1">
      <w:pPr>
        <w:pStyle w:val="WCPFC"/>
        <w:numPr>
          <w:ilvl w:val="0"/>
          <w:numId w:val="0"/>
        </w:numPr>
        <w:adjustRightInd w:val="0"/>
        <w:spacing w:after="0"/>
        <w:rPr>
          <w:b/>
        </w:rPr>
      </w:pPr>
    </w:p>
    <w:p w14:paraId="3F904ABE" w14:textId="77777777" w:rsidR="00857BD1" w:rsidRPr="00464B7F" w:rsidRDefault="00857BD1" w:rsidP="00857BD1">
      <w:pPr>
        <w:pStyle w:val="Heading7"/>
        <w:numPr>
          <w:ilvl w:val="0"/>
          <w:numId w:val="8"/>
        </w:numPr>
        <w:adjustRightInd w:val="0"/>
        <w:snapToGrid w:val="0"/>
        <w:spacing w:before="0" w:line="240" w:lineRule="auto"/>
        <w:ind w:left="0" w:firstLine="0"/>
        <w:jc w:val="both"/>
        <w:rPr>
          <w:rFonts w:ascii="Times New Roman" w:eastAsia="Batang" w:hAnsi="Times New Roman"/>
          <w:b/>
          <w:bCs/>
          <w:i w:val="0"/>
          <w:iCs w:val="0"/>
          <w:color w:val="auto"/>
          <w:lang w:eastAsia="ko-KR"/>
        </w:rPr>
      </w:pPr>
      <w:r w:rsidRPr="00464B7F">
        <w:rPr>
          <w:rFonts w:ascii="Times New Roman" w:eastAsia="Batang" w:hAnsi="Times New Roman"/>
          <w:b/>
          <w:bCs/>
          <w:i w:val="0"/>
          <w:iCs w:val="0"/>
          <w:color w:val="auto"/>
          <w:lang w:eastAsia="ko-KR"/>
        </w:rPr>
        <w:t>Management advice and implications</w:t>
      </w:r>
      <w:r w:rsidRPr="00464B7F">
        <w:rPr>
          <w:rFonts w:ascii="Times New Roman" w:eastAsia="Batang" w:hAnsi="Times New Roman"/>
          <w:b/>
          <w:bCs/>
          <w:i w:val="0"/>
          <w:iCs w:val="0"/>
          <w:color w:val="auto"/>
          <w:lang w:eastAsia="ko-KR"/>
        </w:rPr>
        <w:tab/>
      </w:r>
    </w:p>
    <w:p w14:paraId="1D904174" w14:textId="77777777" w:rsidR="00857BD1" w:rsidRPr="00464B7F" w:rsidRDefault="00857BD1" w:rsidP="00857BD1">
      <w:pPr>
        <w:adjustRightInd w:val="0"/>
        <w:snapToGrid w:val="0"/>
        <w:spacing w:after="0"/>
        <w:rPr>
          <w:rFonts w:ascii="Times New Roman" w:hAnsi="Times New Roman"/>
          <w:lang w:eastAsia="ko-KR"/>
        </w:rPr>
      </w:pPr>
    </w:p>
    <w:p w14:paraId="422BBE3B" w14:textId="77777777" w:rsidR="00857BD1" w:rsidRPr="00857BD1" w:rsidRDefault="00857BD1" w:rsidP="00857BD1">
      <w:pPr>
        <w:numPr>
          <w:ilvl w:val="0"/>
          <w:numId w:val="2"/>
        </w:numPr>
        <w:autoSpaceDE w:val="0"/>
        <w:autoSpaceDN w:val="0"/>
        <w:adjustRightInd w:val="0"/>
        <w:snapToGrid w:val="0"/>
        <w:spacing w:after="0" w:line="240" w:lineRule="auto"/>
        <w:ind w:left="0" w:firstLine="0"/>
        <w:jc w:val="both"/>
        <w:rPr>
          <w:rFonts w:ascii="Times New Roman" w:hAnsi="Times New Roman"/>
          <w:bCs/>
          <w:lang w:val="en-AU"/>
        </w:rPr>
      </w:pPr>
      <w:r w:rsidRPr="00857BD1">
        <w:rPr>
          <w:rFonts w:ascii="Times New Roman" w:hAnsi="Times New Roman"/>
          <w:bCs/>
          <w:lang w:val="en-AU"/>
        </w:rPr>
        <w:t xml:space="preserve">SC13 noted that no management advice has been provided since SC10. Therefore, the advice from SC10 should be maintained, pending a new assessment or other new information. For further information on the management advice and implications from SC10, please see </w:t>
      </w:r>
      <w:hyperlink r:id="rId17" w:history="1">
        <w:r w:rsidRPr="00857BD1">
          <w:rPr>
            <w:rStyle w:val="Hyperlink"/>
            <w:rFonts w:ascii="Times New Roman" w:hAnsi="Times New Roman"/>
            <w:bCs/>
            <w:lang w:val="en-AU"/>
          </w:rPr>
          <w:t>http://www.wcpfc.int/node/1947</w:t>
        </w:r>
        <w:r w:rsidRPr="00857BD1">
          <w:rPr>
            <w:rStyle w:val="Hyperlink"/>
            <w:rFonts w:ascii="Times New Roman" w:hAnsi="Times New Roman" w:hint="eastAsia"/>
            <w:bCs/>
            <w:lang w:val="en-AU" w:eastAsia="ko-KR"/>
          </w:rPr>
          <w:t>2</w:t>
        </w:r>
      </w:hyperlink>
    </w:p>
    <w:p w14:paraId="232DB507" w14:textId="77777777" w:rsidR="00857BD1" w:rsidRPr="00857BD1" w:rsidRDefault="00857BD1" w:rsidP="00857BD1">
      <w:pPr>
        <w:pStyle w:val="WCPFC"/>
        <w:numPr>
          <w:ilvl w:val="0"/>
          <w:numId w:val="0"/>
        </w:numPr>
        <w:adjustRightInd w:val="0"/>
        <w:spacing w:after="0"/>
        <w:ind w:left="567"/>
        <w:rPr>
          <w:bCs/>
        </w:rPr>
      </w:pPr>
    </w:p>
    <w:p w14:paraId="24C8A15E" w14:textId="5896ACFD" w:rsidR="001C3D51" w:rsidRPr="002E2C57" w:rsidRDefault="001C3D51" w:rsidP="00857BD1">
      <w:pPr>
        <w:adjustRightInd w:val="0"/>
        <w:snapToGrid w:val="0"/>
        <w:spacing w:after="0" w:line="240" w:lineRule="auto"/>
        <w:rPr>
          <w:rFonts w:ascii="Times New Roman" w:eastAsia="MS Mincho" w:hAnsi="Times New Roman" w:cs="Times New Roman"/>
          <w:color w:val="2F5496" w:themeColor="accent1" w:themeShade="BF"/>
          <w:sz w:val="32"/>
          <w:szCs w:val="32"/>
          <w:lang w:val="en-NZ" w:eastAsia="en-NZ"/>
        </w:rPr>
      </w:pPr>
      <w:r w:rsidRPr="002E2C57">
        <w:rPr>
          <w:rFonts w:ascii="Times New Roman" w:eastAsia="MS Mincho" w:hAnsi="Times New Roman" w:cs="Times New Roman"/>
          <w:lang w:val="en-NZ" w:eastAsia="en-NZ"/>
        </w:rPr>
        <w:br w:type="page"/>
      </w:r>
    </w:p>
    <w:p w14:paraId="5E9F6ECE" w14:textId="3082CB93" w:rsidR="005C7178" w:rsidRPr="00857BD1" w:rsidRDefault="005C7178" w:rsidP="002E2C57">
      <w:pPr>
        <w:pStyle w:val="Heading1"/>
        <w:adjustRightInd w:val="0"/>
        <w:snapToGrid w:val="0"/>
        <w:spacing w:before="0" w:line="240" w:lineRule="auto"/>
        <w:rPr>
          <w:rFonts w:ascii="Times New Roman Bold" w:eastAsia="MS Mincho" w:hAnsi="Times New Roman Bold" w:cs="Times New Roman"/>
          <w:b/>
          <w:bCs/>
          <w:caps/>
          <w:sz w:val="28"/>
          <w:szCs w:val="28"/>
          <w:lang w:val="en-NZ" w:eastAsia="en-NZ"/>
        </w:rPr>
      </w:pPr>
      <w:bookmarkStart w:id="5" w:name="_Toc24984192"/>
      <w:r w:rsidRPr="00857BD1">
        <w:rPr>
          <w:rFonts w:ascii="Times New Roman Bold" w:eastAsia="MS Mincho" w:hAnsi="Times New Roman Bold" w:cs="Times New Roman"/>
          <w:b/>
          <w:bCs/>
          <w:caps/>
          <w:sz w:val="28"/>
          <w:szCs w:val="28"/>
          <w:lang w:val="en-NZ" w:eastAsia="en-NZ"/>
        </w:rPr>
        <w:lastRenderedPageBreak/>
        <w:t>Useful References</w:t>
      </w:r>
      <w:bookmarkEnd w:id="3"/>
      <w:bookmarkEnd w:id="5"/>
    </w:p>
    <w:p w14:paraId="256AB126" w14:textId="77777777" w:rsidR="00416473" w:rsidRPr="002E2C57" w:rsidRDefault="00416473" w:rsidP="002E2C57">
      <w:pPr>
        <w:adjustRightInd w:val="0"/>
        <w:snapToGrid w:val="0"/>
        <w:spacing w:after="0" w:line="240" w:lineRule="auto"/>
        <w:rPr>
          <w:rFonts w:ascii="Times New Roman" w:hAnsi="Times New Roman" w:cs="Times New Roman"/>
          <w:b/>
        </w:rPr>
      </w:pPr>
    </w:p>
    <w:p w14:paraId="6B2723AB" w14:textId="4E1C58AD" w:rsidR="005C7178" w:rsidRPr="002E2C57" w:rsidRDefault="001C3D5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E2C57">
        <w:rPr>
          <w:rFonts w:ascii="Times New Roman" w:eastAsia="MS Mincho" w:hAnsi="Times New Roman" w:cs="Times New Roman"/>
          <w:color w:val="000000"/>
          <w:lang w:val="en-NZ" w:eastAsia="en-NZ"/>
        </w:rPr>
        <w:t xml:space="preserve">SC14-SA-WP-07 Stock Assessment for Swordfish (Xiphias gladius) in the Western and Central North Pacific Ocean through 2016 Rev 1. </w:t>
      </w:r>
      <w:hyperlink r:id="rId18" w:history="1">
        <w:r w:rsidRPr="002E2C57">
          <w:rPr>
            <w:rStyle w:val="Hyperlink"/>
            <w:rFonts w:ascii="Times New Roman" w:eastAsia="MS Mincho" w:hAnsi="Times New Roman" w:cs="Times New Roman"/>
            <w:lang w:val="en-NZ" w:eastAsia="en-NZ"/>
          </w:rPr>
          <w:t>https://www.wcpfc.int/node/31010</w:t>
        </w:r>
      </w:hyperlink>
      <w:r w:rsidRPr="002E2C57">
        <w:rPr>
          <w:rFonts w:ascii="Times New Roman" w:eastAsia="MS Mincho" w:hAnsi="Times New Roman" w:cs="Times New Roman"/>
          <w:color w:val="000000"/>
          <w:lang w:val="en-NZ" w:eastAsia="en-NZ"/>
        </w:rPr>
        <w:t xml:space="preserve"> </w:t>
      </w:r>
    </w:p>
    <w:p w14:paraId="4A555BDB" w14:textId="77777777" w:rsidR="001C3D51" w:rsidRPr="002E2C57" w:rsidRDefault="001C3D51" w:rsidP="002E2C57">
      <w:pPr>
        <w:adjustRightInd w:val="0"/>
        <w:snapToGrid w:val="0"/>
        <w:spacing w:after="0" w:line="240" w:lineRule="auto"/>
        <w:rPr>
          <w:rFonts w:ascii="Times New Roman" w:hAnsi="Times New Roman" w:cs="Times New Roman"/>
        </w:rPr>
      </w:pPr>
    </w:p>
    <w:p w14:paraId="5790481D" w14:textId="47B1C9AF" w:rsidR="004761DE" w:rsidRPr="002E2C57" w:rsidRDefault="004761DE" w:rsidP="002E2C57">
      <w:pPr>
        <w:adjustRightInd w:val="0"/>
        <w:snapToGrid w:val="0"/>
        <w:spacing w:after="0" w:line="240" w:lineRule="auto"/>
        <w:rPr>
          <w:rFonts w:ascii="Times New Roman" w:hAnsi="Times New Roman" w:cs="Times New Roman"/>
        </w:rPr>
      </w:pPr>
      <w:r w:rsidRPr="002E2C57">
        <w:rPr>
          <w:rFonts w:ascii="Times New Roman" w:hAnsi="Times New Roman" w:cs="Times New Roman"/>
        </w:rPr>
        <w:t>For current information related to Northern Stocks Working Group Reports and the ISC Plenary Report:</w:t>
      </w:r>
    </w:p>
    <w:p w14:paraId="7AB86C3C" w14:textId="0EF11AF4" w:rsidR="005C7178" w:rsidRDefault="00B3520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19" w:history="1">
        <w:r w:rsidR="001C3D51" w:rsidRPr="002E2C57">
          <w:rPr>
            <w:rStyle w:val="Hyperlink"/>
            <w:rFonts w:ascii="Times New Roman" w:eastAsia="MS Mincho" w:hAnsi="Times New Roman" w:cs="Times New Roman"/>
            <w:lang w:val="en-NZ" w:eastAsia="en-NZ"/>
          </w:rPr>
          <w:t>http://isc.fra.go.jp/reports/isc/isc18_reports.html</w:t>
        </w:r>
      </w:hyperlink>
      <w:r w:rsidR="001C3D51" w:rsidRPr="002E2C57">
        <w:rPr>
          <w:rFonts w:ascii="Times New Roman" w:eastAsia="MS Mincho" w:hAnsi="Times New Roman" w:cs="Times New Roman"/>
          <w:color w:val="000000"/>
          <w:lang w:val="en-NZ" w:eastAsia="en-NZ"/>
        </w:rPr>
        <w:t xml:space="preserve"> </w:t>
      </w:r>
    </w:p>
    <w:p w14:paraId="52A3BC1C" w14:textId="6E746439" w:rsidR="00857BD1" w:rsidRDefault="00857BD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0235C7B0" w14:textId="77777777" w:rsidR="00857BD1" w:rsidRPr="002E2C57" w:rsidRDefault="00857BD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5720624E" w14:textId="2EACBC79" w:rsidR="001C3D51" w:rsidRPr="00857BD1" w:rsidRDefault="001C3D51" w:rsidP="002E2C57">
      <w:pPr>
        <w:pStyle w:val="Heading1"/>
        <w:adjustRightInd w:val="0"/>
        <w:snapToGrid w:val="0"/>
        <w:spacing w:before="0" w:line="240" w:lineRule="auto"/>
        <w:rPr>
          <w:rFonts w:ascii="Times New Roman Bold" w:eastAsia="MS Mincho" w:hAnsi="Times New Roman Bold" w:cs="Times New Roman"/>
          <w:b/>
          <w:bCs/>
          <w:caps/>
          <w:sz w:val="28"/>
          <w:szCs w:val="28"/>
          <w:lang w:val="en-NZ" w:eastAsia="en-NZ"/>
        </w:rPr>
      </w:pPr>
      <w:bookmarkStart w:id="6" w:name="_Toc24984193"/>
      <w:r w:rsidRPr="00857BD1">
        <w:rPr>
          <w:rFonts w:ascii="Times New Roman Bold" w:eastAsia="MS Mincho" w:hAnsi="Times New Roman Bold" w:cs="Times New Roman"/>
          <w:b/>
          <w:bCs/>
          <w:caps/>
          <w:sz w:val="28"/>
          <w:szCs w:val="28"/>
          <w:lang w:val="en-NZ" w:eastAsia="en-NZ"/>
        </w:rPr>
        <w:t>Previous Assessments</w:t>
      </w:r>
      <w:bookmarkEnd w:id="6"/>
    </w:p>
    <w:p w14:paraId="101D2F10" w14:textId="773BA9C7" w:rsidR="005C7178" w:rsidRPr="002E2C57" w:rsidRDefault="005C7178"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p w14:paraId="15E9CFB7" w14:textId="77777777" w:rsidR="001C3D51" w:rsidRPr="002E2C57" w:rsidRDefault="001C3D5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r w:rsidRPr="002E2C57">
        <w:rPr>
          <w:rFonts w:ascii="Times New Roman" w:eastAsia="MS Mincho" w:hAnsi="Times New Roman" w:cs="Times New Roman"/>
          <w:color w:val="000000"/>
          <w:lang w:val="en-NZ" w:eastAsia="en-NZ"/>
        </w:rPr>
        <w:t xml:space="preserve">SC10-SA-WP13 </w:t>
      </w:r>
      <w:r w:rsidRPr="002E2C57">
        <w:rPr>
          <w:rFonts w:ascii="Times New Roman" w:hAnsi="Times New Roman" w:cs="Times New Roman"/>
          <w:lang w:val="en"/>
        </w:rPr>
        <w:t>North Pacific Swordfish (</w:t>
      </w:r>
      <w:proofErr w:type="spellStart"/>
      <w:r w:rsidRPr="002E2C57">
        <w:rPr>
          <w:rFonts w:ascii="Times New Roman" w:hAnsi="Times New Roman" w:cs="Times New Roman"/>
          <w:lang w:val="en"/>
        </w:rPr>
        <w:t>Xipiaus</w:t>
      </w:r>
      <w:proofErr w:type="spellEnd"/>
      <w:r w:rsidRPr="002E2C57">
        <w:rPr>
          <w:rFonts w:ascii="Times New Roman" w:hAnsi="Times New Roman" w:cs="Times New Roman"/>
          <w:lang w:val="en"/>
        </w:rPr>
        <w:t xml:space="preserve"> gladius) Stock Assessment in 2014. ISC Billfish Working Group (International Scientific Committee for Tuna and Tuna-like Species in the North Pacific Ocean).</w:t>
      </w:r>
    </w:p>
    <w:p w14:paraId="45D24E16" w14:textId="77777777" w:rsidR="001C3D51" w:rsidRPr="002E2C57" w:rsidRDefault="00B3520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hyperlink r:id="rId20" w:history="1">
        <w:r w:rsidR="001C3D51" w:rsidRPr="002E2C57">
          <w:rPr>
            <w:rStyle w:val="Hyperlink"/>
            <w:rFonts w:ascii="Times New Roman" w:eastAsia="MS Mincho" w:hAnsi="Times New Roman" w:cs="Times New Roman"/>
            <w:lang w:val="en-NZ" w:eastAsia="en-NZ"/>
          </w:rPr>
          <w:t>https://www.wcpfc.int/node/19203</w:t>
        </w:r>
      </w:hyperlink>
      <w:r w:rsidR="001C3D51" w:rsidRPr="002E2C57">
        <w:rPr>
          <w:rFonts w:ascii="Times New Roman" w:eastAsia="MS Mincho" w:hAnsi="Times New Roman" w:cs="Times New Roman"/>
          <w:color w:val="000000"/>
          <w:lang w:val="en-NZ" w:eastAsia="en-NZ"/>
        </w:rPr>
        <w:t xml:space="preserve"> </w:t>
      </w:r>
    </w:p>
    <w:p w14:paraId="46ED3A7E" w14:textId="77777777" w:rsidR="001C3D51" w:rsidRPr="002E2C57" w:rsidRDefault="001C3D51" w:rsidP="002E2C57">
      <w:pPr>
        <w:autoSpaceDE w:val="0"/>
        <w:autoSpaceDN w:val="0"/>
        <w:adjustRightInd w:val="0"/>
        <w:snapToGrid w:val="0"/>
        <w:spacing w:after="0" w:line="240" w:lineRule="auto"/>
        <w:jc w:val="both"/>
        <w:rPr>
          <w:rFonts w:ascii="Times New Roman" w:eastAsia="MS Mincho" w:hAnsi="Times New Roman" w:cs="Times New Roman"/>
          <w:color w:val="000000"/>
          <w:lang w:val="en-NZ" w:eastAsia="en-NZ"/>
        </w:rPr>
      </w:pPr>
    </w:p>
    <w:sectPr w:rsidR="001C3D51" w:rsidRPr="002E2C57" w:rsidSect="002E2C57">
      <w:footerReference w:type="default" r:id="rId21"/>
      <w:pgSz w:w="12240" w:h="15840"/>
      <w:pgMar w:top="1440" w:right="1440" w:bottom="1440" w:left="1440" w:header="0" w:footer="101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8EF636" w14:textId="77777777" w:rsidR="00B35201" w:rsidRDefault="00B35201" w:rsidP="005C2B8D">
      <w:pPr>
        <w:spacing w:after="0" w:line="240" w:lineRule="auto"/>
      </w:pPr>
      <w:r>
        <w:separator/>
      </w:r>
    </w:p>
  </w:endnote>
  <w:endnote w:type="continuationSeparator" w:id="0">
    <w:p w14:paraId="0908D761" w14:textId="77777777" w:rsidR="00B35201" w:rsidRDefault="00B35201" w:rsidP="005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UD Digi Kyokasho NP-B">
    <w:charset w:val="80"/>
    <w:family w:val="roman"/>
    <w:pitch w:val="variable"/>
    <w:sig w:usb0="800002A3" w:usb1="2AC7ECFA" w:usb2="00000010" w:usb3="00000000" w:csb0="0002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729818"/>
      <w:docPartObj>
        <w:docPartGallery w:val="Page Numbers (Bottom of Page)"/>
        <w:docPartUnique/>
      </w:docPartObj>
    </w:sdtPr>
    <w:sdtEndPr>
      <w:rPr>
        <w:noProof/>
      </w:rPr>
    </w:sdtEndPr>
    <w:sdtContent>
      <w:p w14:paraId="6C76E299" w14:textId="5802027D" w:rsidR="00FB5C39" w:rsidRDefault="00FB5C3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2F1924" w14:textId="77777777" w:rsidR="00550074" w:rsidRDefault="00550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73E7E1" w14:textId="77777777" w:rsidR="00B35201" w:rsidRDefault="00B35201" w:rsidP="005C2B8D">
      <w:pPr>
        <w:spacing w:after="0" w:line="240" w:lineRule="auto"/>
      </w:pPr>
      <w:r>
        <w:separator/>
      </w:r>
    </w:p>
  </w:footnote>
  <w:footnote w:type="continuationSeparator" w:id="0">
    <w:p w14:paraId="1EFF985F" w14:textId="77777777" w:rsidR="00B35201" w:rsidRDefault="00B35201" w:rsidP="005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917B6"/>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21713112"/>
    <w:multiLevelType w:val="hybridMultilevel"/>
    <w:tmpl w:val="19A674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D9200B4"/>
    <w:multiLevelType w:val="hybridMultilevel"/>
    <w:tmpl w:val="3698D060"/>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BD9EE77A">
      <w:start w:val="1"/>
      <w:numFmt w:val="decimal"/>
      <w:lvlText w:val="%2."/>
      <w:lvlJc w:val="left"/>
      <w:pPr>
        <w:ind w:left="820" w:hanging="360"/>
      </w:pPr>
      <w:rPr>
        <w:rFonts w:hint="default"/>
        <w:b/>
        <w:bCs/>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3" w15:restartNumberingAfterBreak="0">
    <w:nsid w:val="30526D00"/>
    <w:multiLevelType w:val="hybridMultilevel"/>
    <w:tmpl w:val="ED7A2300"/>
    <w:lvl w:ilvl="0" w:tplc="06486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9A1716"/>
    <w:multiLevelType w:val="hybridMultilevel"/>
    <w:tmpl w:val="DC4A8348"/>
    <w:lvl w:ilvl="0" w:tplc="E076D4DA">
      <w:start w:val="1"/>
      <w:numFmt w:val="decimal"/>
      <w:lvlText w:val="%1."/>
      <w:lvlJc w:val="left"/>
      <w:pPr>
        <w:ind w:left="820" w:hanging="360"/>
      </w:pPr>
      <w:rPr>
        <w:rFonts w:ascii="Times New Roman" w:eastAsia="Times New Roman" w:hAnsi="Times New Roman" w:cs="Times New Roman" w:hint="default"/>
        <w:b/>
        <w:bCs/>
        <w:spacing w:val="-4"/>
        <w:w w:val="99"/>
        <w:sz w:val="24"/>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5" w15:restartNumberingAfterBreak="0">
    <w:nsid w:val="3709250E"/>
    <w:multiLevelType w:val="hybridMultilevel"/>
    <w:tmpl w:val="35E602BC"/>
    <w:lvl w:ilvl="0" w:tplc="A4364400">
      <w:start w:val="1"/>
      <w:numFmt w:val="decimal"/>
      <w:pStyle w:val="WCPFC"/>
      <w:lvlText w:val="%1."/>
      <w:lvlJc w:val="left"/>
      <w:pPr>
        <w:ind w:left="567" w:hanging="567"/>
      </w:pPr>
      <w:rPr>
        <w:rFonts w:ascii="Times New Roman" w:hAnsi="Times New Roman" w:cs="Times New Roman" w:hint="default"/>
        <w:b w:val="0"/>
        <w:i w:val="0"/>
        <w:color w:val="auto"/>
        <w:sz w:val="2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B0A73B2">
      <w:start w:val="1"/>
      <w:numFmt w:val="upperLetter"/>
      <w:lvlText w:val="%4."/>
      <w:lvlJc w:val="left"/>
      <w:pPr>
        <w:ind w:left="2880" w:hanging="360"/>
      </w:p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A461A3E"/>
    <w:multiLevelType w:val="hybridMultilevel"/>
    <w:tmpl w:val="167CDF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605ED"/>
    <w:multiLevelType w:val="hybridMultilevel"/>
    <w:tmpl w:val="E5D49662"/>
    <w:lvl w:ilvl="0" w:tplc="CAF812E2">
      <w:start w:val="1"/>
      <w:numFmt w:val="low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4D126600"/>
    <w:multiLevelType w:val="hybridMultilevel"/>
    <w:tmpl w:val="F26A5F06"/>
    <w:lvl w:ilvl="0" w:tplc="EFD2FA4C">
      <w:start w:val="313"/>
      <w:numFmt w:val="decimal"/>
      <w:lvlText w:val="%1."/>
      <w:lvlJc w:val="left"/>
      <w:pPr>
        <w:ind w:left="360" w:hanging="360"/>
      </w:pPr>
      <w:rPr>
        <w:rFonts w:hint="default"/>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838AA5F0">
      <w:start w:val="1"/>
      <w:numFmt w:val="lowerLetter"/>
      <w:lvlText w:val="%4)"/>
      <w:lvlJc w:val="left"/>
      <w:pPr>
        <w:ind w:left="2880" w:hanging="360"/>
      </w:pPr>
      <w:rPr>
        <w:rFonts w:eastAsiaTheme="minorEastAsia" w:hint="default"/>
      </w:r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DBE3EF0"/>
    <w:multiLevelType w:val="hybridMultilevel"/>
    <w:tmpl w:val="EA1484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A00473"/>
    <w:multiLevelType w:val="hybridMultilevel"/>
    <w:tmpl w:val="27D8E598"/>
    <w:lvl w:ilvl="0" w:tplc="3F228014">
      <w:start w:val="1"/>
      <w:numFmt w:val="decimal"/>
      <w:lvlText w:val="%1)"/>
      <w:lvlJc w:val="left"/>
      <w:pPr>
        <w:ind w:left="1080" w:hanging="360"/>
      </w:pPr>
      <w:rPr>
        <w:rFonts w:hint="default"/>
        <w:b w:val="0"/>
        <w:bCs/>
        <w:i w:val="0"/>
        <w:spacing w:val="-4"/>
        <w:w w:val="99"/>
        <w:sz w:val="22"/>
        <w:szCs w:val="24"/>
      </w:rPr>
    </w:lvl>
    <w:lvl w:ilvl="1" w:tplc="35D823D4">
      <w:numFmt w:val="bullet"/>
      <w:lvlText w:val="•"/>
      <w:lvlJc w:val="left"/>
      <w:pPr>
        <w:ind w:left="1962" w:hanging="360"/>
      </w:pPr>
      <w:rPr>
        <w:rFonts w:hint="default"/>
      </w:rPr>
    </w:lvl>
    <w:lvl w:ilvl="2" w:tplc="F29AA682">
      <w:numFmt w:val="bullet"/>
      <w:lvlText w:val="•"/>
      <w:lvlJc w:val="left"/>
      <w:pPr>
        <w:ind w:left="2844" w:hanging="360"/>
      </w:pPr>
      <w:rPr>
        <w:rFonts w:hint="default"/>
      </w:rPr>
    </w:lvl>
    <w:lvl w:ilvl="3" w:tplc="6C766BCC">
      <w:numFmt w:val="bullet"/>
      <w:lvlText w:val="•"/>
      <w:lvlJc w:val="left"/>
      <w:pPr>
        <w:ind w:left="3726" w:hanging="360"/>
      </w:pPr>
      <w:rPr>
        <w:rFonts w:hint="default"/>
      </w:rPr>
    </w:lvl>
    <w:lvl w:ilvl="4" w:tplc="F3FEFAE0">
      <w:numFmt w:val="bullet"/>
      <w:lvlText w:val="•"/>
      <w:lvlJc w:val="left"/>
      <w:pPr>
        <w:ind w:left="4608" w:hanging="360"/>
      </w:pPr>
      <w:rPr>
        <w:rFonts w:hint="default"/>
      </w:rPr>
    </w:lvl>
    <w:lvl w:ilvl="5" w:tplc="FE8CF698">
      <w:numFmt w:val="bullet"/>
      <w:lvlText w:val="•"/>
      <w:lvlJc w:val="left"/>
      <w:pPr>
        <w:ind w:left="5490" w:hanging="360"/>
      </w:pPr>
      <w:rPr>
        <w:rFonts w:hint="default"/>
      </w:rPr>
    </w:lvl>
    <w:lvl w:ilvl="6" w:tplc="D1809446">
      <w:numFmt w:val="bullet"/>
      <w:lvlText w:val="•"/>
      <w:lvlJc w:val="left"/>
      <w:pPr>
        <w:ind w:left="6372" w:hanging="360"/>
      </w:pPr>
      <w:rPr>
        <w:rFonts w:hint="default"/>
      </w:rPr>
    </w:lvl>
    <w:lvl w:ilvl="7" w:tplc="C2E07CD8">
      <w:numFmt w:val="bullet"/>
      <w:lvlText w:val="•"/>
      <w:lvlJc w:val="left"/>
      <w:pPr>
        <w:ind w:left="7254" w:hanging="360"/>
      </w:pPr>
      <w:rPr>
        <w:rFonts w:hint="default"/>
      </w:rPr>
    </w:lvl>
    <w:lvl w:ilvl="8" w:tplc="E5E068E4">
      <w:numFmt w:val="bullet"/>
      <w:lvlText w:val="•"/>
      <w:lvlJc w:val="left"/>
      <w:pPr>
        <w:ind w:left="8136" w:hanging="360"/>
      </w:pPr>
      <w:rPr>
        <w:rFonts w:hint="default"/>
      </w:rPr>
    </w:lvl>
  </w:abstractNum>
  <w:abstractNum w:abstractNumId="11" w15:restartNumberingAfterBreak="0">
    <w:nsid w:val="665E6A11"/>
    <w:multiLevelType w:val="hybridMultilevel"/>
    <w:tmpl w:val="AEE88892"/>
    <w:lvl w:ilvl="0" w:tplc="6958DAC8">
      <w:start w:val="1"/>
      <w:numFmt w:val="lowerLetter"/>
      <w:lvlText w:val="%1."/>
      <w:lvlJc w:val="left"/>
      <w:pPr>
        <w:ind w:left="411" w:hanging="360"/>
      </w:pPr>
      <w:rPr>
        <w:rFonts w:hint="default"/>
      </w:rPr>
    </w:lvl>
    <w:lvl w:ilvl="1" w:tplc="04090019" w:tentative="1">
      <w:start w:val="1"/>
      <w:numFmt w:val="lowerLetter"/>
      <w:lvlText w:val="%2."/>
      <w:lvlJc w:val="left"/>
      <w:pPr>
        <w:ind w:left="1131" w:hanging="360"/>
      </w:p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12" w15:restartNumberingAfterBreak="0">
    <w:nsid w:val="71EE1A0E"/>
    <w:multiLevelType w:val="hybridMultilevel"/>
    <w:tmpl w:val="4B78D216"/>
    <w:lvl w:ilvl="0" w:tplc="9FB2D5EE">
      <w:start w:val="10"/>
      <w:numFmt w:val="upperLetter"/>
      <w:lvlText w:val="%1."/>
      <w:lvlJc w:val="left"/>
      <w:pPr>
        <w:ind w:left="100" w:hanging="216"/>
      </w:pPr>
      <w:rPr>
        <w:rFonts w:ascii="Times New Roman" w:eastAsia="Times New Roman" w:hAnsi="Times New Roman" w:cs="Times New Roman" w:hint="default"/>
        <w:spacing w:val="-6"/>
        <w:w w:val="99"/>
        <w:sz w:val="24"/>
        <w:szCs w:val="24"/>
      </w:rPr>
    </w:lvl>
    <w:lvl w:ilvl="1" w:tplc="713CA780">
      <w:start w:val="1"/>
      <w:numFmt w:val="decimal"/>
      <w:lvlText w:val="%2)"/>
      <w:lvlJc w:val="left"/>
      <w:pPr>
        <w:ind w:left="820" w:hanging="360"/>
      </w:pPr>
      <w:rPr>
        <w:rFonts w:hint="default"/>
        <w:b w:val="0"/>
        <w:bCs/>
        <w:i w:val="0"/>
        <w:spacing w:val="-4"/>
        <w:w w:val="99"/>
      </w:rPr>
    </w:lvl>
    <w:lvl w:ilvl="2" w:tplc="EEAA7E14">
      <w:numFmt w:val="bullet"/>
      <w:lvlText w:val="•"/>
      <w:lvlJc w:val="left"/>
      <w:pPr>
        <w:ind w:left="1793" w:hanging="360"/>
      </w:pPr>
      <w:rPr>
        <w:rFonts w:hint="default"/>
      </w:rPr>
    </w:lvl>
    <w:lvl w:ilvl="3" w:tplc="53D47CF2">
      <w:numFmt w:val="bullet"/>
      <w:lvlText w:val="•"/>
      <w:lvlJc w:val="left"/>
      <w:pPr>
        <w:ind w:left="2766" w:hanging="360"/>
      </w:pPr>
      <w:rPr>
        <w:rFonts w:hint="default"/>
      </w:rPr>
    </w:lvl>
    <w:lvl w:ilvl="4" w:tplc="DC4A7C26">
      <w:numFmt w:val="bullet"/>
      <w:lvlText w:val="•"/>
      <w:lvlJc w:val="left"/>
      <w:pPr>
        <w:ind w:left="3740" w:hanging="360"/>
      </w:pPr>
      <w:rPr>
        <w:rFonts w:hint="default"/>
      </w:rPr>
    </w:lvl>
    <w:lvl w:ilvl="5" w:tplc="288259C2">
      <w:numFmt w:val="bullet"/>
      <w:lvlText w:val="•"/>
      <w:lvlJc w:val="left"/>
      <w:pPr>
        <w:ind w:left="4713" w:hanging="360"/>
      </w:pPr>
      <w:rPr>
        <w:rFonts w:hint="default"/>
      </w:rPr>
    </w:lvl>
    <w:lvl w:ilvl="6" w:tplc="FDFC7934">
      <w:numFmt w:val="bullet"/>
      <w:lvlText w:val="•"/>
      <w:lvlJc w:val="left"/>
      <w:pPr>
        <w:ind w:left="5686" w:hanging="360"/>
      </w:pPr>
      <w:rPr>
        <w:rFonts w:hint="default"/>
      </w:rPr>
    </w:lvl>
    <w:lvl w:ilvl="7" w:tplc="2B386A22">
      <w:numFmt w:val="bullet"/>
      <w:lvlText w:val="•"/>
      <w:lvlJc w:val="left"/>
      <w:pPr>
        <w:ind w:left="6660" w:hanging="360"/>
      </w:pPr>
      <w:rPr>
        <w:rFonts w:hint="default"/>
      </w:rPr>
    </w:lvl>
    <w:lvl w:ilvl="8" w:tplc="351008C6">
      <w:numFmt w:val="bullet"/>
      <w:lvlText w:val="•"/>
      <w:lvlJc w:val="left"/>
      <w:pPr>
        <w:ind w:left="7633" w:hanging="360"/>
      </w:pPr>
      <w:rPr>
        <w:rFonts w:hint="default"/>
      </w:rPr>
    </w:lvl>
  </w:abstractNum>
  <w:abstractNum w:abstractNumId="13" w15:restartNumberingAfterBreak="0">
    <w:nsid w:val="751333FB"/>
    <w:multiLevelType w:val="hybridMultilevel"/>
    <w:tmpl w:val="7C9CDEDC"/>
    <w:lvl w:ilvl="0" w:tplc="A59CD59C">
      <w:start w:val="1"/>
      <w:numFmt w:val="decimal"/>
      <w:lvlText w:val="%1)"/>
      <w:lvlJc w:val="left"/>
      <w:pPr>
        <w:ind w:left="820" w:hanging="360"/>
      </w:pPr>
      <w:rPr>
        <w:rFonts w:ascii="Times New Roman" w:eastAsia="UD Digi Kyokasho NP-B" w:hAnsi="Times New Roman" w:hint="default"/>
        <w:b w:val="0"/>
        <w:bCs/>
        <w:i w:val="0"/>
        <w:spacing w:val="-4"/>
        <w:w w:val="99"/>
        <w:sz w:val="22"/>
        <w:szCs w:val="24"/>
      </w:rPr>
    </w:lvl>
    <w:lvl w:ilvl="1" w:tplc="35D823D4">
      <w:numFmt w:val="bullet"/>
      <w:lvlText w:val="•"/>
      <w:lvlJc w:val="left"/>
      <w:pPr>
        <w:ind w:left="1702" w:hanging="360"/>
      </w:pPr>
      <w:rPr>
        <w:rFonts w:hint="default"/>
      </w:rPr>
    </w:lvl>
    <w:lvl w:ilvl="2" w:tplc="F29AA682">
      <w:numFmt w:val="bullet"/>
      <w:lvlText w:val="•"/>
      <w:lvlJc w:val="left"/>
      <w:pPr>
        <w:ind w:left="2584" w:hanging="360"/>
      </w:pPr>
      <w:rPr>
        <w:rFonts w:hint="default"/>
      </w:rPr>
    </w:lvl>
    <w:lvl w:ilvl="3" w:tplc="6C766BCC">
      <w:numFmt w:val="bullet"/>
      <w:lvlText w:val="•"/>
      <w:lvlJc w:val="left"/>
      <w:pPr>
        <w:ind w:left="3466" w:hanging="360"/>
      </w:pPr>
      <w:rPr>
        <w:rFonts w:hint="default"/>
      </w:rPr>
    </w:lvl>
    <w:lvl w:ilvl="4" w:tplc="F3FEFAE0">
      <w:numFmt w:val="bullet"/>
      <w:lvlText w:val="•"/>
      <w:lvlJc w:val="left"/>
      <w:pPr>
        <w:ind w:left="4348" w:hanging="360"/>
      </w:pPr>
      <w:rPr>
        <w:rFonts w:hint="default"/>
      </w:rPr>
    </w:lvl>
    <w:lvl w:ilvl="5" w:tplc="FE8CF698">
      <w:numFmt w:val="bullet"/>
      <w:lvlText w:val="•"/>
      <w:lvlJc w:val="left"/>
      <w:pPr>
        <w:ind w:left="5230" w:hanging="360"/>
      </w:pPr>
      <w:rPr>
        <w:rFonts w:hint="default"/>
      </w:rPr>
    </w:lvl>
    <w:lvl w:ilvl="6" w:tplc="D1809446">
      <w:numFmt w:val="bullet"/>
      <w:lvlText w:val="•"/>
      <w:lvlJc w:val="left"/>
      <w:pPr>
        <w:ind w:left="6112" w:hanging="360"/>
      </w:pPr>
      <w:rPr>
        <w:rFonts w:hint="default"/>
      </w:rPr>
    </w:lvl>
    <w:lvl w:ilvl="7" w:tplc="C2E07CD8">
      <w:numFmt w:val="bullet"/>
      <w:lvlText w:val="•"/>
      <w:lvlJc w:val="left"/>
      <w:pPr>
        <w:ind w:left="6994" w:hanging="360"/>
      </w:pPr>
      <w:rPr>
        <w:rFonts w:hint="default"/>
      </w:rPr>
    </w:lvl>
    <w:lvl w:ilvl="8" w:tplc="E5E068E4">
      <w:numFmt w:val="bullet"/>
      <w:lvlText w:val="•"/>
      <w:lvlJc w:val="left"/>
      <w:pPr>
        <w:ind w:left="7876" w:hanging="360"/>
      </w:pPr>
      <w:rPr>
        <w:rFonts w:hint="default"/>
      </w:rPr>
    </w:lvl>
  </w:abstractNum>
  <w:abstractNum w:abstractNumId="14" w15:restartNumberingAfterBreak="0">
    <w:nsid w:val="75191BE8"/>
    <w:multiLevelType w:val="hybridMultilevel"/>
    <w:tmpl w:val="17FA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C466CC"/>
    <w:multiLevelType w:val="hybridMultilevel"/>
    <w:tmpl w:val="B9326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D14D07"/>
    <w:multiLevelType w:val="hybridMultilevel"/>
    <w:tmpl w:val="17FA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
  </w:num>
  <w:num w:numId="4">
    <w:abstractNumId w:val="6"/>
  </w:num>
  <w:num w:numId="5">
    <w:abstractNumId w:val="0"/>
  </w:num>
  <w:num w:numId="6">
    <w:abstractNumId w:val="5"/>
    <w:lvlOverride w:ilvl="0">
      <w:startOverride w:val="393"/>
    </w:lvlOverride>
  </w:num>
  <w:num w:numId="7">
    <w:abstractNumId w:val="7"/>
  </w:num>
  <w:num w:numId="8">
    <w:abstractNumId w:val="9"/>
  </w:num>
  <w:num w:numId="9">
    <w:abstractNumId w:val="11"/>
  </w:num>
  <w:num w:numId="10">
    <w:abstractNumId w:val="2"/>
  </w:num>
  <w:num w:numId="11">
    <w:abstractNumId w:val="4"/>
  </w:num>
  <w:num w:numId="12">
    <w:abstractNumId w:val="15"/>
  </w:num>
  <w:num w:numId="13">
    <w:abstractNumId w:val="14"/>
  </w:num>
  <w:num w:numId="14">
    <w:abstractNumId w:val="16"/>
  </w:num>
  <w:num w:numId="15">
    <w:abstractNumId w:val="3"/>
  </w:num>
  <w:num w:numId="16">
    <w:abstractNumId w:val="13"/>
  </w:num>
  <w:num w:numId="17">
    <w:abstractNumId w:val="5"/>
    <w:lvlOverride w:ilvl="0">
      <w:startOverride w:val="1"/>
    </w:lvlOverride>
  </w:num>
  <w:num w:numId="18">
    <w:abstractNumId w:val="12"/>
  </w:num>
  <w:num w:numId="19">
    <w:abstractNumId w:val="10"/>
  </w:num>
  <w:num w:numId="20">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5DF"/>
    <w:rsid w:val="0000518A"/>
    <w:rsid w:val="001C3D51"/>
    <w:rsid w:val="002443D6"/>
    <w:rsid w:val="00270927"/>
    <w:rsid w:val="002D086C"/>
    <w:rsid w:val="002E2C57"/>
    <w:rsid w:val="002E39C2"/>
    <w:rsid w:val="003060E3"/>
    <w:rsid w:val="0038238E"/>
    <w:rsid w:val="003F50D6"/>
    <w:rsid w:val="00400113"/>
    <w:rsid w:val="00416473"/>
    <w:rsid w:val="00422DD5"/>
    <w:rsid w:val="004761DE"/>
    <w:rsid w:val="004813C7"/>
    <w:rsid w:val="004B05DF"/>
    <w:rsid w:val="004C0F6A"/>
    <w:rsid w:val="004C1EE5"/>
    <w:rsid w:val="004D4942"/>
    <w:rsid w:val="005374AB"/>
    <w:rsid w:val="00550074"/>
    <w:rsid w:val="005A5AA1"/>
    <w:rsid w:val="005B1A1E"/>
    <w:rsid w:val="005C2B8D"/>
    <w:rsid w:val="005C7178"/>
    <w:rsid w:val="006515DB"/>
    <w:rsid w:val="006A51C4"/>
    <w:rsid w:val="0073054D"/>
    <w:rsid w:val="007B6CCE"/>
    <w:rsid w:val="007F084A"/>
    <w:rsid w:val="00857BD1"/>
    <w:rsid w:val="00867480"/>
    <w:rsid w:val="00867AA1"/>
    <w:rsid w:val="009C1672"/>
    <w:rsid w:val="00B1111C"/>
    <w:rsid w:val="00B17B94"/>
    <w:rsid w:val="00B35201"/>
    <w:rsid w:val="00BD56FE"/>
    <w:rsid w:val="00C01084"/>
    <w:rsid w:val="00C34855"/>
    <w:rsid w:val="00C64AF4"/>
    <w:rsid w:val="00CC3DC6"/>
    <w:rsid w:val="00CC59BE"/>
    <w:rsid w:val="00CF0B93"/>
    <w:rsid w:val="00D4373F"/>
    <w:rsid w:val="00F535CC"/>
    <w:rsid w:val="00FB5C39"/>
    <w:rsid w:val="00FB657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C71D8"/>
  <w15:chartTrackingRefBased/>
  <w15:docId w15:val="{59C73EB7-BA29-4ED8-84F2-A975266B1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5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1647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C2B8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74A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5374AB"/>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5D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B05DF"/>
    <w:pPr>
      <w:outlineLvl w:val="9"/>
    </w:pPr>
  </w:style>
  <w:style w:type="paragraph" w:styleId="TOC1">
    <w:name w:val="toc 1"/>
    <w:basedOn w:val="Normal"/>
    <w:next w:val="Normal"/>
    <w:autoRedefine/>
    <w:uiPriority w:val="39"/>
    <w:unhideWhenUsed/>
    <w:rsid w:val="00867AA1"/>
    <w:pPr>
      <w:tabs>
        <w:tab w:val="right" w:leader="dot" w:pos="9350"/>
      </w:tabs>
      <w:adjustRightInd w:val="0"/>
      <w:snapToGrid w:val="0"/>
      <w:spacing w:after="240" w:line="240" w:lineRule="auto"/>
    </w:pPr>
    <w:rPr>
      <w:rFonts w:ascii="Times New Roman" w:eastAsia="MS Mincho" w:hAnsi="Times New Roman" w:cs="Times New Roman"/>
      <w:bCs/>
      <w:caps/>
      <w:noProof/>
      <w:lang w:val="en-NZ" w:eastAsia="en-NZ"/>
    </w:rPr>
  </w:style>
  <w:style w:type="character" w:styleId="Hyperlink">
    <w:name w:val="Hyperlink"/>
    <w:basedOn w:val="DefaultParagraphFont"/>
    <w:uiPriority w:val="99"/>
    <w:unhideWhenUsed/>
    <w:rsid w:val="004B05DF"/>
    <w:rPr>
      <w:color w:val="0563C1" w:themeColor="hyperlink"/>
      <w:u w:val="single"/>
    </w:rPr>
  </w:style>
  <w:style w:type="paragraph" w:styleId="Caption">
    <w:name w:val="caption"/>
    <w:basedOn w:val="Normal"/>
    <w:next w:val="Normal"/>
    <w:uiPriority w:val="35"/>
    <w:unhideWhenUsed/>
    <w:qFormat/>
    <w:rsid w:val="004B05DF"/>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semiHidden/>
    <w:rsid w:val="005374AB"/>
    <w:rPr>
      <w:rFonts w:asciiTheme="majorHAnsi" w:eastAsiaTheme="majorEastAsia" w:hAnsiTheme="majorHAnsi" w:cstheme="majorBidi"/>
      <w:color w:val="2F5496" w:themeColor="accent1" w:themeShade="BF"/>
    </w:rPr>
  </w:style>
  <w:style w:type="character" w:customStyle="1" w:styleId="Heading7Char">
    <w:name w:val="Heading 7 Char"/>
    <w:basedOn w:val="DefaultParagraphFont"/>
    <w:link w:val="Heading7"/>
    <w:uiPriority w:val="9"/>
    <w:semiHidden/>
    <w:rsid w:val="005374AB"/>
    <w:rPr>
      <w:rFonts w:asciiTheme="majorHAnsi" w:eastAsiaTheme="majorEastAsia" w:hAnsiTheme="majorHAnsi" w:cstheme="majorBidi"/>
      <w:i/>
      <w:iCs/>
      <w:color w:val="1F3763" w:themeColor="accent1" w:themeShade="7F"/>
    </w:rPr>
  </w:style>
  <w:style w:type="character" w:styleId="Mention">
    <w:name w:val="Mention"/>
    <w:basedOn w:val="DefaultParagraphFont"/>
    <w:uiPriority w:val="99"/>
    <w:semiHidden/>
    <w:unhideWhenUsed/>
    <w:rsid w:val="005374AB"/>
    <w:rPr>
      <w:color w:val="2B579A"/>
      <w:shd w:val="clear" w:color="auto" w:fill="E6E6E6"/>
    </w:rPr>
  </w:style>
  <w:style w:type="character" w:customStyle="1" w:styleId="Heading4Char">
    <w:name w:val="Heading 4 Char"/>
    <w:basedOn w:val="DefaultParagraphFont"/>
    <w:link w:val="Heading4"/>
    <w:uiPriority w:val="9"/>
    <w:semiHidden/>
    <w:rsid w:val="005C2B8D"/>
    <w:rPr>
      <w:rFonts w:asciiTheme="majorHAnsi" w:eastAsiaTheme="majorEastAsia" w:hAnsiTheme="majorHAnsi" w:cstheme="majorBidi"/>
      <w:i/>
      <w:iCs/>
      <w:color w:val="2F5496" w:themeColor="accent1" w:themeShade="BF"/>
    </w:rPr>
  </w:style>
  <w:style w:type="paragraph" w:customStyle="1" w:styleId="FootnoteText1">
    <w:name w:val="Footnote Text1"/>
    <w:basedOn w:val="Normal"/>
    <w:next w:val="FootnoteText"/>
    <w:link w:val="FootnoteTextChar"/>
    <w:uiPriority w:val="99"/>
    <w:semiHidden/>
    <w:unhideWhenUsed/>
    <w:rsid w:val="0073054D"/>
    <w:pPr>
      <w:spacing w:after="0" w:line="240" w:lineRule="auto"/>
    </w:pPr>
    <w:rPr>
      <w:sz w:val="20"/>
      <w:szCs w:val="20"/>
    </w:rPr>
  </w:style>
  <w:style w:type="character" w:customStyle="1" w:styleId="FootnoteTextChar">
    <w:name w:val="Footnote Text Char"/>
    <w:basedOn w:val="DefaultParagraphFont"/>
    <w:link w:val="FootnoteText1"/>
    <w:semiHidden/>
    <w:rsid w:val="0073054D"/>
    <w:rPr>
      <w:sz w:val="20"/>
      <w:szCs w:val="20"/>
    </w:rPr>
  </w:style>
  <w:style w:type="character" w:styleId="FootnoteReference">
    <w:name w:val="footnote reference"/>
    <w:basedOn w:val="DefaultParagraphFont"/>
    <w:unhideWhenUsed/>
    <w:rsid w:val="0073054D"/>
    <w:rPr>
      <w:vertAlign w:val="superscript"/>
    </w:rPr>
  </w:style>
  <w:style w:type="table" w:customStyle="1" w:styleId="TableGrid3">
    <w:name w:val="Table Grid3"/>
    <w:basedOn w:val="TableNormal"/>
    <w:next w:val="TableGrid"/>
    <w:rsid w:val="0073054D"/>
    <w:pPr>
      <w:spacing w:after="0" w:line="240" w:lineRule="auto"/>
    </w:pPr>
    <w:rPr>
      <w:rFonts w:eastAsia="MS Mincho"/>
      <w:lang w:val="en-NZ"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noteText">
    <w:name w:val="footnote text"/>
    <w:basedOn w:val="Normal"/>
    <w:link w:val="FootnoteTextChar1"/>
    <w:semiHidden/>
    <w:unhideWhenUsed/>
    <w:rsid w:val="0073054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73054D"/>
    <w:rPr>
      <w:sz w:val="20"/>
      <w:szCs w:val="20"/>
    </w:rPr>
  </w:style>
  <w:style w:type="table" w:styleId="TableGrid">
    <w:name w:val="Table Grid"/>
    <w:basedOn w:val="TableNormal"/>
    <w:uiPriority w:val="59"/>
    <w:rsid w:val="00730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074"/>
  </w:style>
  <w:style w:type="paragraph" w:styleId="Footer">
    <w:name w:val="footer"/>
    <w:basedOn w:val="Normal"/>
    <w:link w:val="FooterChar"/>
    <w:uiPriority w:val="99"/>
    <w:unhideWhenUsed/>
    <w:rsid w:val="00550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074"/>
  </w:style>
  <w:style w:type="character" w:customStyle="1" w:styleId="WCPFCChar">
    <w:name w:val="WCPFC Char"/>
    <w:link w:val="WCPFC"/>
    <w:locked/>
    <w:rsid w:val="0038238E"/>
    <w:rPr>
      <w:rFonts w:ascii="Times New Roman" w:hAnsi="Times New Roman"/>
      <w:lang w:val="en-NZ" w:eastAsia="en-NZ"/>
    </w:rPr>
  </w:style>
  <w:style w:type="paragraph" w:customStyle="1" w:styleId="WCPFC">
    <w:name w:val="WCPFC"/>
    <w:link w:val="WCPFCChar"/>
    <w:qFormat/>
    <w:rsid w:val="0038238E"/>
    <w:pPr>
      <w:numPr>
        <w:numId w:val="2"/>
      </w:numPr>
      <w:snapToGrid w:val="0"/>
      <w:spacing w:after="240" w:line="240" w:lineRule="auto"/>
      <w:jc w:val="both"/>
    </w:pPr>
    <w:rPr>
      <w:rFonts w:ascii="Times New Roman" w:hAnsi="Times New Roman"/>
      <w:lang w:val="en-NZ" w:eastAsia="en-NZ"/>
    </w:rPr>
  </w:style>
  <w:style w:type="paragraph" w:styleId="ListParagraph">
    <w:name w:val="List Paragraph"/>
    <w:aliases w:val="123 List Paragraph,List Paragraph1,Recommendation,List Paragraph11,List Paragraph2,Colorful List - Accent 11,Colorful List - Accent 12,NAFO PR List Paragraph,ADB paragraph numbering,Liste 1,Bullets,List Paragraph nowy,References,ANNEX"/>
    <w:basedOn w:val="Normal"/>
    <w:link w:val="ListParagraphChar"/>
    <w:uiPriority w:val="1"/>
    <w:qFormat/>
    <w:rsid w:val="0038238E"/>
    <w:pPr>
      <w:spacing w:after="0" w:line="240" w:lineRule="auto"/>
      <w:ind w:left="720" w:hanging="720"/>
      <w:contextualSpacing/>
      <w:jc w:val="both"/>
    </w:pPr>
    <w:rPr>
      <w:rFonts w:ascii="Calibri" w:eastAsiaTheme="minorEastAsia" w:hAnsi="Calibri" w:cs="Times New Roman"/>
      <w:lang w:val="en-NZ"/>
    </w:rPr>
  </w:style>
  <w:style w:type="character" w:customStyle="1" w:styleId="ListParagraphChar">
    <w:name w:val="List Paragraph Char"/>
    <w:aliases w:val="123 List Paragraph Char,List Paragraph1 Char,Recommendation Char,List Paragraph11 Char,List Paragraph2 Char,Colorful List - Accent 11 Char,Colorful List - Accent 12 Char,NAFO PR List Paragraph Char,ADB paragraph numbering Char"/>
    <w:link w:val="ListParagraph"/>
    <w:uiPriority w:val="34"/>
    <w:qFormat/>
    <w:locked/>
    <w:rsid w:val="0038238E"/>
    <w:rPr>
      <w:rFonts w:ascii="Calibri" w:eastAsiaTheme="minorEastAsia" w:hAnsi="Calibri" w:cs="Times New Roman"/>
      <w:lang w:val="en-NZ"/>
    </w:rPr>
  </w:style>
  <w:style w:type="paragraph" w:styleId="BodyText">
    <w:name w:val="Body Text"/>
    <w:basedOn w:val="Normal"/>
    <w:link w:val="BodyTextChar"/>
    <w:uiPriority w:val="1"/>
    <w:qFormat/>
    <w:rsid w:val="003F50D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F50D6"/>
    <w:rPr>
      <w:rFonts w:ascii="Times New Roman" w:eastAsia="Times New Roman" w:hAnsi="Times New Roman"/>
      <w:sz w:val="24"/>
      <w:szCs w:val="24"/>
    </w:rPr>
  </w:style>
  <w:style w:type="paragraph" w:customStyle="1" w:styleId="TableParagraph">
    <w:name w:val="Table Paragraph"/>
    <w:basedOn w:val="Normal"/>
    <w:uiPriority w:val="1"/>
    <w:qFormat/>
    <w:rsid w:val="003F50D6"/>
    <w:pPr>
      <w:widowControl w:val="0"/>
      <w:spacing w:after="0" w:line="240" w:lineRule="auto"/>
    </w:pPr>
  </w:style>
  <w:style w:type="character" w:styleId="UnresolvedMention">
    <w:name w:val="Unresolved Mention"/>
    <w:basedOn w:val="DefaultParagraphFont"/>
    <w:uiPriority w:val="99"/>
    <w:semiHidden/>
    <w:unhideWhenUsed/>
    <w:rsid w:val="00416473"/>
    <w:rPr>
      <w:color w:val="808080"/>
      <w:shd w:val="clear" w:color="auto" w:fill="E6E6E6"/>
    </w:rPr>
  </w:style>
  <w:style w:type="paragraph" w:customStyle="1" w:styleId="Default">
    <w:name w:val="Default"/>
    <w:link w:val="DefaultChar"/>
    <w:rsid w:val="00416473"/>
    <w:pPr>
      <w:autoSpaceDE w:val="0"/>
      <w:autoSpaceDN w:val="0"/>
      <w:adjustRightInd w:val="0"/>
      <w:spacing w:after="0" w:line="240" w:lineRule="auto"/>
    </w:pPr>
    <w:rPr>
      <w:rFonts w:ascii="Times New Roman" w:eastAsiaTheme="minorEastAsia" w:hAnsi="Times New Roman" w:cs="Times New Roman"/>
      <w:color w:val="000000"/>
      <w:sz w:val="24"/>
      <w:szCs w:val="24"/>
      <w:lang w:val="en-NZ" w:eastAsia="en-NZ"/>
    </w:rPr>
  </w:style>
  <w:style w:type="paragraph" w:styleId="PlainText">
    <w:name w:val="Plain Text"/>
    <w:basedOn w:val="Normal"/>
    <w:link w:val="PlainTextChar"/>
    <w:uiPriority w:val="99"/>
    <w:unhideWhenUsed/>
    <w:rsid w:val="00416473"/>
    <w:pPr>
      <w:spacing w:after="0" w:line="240" w:lineRule="auto"/>
    </w:pPr>
    <w:rPr>
      <w:rFonts w:ascii="Consolas" w:eastAsiaTheme="minorEastAsia" w:hAnsi="Consolas"/>
      <w:sz w:val="21"/>
      <w:szCs w:val="21"/>
      <w:lang w:val="en-NZ" w:eastAsia="en-NZ"/>
    </w:rPr>
  </w:style>
  <w:style w:type="character" w:customStyle="1" w:styleId="PlainTextChar">
    <w:name w:val="Plain Text Char"/>
    <w:basedOn w:val="DefaultParagraphFont"/>
    <w:link w:val="PlainText"/>
    <w:uiPriority w:val="99"/>
    <w:rsid w:val="00416473"/>
    <w:rPr>
      <w:rFonts w:ascii="Consolas" w:eastAsiaTheme="minorEastAsia" w:hAnsi="Consolas"/>
      <w:sz w:val="21"/>
      <w:szCs w:val="21"/>
      <w:lang w:val="en-NZ" w:eastAsia="en-NZ"/>
    </w:rPr>
  </w:style>
  <w:style w:type="paragraph" w:styleId="NoSpacing">
    <w:name w:val="No Spacing"/>
    <w:uiPriority w:val="1"/>
    <w:qFormat/>
    <w:rsid w:val="00416473"/>
    <w:pPr>
      <w:spacing w:after="0" w:line="240" w:lineRule="auto"/>
    </w:pPr>
    <w:rPr>
      <w:rFonts w:eastAsiaTheme="minorEastAsia"/>
      <w:lang w:val="en-NZ" w:eastAsia="en-NZ"/>
    </w:rPr>
  </w:style>
  <w:style w:type="character" w:customStyle="1" w:styleId="DefaultChar">
    <w:name w:val="Default Char"/>
    <w:basedOn w:val="DefaultParagraphFont"/>
    <w:link w:val="Default"/>
    <w:locked/>
    <w:rsid w:val="00416473"/>
    <w:rPr>
      <w:rFonts w:ascii="Times New Roman" w:eastAsiaTheme="minorEastAsia" w:hAnsi="Times New Roman" w:cs="Times New Roman"/>
      <w:color w:val="000000"/>
      <w:sz w:val="24"/>
      <w:szCs w:val="24"/>
      <w:lang w:val="en-NZ" w:eastAsia="en-NZ"/>
    </w:rPr>
  </w:style>
  <w:style w:type="character" w:customStyle="1" w:styleId="Heading2Char">
    <w:name w:val="Heading 2 Char"/>
    <w:basedOn w:val="DefaultParagraphFont"/>
    <w:link w:val="Heading2"/>
    <w:uiPriority w:val="9"/>
    <w:rsid w:val="00416473"/>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5C7178"/>
    <w:pPr>
      <w:spacing w:after="100"/>
      <w:ind w:left="220"/>
    </w:pPr>
  </w:style>
  <w:style w:type="paragraph" w:customStyle="1" w:styleId="SCa">
    <w:name w:val="SC a"/>
    <w:basedOn w:val="ListParagraph"/>
    <w:link w:val="SCaChar"/>
    <w:qFormat/>
    <w:rsid w:val="00857BD1"/>
    <w:pPr>
      <w:tabs>
        <w:tab w:val="left" w:pos="1080"/>
      </w:tabs>
      <w:adjustRightInd w:val="0"/>
      <w:snapToGrid w:val="0"/>
      <w:spacing w:after="240"/>
      <w:ind w:left="1080" w:firstLine="0"/>
      <w:contextualSpacing w:val="0"/>
    </w:pPr>
    <w:rPr>
      <w:rFonts w:ascii="Times New Roman" w:eastAsia="Batang" w:hAnsi="Times New Roman"/>
      <w:b/>
      <w:lang w:eastAsia="ko-KR"/>
    </w:rPr>
  </w:style>
  <w:style w:type="character" w:customStyle="1" w:styleId="SCaChar">
    <w:name w:val="SC a Char"/>
    <w:basedOn w:val="ListParagraphChar"/>
    <w:link w:val="SCa"/>
    <w:rsid w:val="00857BD1"/>
    <w:rPr>
      <w:rFonts w:ascii="Times New Roman" w:eastAsia="Batang" w:hAnsi="Times New Roman" w:cs="Times New Roman"/>
      <w:b/>
      <w:lang w:val="en-NZ" w:eastAsia="ko-KR"/>
    </w:rPr>
  </w:style>
  <w:style w:type="table" w:customStyle="1" w:styleId="PlainTable41">
    <w:name w:val="Plain Table 41"/>
    <w:basedOn w:val="TableNormal"/>
    <w:uiPriority w:val="44"/>
    <w:rsid w:val="00857BD1"/>
    <w:pPr>
      <w:spacing w:after="0" w:line="240" w:lineRule="auto"/>
    </w:pPr>
    <w:rPr>
      <w:rFonts w:ascii="Cambria" w:eastAsia="MS Mincho" w:hAnsi="Cambria" w:cs="Cambria"/>
      <w:color w:val="000000"/>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yperlink" Target="https://www.wcpfc.int/node/31010"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wcpfc.int/node/19472" TargetMode="External"/><Relationship Id="rId2" Type="http://schemas.openxmlformats.org/officeDocument/2006/relationships/numbering" Target="numbering.xml"/><Relationship Id="rId16" Type="http://schemas.openxmlformats.org/officeDocument/2006/relationships/hyperlink" Target="http://www.wcpfc.int/node/19472" TargetMode="External"/><Relationship Id="rId20" Type="http://schemas.openxmlformats.org/officeDocument/2006/relationships/hyperlink" Target="https://www.wcpfc.int/node/192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hyperlink" Target="https://www.wcpfc.int/node/32155" TargetMode="External"/><Relationship Id="rId19" Type="http://schemas.openxmlformats.org/officeDocument/2006/relationships/hyperlink" Target="http://isc.fra.go.jp/reports/isc/isc18_reports.html" TargetMode="External"/><Relationship Id="rId4" Type="http://schemas.openxmlformats.org/officeDocument/2006/relationships/settings" Target="settings.xml"/><Relationship Id="rId9" Type="http://schemas.openxmlformats.org/officeDocument/2006/relationships/hyperlink" Target="https://www.wcpfc.int/node/32155"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7A299D-3790-42EF-BAB2-093ED6A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J. Beeching</dc:creator>
  <cp:keywords/>
  <dc:description/>
  <cp:lastModifiedBy>SungKwon Soh</cp:lastModifiedBy>
  <cp:revision>2</cp:revision>
  <dcterms:created xsi:type="dcterms:W3CDTF">2019-11-18T04:46:00Z</dcterms:created>
  <dcterms:modified xsi:type="dcterms:W3CDTF">2019-11-18T04:46:00Z</dcterms:modified>
</cp:coreProperties>
</file>