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CE9D8" w14:textId="77777777" w:rsidR="00F44783" w:rsidRPr="00D46683" w:rsidRDefault="00F44783" w:rsidP="00F44783">
      <w:pPr>
        <w:autoSpaceDE w:val="0"/>
        <w:autoSpaceDN w:val="0"/>
        <w:adjustRightInd w:val="0"/>
        <w:snapToGrid w:val="0"/>
        <w:spacing w:after="0" w:line="240" w:lineRule="auto"/>
        <w:jc w:val="center"/>
        <w:rPr>
          <w:rFonts w:ascii="Times New Roman" w:hAnsi="Times New Roman" w:cs="Times New Roman"/>
          <w:b/>
          <w:bCs/>
          <w:lang w:val="en-AU" w:eastAsia="en-NZ"/>
        </w:rPr>
      </w:pPr>
      <w:bookmarkStart w:id="0" w:name="_GoBack"/>
      <w:bookmarkEnd w:id="0"/>
    </w:p>
    <w:p w14:paraId="6413EB8B" w14:textId="77777777" w:rsidR="00F44783" w:rsidRPr="00D46683" w:rsidRDefault="00F44783" w:rsidP="00F44783">
      <w:pPr>
        <w:autoSpaceDE w:val="0"/>
        <w:autoSpaceDN w:val="0"/>
        <w:adjustRightInd w:val="0"/>
        <w:snapToGrid w:val="0"/>
        <w:spacing w:after="0" w:line="240" w:lineRule="auto"/>
        <w:jc w:val="center"/>
        <w:rPr>
          <w:rFonts w:ascii="Times New Roman" w:hAnsi="Times New Roman" w:cs="Times New Roman"/>
          <w:b/>
          <w:bCs/>
          <w:lang w:val="en-AU" w:eastAsia="en-NZ"/>
        </w:rPr>
      </w:pPr>
    </w:p>
    <w:p w14:paraId="6B4018CC" w14:textId="77777777" w:rsidR="00F44783" w:rsidRPr="00D46683" w:rsidRDefault="00F44783" w:rsidP="00F44783">
      <w:pPr>
        <w:autoSpaceDE w:val="0"/>
        <w:autoSpaceDN w:val="0"/>
        <w:adjustRightInd w:val="0"/>
        <w:snapToGrid w:val="0"/>
        <w:spacing w:after="0" w:line="240" w:lineRule="auto"/>
        <w:jc w:val="center"/>
        <w:rPr>
          <w:rFonts w:ascii="Times New Roman" w:hAnsi="Times New Roman" w:cs="Times New Roman"/>
          <w:b/>
          <w:bCs/>
          <w:lang w:val="en-AU" w:eastAsia="en-NZ"/>
        </w:rPr>
      </w:pPr>
      <w:r w:rsidRPr="00D46683">
        <w:rPr>
          <w:rFonts w:ascii="Times New Roman" w:hAnsi="Times New Roman" w:cs="Times New Roman"/>
          <w:noProof/>
          <w:lang w:eastAsia="zh-CN" w:bidi="mn-Mong-CN"/>
        </w:rPr>
        <w:drawing>
          <wp:inline distT="0" distB="0" distL="0" distR="0" wp14:anchorId="4599FCBC" wp14:editId="3F818AB8">
            <wp:extent cx="2106295" cy="1104900"/>
            <wp:effectExtent l="0" t="0" r="0" b="0"/>
            <wp:docPr id="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6295" cy="1104900"/>
                    </a:xfrm>
                    <a:prstGeom prst="rect">
                      <a:avLst/>
                    </a:prstGeom>
                    <a:noFill/>
                    <a:ln>
                      <a:noFill/>
                    </a:ln>
                  </pic:spPr>
                </pic:pic>
              </a:graphicData>
            </a:graphic>
          </wp:inline>
        </w:drawing>
      </w:r>
    </w:p>
    <w:p w14:paraId="15043A21" w14:textId="77777777" w:rsidR="00F44783" w:rsidRPr="00D46683" w:rsidRDefault="00F44783" w:rsidP="00F44783">
      <w:pPr>
        <w:autoSpaceDE w:val="0"/>
        <w:autoSpaceDN w:val="0"/>
        <w:adjustRightInd w:val="0"/>
        <w:snapToGrid w:val="0"/>
        <w:spacing w:after="0" w:line="240" w:lineRule="auto"/>
        <w:jc w:val="center"/>
        <w:rPr>
          <w:rFonts w:ascii="Times New Roman" w:hAnsi="Times New Roman" w:cs="Times New Roman"/>
          <w:b/>
          <w:bCs/>
          <w:lang w:val="en-AU" w:eastAsia="en-NZ"/>
        </w:rPr>
      </w:pPr>
    </w:p>
    <w:p w14:paraId="5E36CCBE" w14:textId="77777777" w:rsidR="00F44783" w:rsidRPr="00D46683" w:rsidRDefault="00F44783" w:rsidP="00F44783">
      <w:pPr>
        <w:autoSpaceDE w:val="0"/>
        <w:autoSpaceDN w:val="0"/>
        <w:adjustRightInd w:val="0"/>
        <w:snapToGrid w:val="0"/>
        <w:spacing w:after="0" w:line="240" w:lineRule="auto"/>
        <w:jc w:val="center"/>
        <w:rPr>
          <w:rFonts w:ascii="Times New Roman" w:hAnsi="Times New Roman" w:cs="Times New Roman"/>
          <w:b/>
          <w:bCs/>
          <w:lang w:val="en-AU" w:eastAsia="en-NZ"/>
        </w:rPr>
      </w:pPr>
    </w:p>
    <w:p w14:paraId="77597D2C" w14:textId="77777777" w:rsidR="00F44783" w:rsidRPr="00D46683" w:rsidRDefault="00F44783" w:rsidP="00F44783">
      <w:pPr>
        <w:adjustRightInd w:val="0"/>
        <w:snapToGrid w:val="0"/>
        <w:spacing w:after="0" w:line="240" w:lineRule="auto"/>
        <w:jc w:val="center"/>
        <w:rPr>
          <w:rFonts w:ascii="Times New Roman" w:hAnsi="Times New Roman" w:cs="Times New Roman"/>
          <w:b/>
          <w:lang w:val="en-NZ"/>
        </w:rPr>
      </w:pPr>
      <w:r w:rsidRPr="00D46683">
        <w:rPr>
          <w:rFonts w:ascii="Times New Roman" w:hAnsi="Times New Roman" w:cs="Times New Roman"/>
          <w:b/>
          <w:lang w:val="en-NZ"/>
        </w:rPr>
        <w:t xml:space="preserve">The Commission for the Conservation and Management of </w:t>
      </w:r>
    </w:p>
    <w:p w14:paraId="3F23ED42" w14:textId="77777777" w:rsidR="00F44783" w:rsidRPr="00D46683" w:rsidRDefault="00F44783" w:rsidP="00F44783">
      <w:pPr>
        <w:adjustRightInd w:val="0"/>
        <w:snapToGrid w:val="0"/>
        <w:spacing w:after="0" w:line="240" w:lineRule="auto"/>
        <w:jc w:val="center"/>
        <w:rPr>
          <w:rFonts w:ascii="Times New Roman" w:hAnsi="Times New Roman" w:cs="Times New Roman"/>
          <w:b/>
          <w:lang w:val="en-NZ"/>
        </w:rPr>
      </w:pPr>
      <w:r w:rsidRPr="00D46683">
        <w:rPr>
          <w:rFonts w:ascii="Times New Roman" w:hAnsi="Times New Roman" w:cs="Times New Roman"/>
          <w:b/>
          <w:lang w:val="en-NZ"/>
        </w:rPr>
        <w:t xml:space="preserve">Highly Migratory Fish Stocks in the Western and Central Pacific Ocean </w:t>
      </w:r>
    </w:p>
    <w:p w14:paraId="6051C295" w14:textId="77777777" w:rsidR="00F44783" w:rsidRPr="00D46683" w:rsidRDefault="00F44783" w:rsidP="00F44783">
      <w:pPr>
        <w:adjustRightInd w:val="0"/>
        <w:snapToGrid w:val="0"/>
        <w:spacing w:after="0" w:line="240" w:lineRule="auto"/>
        <w:jc w:val="center"/>
        <w:rPr>
          <w:rFonts w:ascii="Times New Roman" w:hAnsi="Times New Roman" w:cs="Times New Roman"/>
          <w:b/>
          <w:lang w:val="en-NZ"/>
        </w:rPr>
      </w:pPr>
    </w:p>
    <w:p w14:paraId="3BA2C484" w14:textId="77777777" w:rsidR="00F44783" w:rsidRPr="00D46683" w:rsidRDefault="00F44783" w:rsidP="00F44783">
      <w:pPr>
        <w:adjustRightInd w:val="0"/>
        <w:snapToGrid w:val="0"/>
        <w:spacing w:after="0" w:line="240" w:lineRule="auto"/>
        <w:jc w:val="center"/>
        <w:rPr>
          <w:rFonts w:ascii="Times New Roman" w:hAnsi="Times New Roman" w:cs="Times New Roman"/>
          <w:b/>
          <w:lang w:val="en-NZ"/>
        </w:rPr>
      </w:pPr>
    </w:p>
    <w:p w14:paraId="6E59D57D" w14:textId="77777777" w:rsidR="00F44783" w:rsidRPr="00D46683" w:rsidRDefault="00F44783" w:rsidP="00F44783">
      <w:pPr>
        <w:adjustRightInd w:val="0"/>
        <w:snapToGrid w:val="0"/>
        <w:spacing w:after="0" w:line="240" w:lineRule="auto"/>
        <w:jc w:val="center"/>
        <w:rPr>
          <w:rFonts w:ascii="Times New Roman" w:hAnsi="Times New Roman" w:cs="Times New Roman"/>
          <w:b/>
          <w:lang w:val="en-NZ"/>
        </w:rPr>
      </w:pPr>
    </w:p>
    <w:p w14:paraId="07601EF0" w14:textId="77777777" w:rsidR="00F44783" w:rsidRPr="00D46683" w:rsidRDefault="00F44783" w:rsidP="00F44783">
      <w:pPr>
        <w:adjustRightInd w:val="0"/>
        <w:snapToGrid w:val="0"/>
        <w:spacing w:after="0" w:line="240" w:lineRule="auto"/>
        <w:jc w:val="center"/>
        <w:rPr>
          <w:rFonts w:ascii="Times New Roman" w:hAnsi="Times New Roman" w:cs="Times New Roman"/>
          <w:b/>
          <w:caps/>
          <w:lang w:val="en-NZ"/>
        </w:rPr>
      </w:pPr>
      <w:r w:rsidRPr="00D46683">
        <w:rPr>
          <w:rFonts w:ascii="Times New Roman" w:hAnsi="Times New Roman" w:cs="Times New Roman"/>
          <w:b/>
          <w:caps/>
          <w:lang w:val="en-NZ"/>
        </w:rPr>
        <w:t>Scientific Committee</w:t>
      </w:r>
    </w:p>
    <w:p w14:paraId="0D8FA0DA" w14:textId="20774C1F" w:rsidR="00F44783" w:rsidRDefault="00F44783" w:rsidP="00F44783">
      <w:pPr>
        <w:adjustRightInd w:val="0"/>
        <w:snapToGrid w:val="0"/>
        <w:spacing w:after="0" w:line="240" w:lineRule="auto"/>
        <w:jc w:val="center"/>
        <w:rPr>
          <w:rFonts w:ascii="Times New Roman" w:hAnsi="Times New Roman" w:cs="Times New Roman"/>
          <w:b/>
          <w:lang w:val="en-NZ"/>
        </w:rPr>
      </w:pPr>
    </w:p>
    <w:p w14:paraId="1BAFF9C3" w14:textId="77777777" w:rsidR="00D46683" w:rsidRPr="00D46683" w:rsidRDefault="00D46683" w:rsidP="00F44783">
      <w:pPr>
        <w:adjustRightInd w:val="0"/>
        <w:snapToGrid w:val="0"/>
        <w:spacing w:after="0" w:line="240" w:lineRule="auto"/>
        <w:jc w:val="center"/>
        <w:rPr>
          <w:rFonts w:ascii="Times New Roman" w:hAnsi="Times New Roman" w:cs="Times New Roman"/>
          <w:b/>
          <w:lang w:val="en-NZ"/>
        </w:rPr>
      </w:pPr>
    </w:p>
    <w:p w14:paraId="5A1A7F7E" w14:textId="77777777" w:rsidR="00F44783" w:rsidRPr="00D46683" w:rsidRDefault="00F44783" w:rsidP="00F44783">
      <w:pPr>
        <w:adjustRightInd w:val="0"/>
        <w:snapToGrid w:val="0"/>
        <w:spacing w:after="0" w:line="240" w:lineRule="auto"/>
        <w:jc w:val="center"/>
        <w:rPr>
          <w:rFonts w:ascii="Times New Roman" w:hAnsi="Times New Roman" w:cs="Times New Roman"/>
          <w:b/>
          <w:caps/>
          <w:lang w:val="en-NZ"/>
        </w:rPr>
      </w:pPr>
    </w:p>
    <w:p w14:paraId="6E7AC49A" w14:textId="7FCE36E6" w:rsidR="004B05DF" w:rsidRPr="00D46683" w:rsidRDefault="00DC50D2" w:rsidP="004B05DF">
      <w:pPr>
        <w:spacing w:after="0" w:line="240" w:lineRule="auto"/>
        <w:jc w:val="center"/>
        <w:rPr>
          <w:rFonts w:ascii="Times New Roman" w:hAnsi="Times New Roman" w:cs="Times New Roman"/>
          <w:b/>
          <w:sz w:val="28"/>
          <w:szCs w:val="28"/>
        </w:rPr>
      </w:pPr>
      <w:r w:rsidRPr="00D46683">
        <w:rPr>
          <w:rFonts w:ascii="Times New Roman Bold" w:hAnsi="Times New Roman Bold" w:cs="Times New Roman"/>
          <w:b/>
          <w:caps/>
          <w:sz w:val="28"/>
          <w:szCs w:val="28"/>
        </w:rPr>
        <w:t>South</w:t>
      </w:r>
      <w:r w:rsidR="00400113" w:rsidRPr="00D46683">
        <w:rPr>
          <w:rFonts w:ascii="Times New Roman Bold" w:hAnsi="Times New Roman Bold" w:cs="Times New Roman"/>
          <w:b/>
          <w:caps/>
          <w:sz w:val="28"/>
          <w:szCs w:val="28"/>
        </w:rPr>
        <w:t xml:space="preserve"> </w:t>
      </w:r>
      <w:r w:rsidR="003F50D6" w:rsidRPr="00D46683">
        <w:rPr>
          <w:rFonts w:ascii="Times New Roman Bold" w:hAnsi="Times New Roman Bold" w:cs="Times New Roman"/>
          <w:b/>
          <w:caps/>
          <w:sz w:val="28"/>
          <w:szCs w:val="28"/>
        </w:rPr>
        <w:t xml:space="preserve">Pacific </w:t>
      </w:r>
      <w:r w:rsidR="00400113" w:rsidRPr="00D46683">
        <w:rPr>
          <w:rFonts w:ascii="Times New Roman Bold" w:hAnsi="Times New Roman Bold" w:cs="Times New Roman"/>
          <w:b/>
          <w:caps/>
          <w:sz w:val="28"/>
          <w:szCs w:val="28"/>
        </w:rPr>
        <w:t>Swordfish</w:t>
      </w:r>
      <w:r w:rsidR="004B05DF" w:rsidRPr="00D46683">
        <w:rPr>
          <w:rFonts w:ascii="Times New Roman" w:hAnsi="Times New Roman" w:cs="Times New Roman"/>
          <w:b/>
          <w:sz w:val="28"/>
          <w:szCs w:val="28"/>
        </w:rPr>
        <w:t xml:space="preserve"> (</w:t>
      </w:r>
      <w:r w:rsidR="00400113" w:rsidRPr="00D46683">
        <w:rPr>
          <w:rFonts w:ascii="Times New Roman" w:hAnsi="Times New Roman" w:cs="Times New Roman"/>
          <w:b/>
          <w:i/>
          <w:sz w:val="28"/>
          <w:szCs w:val="28"/>
        </w:rPr>
        <w:t>Xiphias gladius</w:t>
      </w:r>
      <w:r w:rsidR="004B05DF" w:rsidRPr="00D46683">
        <w:rPr>
          <w:rFonts w:ascii="Times New Roman" w:hAnsi="Times New Roman" w:cs="Times New Roman"/>
          <w:b/>
          <w:sz w:val="28"/>
          <w:szCs w:val="28"/>
        </w:rPr>
        <w:t>)</w:t>
      </w:r>
    </w:p>
    <w:p w14:paraId="53F6CE40" w14:textId="77777777" w:rsidR="00F44783" w:rsidRPr="00D46683" w:rsidRDefault="00F44783" w:rsidP="004B05DF">
      <w:pPr>
        <w:spacing w:after="0" w:line="240" w:lineRule="auto"/>
        <w:jc w:val="center"/>
        <w:rPr>
          <w:rFonts w:ascii="Times New Roman" w:hAnsi="Times New Roman" w:cs="Times New Roman"/>
          <w:b/>
          <w:sz w:val="28"/>
          <w:szCs w:val="28"/>
        </w:rPr>
      </w:pPr>
    </w:p>
    <w:p w14:paraId="76D54200" w14:textId="73AEBAAE" w:rsidR="004B05DF" w:rsidRPr="00D46683" w:rsidRDefault="004B05DF" w:rsidP="004B05DF">
      <w:pPr>
        <w:spacing w:after="0" w:line="240" w:lineRule="auto"/>
        <w:jc w:val="center"/>
        <w:rPr>
          <w:rFonts w:ascii="Times New Roman" w:hAnsi="Times New Roman" w:cs="Times New Roman"/>
          <w:bCs/>
          <w:caps/>
        </w:rPr>
      </w:pPr>
      <w:r w:rsidRPr="00D46683">
        <w:rPr>
          <w:rFonts w:ascii="Times New Roman" w:hAnsi="Times New Roman" w:cs="Times New Roman"/>
          <w:bCs/>
          <w:caps/>
        </w:rPr>
        <w:t xml:space="preserve">Stock Status </w:t>
      </w:r>
      <w:r w:rsidR="00F44783" w:rsidRPr="00D46683">
        <w:rPr>
          <w:rFonts w:ascii="Times New Roman" w:hAnsi="Times New Roman" w:cs="Times New Roman"/>
          <w:bCs/>
          <w:caps/>
        </w:rPr>
        <w:t>AND</w:t>
      </w:r>
      <w:r w:rsidRPr="00D46683">
        <w:rPr>
          <w:rFonts w:ascii="Times New Roman" w:hAnsi="Times New Roman" w:cs="Times New Roman"/>
          <w:bCs/>
          <w:caps/>
        </w:rPr>
        <w:t xml:space="preserve"> Management Advice</w:t>
      </w:r>
    </w:p>
    <w:p w14:paraId="6E51F627" w14:textId="64FDCE8F" w:rsidR="004B05DF" w:rsidRDefault="004B05DF" w:rsidP="004B05DF">
      <w:pPr>
        <w:spacing w:after="0" w:line="240" w:lineRule="auto"/>
        <w:rPr>
          <w:rFonts w:ascii="Times New Roman" w:hAnsi="Times New Roman" w:cs="Times New Roman"/>
          <w:b/>
        </w:rPr>
      </w:pPr>
    </w:p>
    <w:p w14:paraId="77EA2427" w14:textId="6C79F50F" w:rsidR="00D46683" w:rsidRDefault="00D46683" w:rsidP="004B05DF">
      <w:pPr>
        <w:spacing w:after="0" w:line="240" w:lineRule="auto"/>
        <w:rPr>
          <w:rFonts w:ascii="Times New Roman" w:hAnsi="Times New Roman" w:cs="Times New Roman"/>
          <w:b/>
        </w:rPr>
      </w:pPr>
    </w:p>
    <w:p w14:paraId="1DBB3B42" w14:textId="32DD21BA" w:rsidR="00D46683" w:rsidRDefault="00D46683" w:rsidP="004B05DF">
      <w:pPr>
        <w:spacing w:after="0" w:line="240" w:lineRule="auto"/>
        <w:rPr>
          <w:rFonts w:ascii="Times New Roman" w:hAnsi="Times New Roman" w:cs="Times New Roman"/>
          <w:b/>
        </w:rPr>
      </w:pPr>
    </w:p>
    <w:p w14:paraId="6863B2BC" w14:textId="53CCD227" w:rsidR="00D46683" w:rsidRDefault="00D46683" w:rsidP="004B05DF">
      <w:pPr>
        <w:spacing w:after="0" w:line="240" w:lineRule="auto"/>
        <w:rPr>
          <w:rFonts w:ascii="Times New Roman" w:hAnsi="Times New Roman" w:cs="Times New Roman"/>
          <w:b/>
        </w:rPr>
      </w:pPr>
    </w:p>
    <w:p w14:paraId="73A705AB" w14:textId="699179B7" w:rsidR="00D46683" w:rsidRDefault="00D46683" w:rsidP="004B05DF">
      <w:pPr>
        <w:spacing w:after="0" w:line="240" w:lineRule="auto"/>
        <w:rPr>
          <w:rFonts w:ascii="Times New Roman" w:hAnsi="Times New Roman" w:cs="Times New Roman"/>
          <w:b/>
        </w:rPr>
      </w:pPr>
    </w:p>
    <w:p w14:paraId="0CF7406B" w14:textId="046F01AC" w:rsidR="00D46683" w:rsidRDefault="00D46683" w:rsidP="004B05DF">
      <w:pPr>
        <w:spacing w:after="0" w:line="240" w:lineRule="auto"/>
        <w:rPr>
          <w:rFonts w:ascii="Times New Roman" w:hAnsi="Times New Roman" w:cs="Times New Roman"/>
          <w:b/>
        </w:rPr>
      </w:pPr>
    </w:p>
    <w:p w14:paraId="319FCAD3" w14:textId="5A34C1FD" w:rsidR="00D46683" w:rsidRDefault="00D46683" w:rsidP="004B05DF">
      <w:pPr>
        <w:spacing w:after="0" w:line="240" w:lineRule="auto"/>
        <w:rPr>
          <w:rFonts w:ascii="Times New Roman" w:hAnsi="Times New Roman" w:cs="Times New Roman"/>
          <w:b/>
        </w:rPr>
      </w:pPr>
    </w:p>
    <w:p w14:paraId="3502EFBC" w14:textId="4CB3DD8E" w:rsidR="00D46683" w:rsidRDefault="00D46683" w:rsidP="004B05DF">
      <w:pPr>
        <w:spacing w:after="0" w:line="240" w:lineRule="auto"/>
        <w:rPr>
          <w:rFonts w:ascii="Times New Roman" w:hAnsi="Times New Roman" w:cs="Times New Roman"/>
          <w:b/>
        </w:rPr>
      </w:pPr>
    </w:p>
    <w:p w14:paraId="2B477DC2" w14:textId="70B047E7" w:rsidR="00D46683" w:rsidRDefault="00D46683" w:rsidP="004B05DF">
      <w:pPr>
        <w:spacing w:after="0" w:line="240" w:lineRule="auto"/>
        <w:rPr>
          <w:rFonts w:ascii="Times New Roman" w:hAnsi="Times New Roman" w:cs="Times New Roman"/>
          <w:b/>
        </w:rPr>
      </w:pPr>
    </w:p>
    <w:p w14:paraId="35C34D3F" w14:textId="77777777" w:rsidR="00D46683" w:rsidRPr="00D46683" w:rsidRDefault="00D46683" w:rsidP="004B05DF">
      <w:pPr>
        <w:spacing w:after="0" w:line="240" w:lineRule="auto"/>
        <w:rPr>
          <w:rFonts w:ascii="Times New Roman" w:hAnsi="Times New Roman" w:cs="Times New Roman"/>
          <w:b/>
        </w:rPr>
      </w:pPr>
    </w:p>
    <w:sdt>
      <w:sdtPr>
        <w:rPr>
          <w:rFonts w:ascii="Times New Roman" w:eastAsiaTheme="minorHAnsi" w:hAnsi="Times New Roman" w:cs="Times New Roman"/>
          <w:color w:val="auto"/>
          <w:sz w:val="22"/>
          <w:szCs w:val="22"/>
        </w:rPr>
        <w:id w:val="-1203621396"/>
        <w:docPartObj>
          <w:docPartGallery w:val="Table of Contents"/>
          <w:docPartUnique/>
        </w:docPartObj>
      </w:sdtPr>
      <w:sdtEndPr>
        <w:rPr>
          <w:b/>
          <w:bCs/>
          <w:noProof/>
        </w:rPr>
      </w:sdtEndPr>
      <w:sdtContent>
        <w:p w14:paraId="595D359F" w14:textId="77777777" w:rsidR="004B05DF" w:rsidRPr="00D46683" w:rsidRDefault="004B05DF" w:rsidP="00D46683">
          <w:pPr>
            <w:pStyle w:val="TOCHeading"/>
            <w:adjustRightInd w:val="0"/>
            <w:snapToGrid w:val="0"/>
            <w:spacing w:before="0" w:after="240" w:line="240" w:lineRule="auto"/>
            <w:rPr>
              <w:rFonts w:ascii="Times New Roman" w:hAnsi="Times New Roman" w:cs="Times New Roman"/>
            </w:rPr>
          </w:pPr>
          <w:r w:rsidRPr="00D46683">
            <w:rPr>
              <w:rFonts w:ascii="Times New Roman" w:hAnsi="Times New Roman" w:cs="Times New Roman"/>
            </w:rPr>
            <w:t>Contents</w:t>
          </w:r>
        </w:p>
        <w:p w14:paraId="16903890" w14:textId="0561EE1D" w:rsidR="00D46683" w:rsidRDefault="004B05DF" w:rsidP="00D46683">
          <w:pPr>
            <w:pStyle w:val="TOC1"/>
            <w:tabs>
              <w:tab w:val="right" w:leader="dot" w:pos="9350"/>
            </w:tabs>
            <w:adjustRightInd w:val="0"/>
            <w:snapToGrid w:val="0"/>
            <w:spacing w:after="240" w:line="240" w:lineRule="auto"/>
            <w:rPr>
              <w:rFonts w:eastAsiaTheme="minorEastAsia"/>
              <w:noProof/>
              <w:lang w:eastAsia="ko-KR"/>
            </w:rPr>
          </w:pPr>
          <w:r w:rsidRPr="00D46683">
            <w:rPr>
              <w:rFonts w:ascii="Times New Roman" w:hAnsi="Times New Roman" w:cs="Times New Roman"/>
            </w:rPr>
            <w:fldChar w:fldCharType="begin"/>
          </w:r>
          <w:r w:rsidRPr="00D46683">
            <w:rPr>
              <w:rFonts w:ascii="Times New Roman" w:hAnsi="Times New Roman" w:cs="Times New Roman"/>
            </w:rPr>
            <w:instrText xml:space="preserve"> TOC \o "1-3" \h \z \u </w:instrText>
          </w:r>
          <w:r w:rsidRPr="00D46683">
            <w:rPr>
              <w:rFonts w:ascii="Times New Roman" w:hAnsi="Times New Roman" w:cs="Times New Roman"/>
            </w:rPr>
            <w:fldChar w:fldCharType="separate"/>
          </w:r>
          <w:hyperlink w:anchor="_Toc24985152" w:history="1">
            <w:r w:rsidR="00D46683" w:rsidRPr="0099153B">
              <w:rPr>
                <w:rStyle w:val="Hyperlink"/>
                <w:rFonts w:ascii="Times New Roman" w:hAnsi="Times New Roman" w:cs="Times New Roman"/>
                <w:noProof/>
              </w:rPr>
              <w:t>SC15 2019 (NO STOCK ASSESSMENT)</w:t>
            </w:r>
            <w:r w:rsidR="00D46683">
              <w:rPr>
                <w:noProof/>
                <w:webHidden/>
              </w:rPr>
              <w:tab/>
            </w:r>
            <w:r w:rsidR="00D46683">
              <w:rPr>
                <w:noProof/>
                <w:webHidden/>
              </w:rPr>
              <w:fldChar w:fldCharType="begin"/>
            </w:r>
            <w:r w:rsidR="00D46683">
              <w:rPr>
                <w:noProof/>
                <w:webHidden/>
              </w:rPr>
              <w:instrText xml:space="preserve"> PAGEREF _Toc24985152 \h </w:instrText>
            </w:r>
            <w:r w:rsidR="00D46683">
              <w:rPr>
                <w:noProof/>
                <w:webHidden/>
              </w:rPr>
            </w:r>
            <w:r w:rsidR="00D46683">
              <w:rPr>
                <w:noProof/>
                <w:webHidden/>
              </w:rPr>
              <w:fldChar w:fldCharType="separate"/>
            </w:r>
            <w:r w:rsidR="00D46683">
              <w:rPr>
                <w:noProof/>
                <w:webHidden/>
              </w:rPr>
              <w:t>2</w:t>
            </w:r>
            <w:r w:rsidR="00D46683">
              <w:rPr>
                <w:noProof/>
                <w:webHidden/>
              </w:rPr>
              <w:fldChar w:fldCharType="end"/>
            </w:r>
          </w:hyperlink>
        </w:p>
        <w:p w14:paraId="35D6BB23" w14:textId="4D4D4A6D" w:rsidR="00D46683" w:rsidRPr="00D46683" w:rsidRDefault="00D46683" w:rsidP="00D46683">
          <w:pPr>
            <w:pStyle w:val="TOC1"/>
            <w:tabs>
              <w:tab w:val="right" w:leader="dot" w:pos="9350"/>
            </w:tabs>
            <w:adjustRightInd w:val="0"/>
            <w:snapToGrid w:val="0"/>
            <w:spacing w:after="240" w:line="240" w:lineRule="auto"/>
            <w:rPr>
              <w:rFonts w:eastAsiaTheme="minorEastAsia"/>
              <w:caps/>
              <w:noProof/>
              <w:lang w:eastAsia="ko-KR"/>
            </w:rPr>
          </w:pPr>
          <w:hyperlink w:anchor="_Toc24985153" w:history="1">
            <w:r w:rsidRPr="00D46683">
              <w:rPr>
                <w:rStyle w:val="Hyperlink"/>
                <w:rFonts w:ascii="Times New Roman" w:hAnsi="Times New Roman" w:cs="Times New Roman"/>
                <w:caps/>
                <w:noProof/>
              </w:rPr>
              <w:t>SC14 2018 (NO STOCK ASSESSMENT)</w:t>
            </w:r>
            <w:r w:rsidRPr="00D46683">
              <w:rPr>
                <w:caps/>
                <w:noProof/>
                <w:webHidden/>
              </w:rPr>
              <w:tab/>
            </w:r>
            <w:r w:rsidRPr="00D46683">
              <w:rPr>
                <w:caps/>
                <w:noProof/>
                <w:webHidden/>
              </w:rPr>
              <w:fldChar w:fldCharType="begin"/>
            </w:r>
            <w:r w:rsidRPr="00D46683">
              <w:rPr>
                <w:caps/>
                <w:noProof/>
                <w:webHidden/>
              </w:rPr>
              <w:instrText xml:space="preserve"> PAGEREF _Toc24985153 \h </w:instrText>
            </w:r>
            <w:r w:rsidRPr="00D46683">
              <w:rPr>
                <w:caps/>
                <w:noProof/>
                <w:webHidden/>
              </w:rPr>
            </w:r>
            <w:r w:rsidRPr="00D46683">
              <w:rPr>
                <w:caps/>
                <w:noProof/>
                <w:webHidden/>
              </w:rPr>
              <w:fldChar w:fldCharType="separate"/>
            </w:r>
            <w:r w:rsidRPr="00D46683">
              <w:rPr>
                <w:caps/>
                <w:noProof/>
                <w:webHidden/>
              </w:rPr>
              <w:t>2</w:t>
            </w:r>
            <w:r w:rsidRPr="00D46683">
              <w:rPr>
                <w:caps/>
                <w:noProof/>
                <w:webHidden/>
              </w:rPr>
              <w:fldChar w:fldCharType="end"/>
            </w:r>
          </w:hyperlink>
        </w:p>
        <w:p w14:paraId="09D60ADB" w14:textId="4D82144A" w:rsidR="00D46683" w:rsidRPr="00D46683" w:rsidRDefault="00D46683" w:rsidP="00D46683">
          <w:pPr>
            <w:pStyle w:val="TOC1"/>
            <w:tabs>
              <w:tab w:val="right" w:leader="dot" w:pos="9350"/>
            </w:tabs>
            <w:adjustRightInd w:val="0"/>
            <w:snapToGrid w:val="0"/>
            <w:spacing w:after="240" w:line="240" w:lineRule="auto"/>
            <w:rPr>
              <w:rFonts w:eastAsiaTheme="minorEastAsia"/>
              <w:caps/>
              <w:noProof/>
              <w:lang w:eastAsia="ko-KR"/>
            </w:rPr>
          </w:pPr>
          <w:hyperlink w:anchor="_Toc24985154" w:history="1">
            <w:r w:rsidRPr="00D46683">
              <w:rPr>
                <w:rStyle w:val="Hyperlink"/>
                <w:rFonts w:ascii="Times New Roman" w:hAnsi="Times New Roman" w:cs="Times New Roman"/>
                <w:caps/>
                <w:noProof/>
              </w:rPr>
              <w:t>SC13 2017 (Stock Assessment Conducted)</w:t>
            </w:r>
            <w:r w:rsidRPr="00D46683">
              <w:rPr>
                <w:caps/>
                <w:noProof/>
                <w:webHidden/>
              </w:rPr>
              <w:tab/>
            </w:r>
            <w:r w:rsidRPr="00D46683">
              <w:rPr>
                <w:caps/>
                <w:noProof/>
                <w:webHidden/>
              </w:rPr>
              <w:fldChar w:fldCharType="begin"/>
            </w:r>
            <w:r w:rsidRPr="00D46683">
              <w:rPr>
                <w:caps/>
                <w:noProof/>
                <w:webHidden/>
              </w:rPr>
              <w:instrText xml:space="preserve"> PAGEREF _Toc24985154 \h </w:instrText>
            </w:r>
            <w:r w:rsidRPr="00D46683">
              <w:rPr>
                <w:caps/>
                <w:noProof/>
                <w:webHidden/>
              </w:rPr>
            </w:r>
            <w:r w:rsidRPr="00D46683">
              <w:rPr>
                <w:caps/>
                <w:noProof/>
                <w:webHidden/>
              </w:rPr>
              <w:fldChar w:fldCharType="separate"/>
            </w:r>
            <w:r w:rsidRPr="00D46683">
              <w:rPr>
                <w:caps/>
                <w:noProof/>
                <w:webHidden/>
              </w:rPr>
              <w:t>2</w:t>
            </w:r>
            <w:r w:rsidRPr="00D46683">
              <w:rPr>
                <w:caps/>
                <w:noProof/>
                <w:webHidden/>
              </w:rPr>
              <w:fldChar w:fldCharType="end"/>
            </w:r>
          </w:hyperlink>
        </w:p>
        <w:p w14:paraId="736B1E91" w14:textId="7111D473" w:rsidR="00D46683" w:rsidRPr="00D46683" w:rsidRDefault="00D46683" w:rsidP="00D46683">
          <w:pPr>
            <w:pStyle w:val="TOC1"/>
            <w:tabs>
              <w:tab w:val="right" w:leader="dot" w:pos="9350"/>
            </w:tabs>
            <w:adjustRightInd w:val="0"/>
            <w:snapToGrid w:val="0"/>
            <w:spacing w:after="240" w:line="240" w:lineRule="auto"/>
            <w:rPr>
              <w:rFonts w:eastAsiaTheme="minorEastAsia"/>
              <w:noProof/>
              <w:lang w:eastAsia="ko-KR"/>
            </w:rPr>
          </w:pPr>
          <w:hyperlink w:anchor="_Toc24985155" w:history="1">
            <w:r w:rsidRPr="00D46683">
              <w:rPr>
                <w:rStyle w:val="Hyperlink"/>
                <w:rFonts w:ascii="Times New Roman" w:eastAsia="MS Mincho" w:hAnsi="Times New Roman" w:cs="Times New Roman"/>
                <w:caps/>
                <w:noProof/>
                <w:lang w:val="en-NZ" w:eastAsia="en-NZ"/>
              </w:rPr>
              <w:t>Useful References</w:t>
            </w:r>
            <w:r w:rsidRPr="00D46683">
              <w:rPr>
                <w:noProof/>
                <w:webHidden/>
              </w:rPr>
              <w:tab/>
            </w:r>
            <w:r w:rsidRPr="00D46683">
              <w:rPr>
                <w:noProof/>
                <w:webHidden/>
              </w:rPr>
              <w:fldChar w:fldCharType="begin"/>
            </w:r>
            <w:r w:rsidRPr="00D46683">
              <w:rPr>
                <w:noProof/>
                <w:webHidden/>
              </w:rPr>
              <w:instrText xml:space="preserve"> PAGEREF _Toc24985155 \h </w:instrText>
            </w:r>
            <w:r w:rsidRPr="00D46683">
              <w:rPr>
                <w:noProof/>
                <w:webHidden/>
              </w:rPr>
            </w:r>
            <w:r w:rsidRPr="00D46683">
              <w:rPr>
                <w:noProof/>
                <w:webHidden/>
              </w:rPr>
              <w:fldChar w:fldCharType="separate"/>
            </w:r>
            <w:r w:rsidRPr="00D46683">
              <w:rPr>
                <w:noProof/>
                <w:webHidden/>
              </w:rPr>
              <w:t>9</w:t>
            </w:r>
            <w:r w:rsidRPr="00D46683">
              <w:rPr>
                <w:noProof/>
                <w:webHidden/>
              </w:rPr>
              <w:fldChar w:fldCharType="end"/>
            </w:r>
          </w:hyperlink>
        </w:p>
        <w:p w14:paraId="6F80848D" w14:textId="0E56B25E" w:rsidR="00D46683" w:rsidRPr="00D46683" w:rsidRDefault="00D46683" w:rsidP="00D46683">
          <w:pPr>
            <w:pStyle w:val="TOC1"/>
            <w:tabs>
              <w:tab w:val="right" w:leader="dot" w:pos="9350"/>
            </w:tabs>
            <w:adjustRightInd w:val="0"/>
            <w:snapToGrid w:val="0"/>
            <w:spacing w:after="240" w:line="240" w:lineRule="auto"/>
            <w:rPr>
              <w:rFonts w:eastAsiaTheme="minorEastAsia"/>
              <w:noProof/>
              <w:lang w:eastAsia="ko-KR"/>
            </w:rPr>
          </w:pPr>
          <w:hyperlink w:anchor="_Toc24985156" w:history="1">
            <w:r w:rsidRPr="00D46683">
              <w:rPr>
                <w:rStyle w:val="Hyperlink"/>
                <w:rFonts w:ascii="Times New Roman" w:eastAsia="MS Mincho" w:hAnsi="Times New Roman" w:cs="Times New Roman"/>
                <w:caps/>
                <w:noProof/>
                <w:lang w:val="en-NZ" w:eastAsia="en-NZ"/>
              </w:rPr>
              <w:t>Previous Assessments</w:t>
            </w:r>
            <w:r w:rsidRPr="00D46683">
              <w:rPr>
                <w:noProof/>
                <w:webHidden/>
              </w:rPr>
              <w:tab/>
            </w:r>
            <w:r w:rsidRPr="00D46683">
              <w:rPr>
                <w:noProof/>
                <w:webHidden/>
              </w:rPr>
              <w:fldChar w:fldCharType="begin"/>
            </w:r>
            <w:r w:rsidRPr="00D46683">
              <w:rPr>
                <w:noProof/>
                <w:webHidden/>
              </w:rPr>
              <w:instrText xml:space="preserve"> PAGEREF _Toc24985156 \h </w:instrText>
            </w:r>
            <w:r w:rsidRPr="00D46683">
              <w:rPr>
                <w:noProof/>
                <w:webHidden/>
              </w:rPr>
            </w:r>
            <w:r w:rsidRPr="00D46683">
              <w:rPr>
                <w:noProof/>
                <w:webHidden/>
              </w:rPr>
              <w:fldChar w:fldCharType="separate"/>
            </w:r>
            <w:r w:rsidRPr="00D46683">
              <w:rPr>
                <w:noProof/>
                <w:webHidden/>
              </w:rPr>
              <w:t>9</w:t>
            </w:r>
            <w:r w:rsidRPr="00D46683">
              <w:rPr>
                <w:noProof/>
                <w:webHidden/>
              </w:rPr>
              <w:fldChar w:fldCharType="end"/>
            </w:r>
          </w:hyperlink>
        </w:p>
        <w:p w14:paraId="52CC2934" w14:textId="306A1A5F" w:rsidR="004B05DF" w:rsidRPr="00D46683" w:rsidRDefault="004B05DF" w:rsidP="00D46683">
          <w:pPr>
            <w:adjustRightInd w:val="0"/>
            <w:snapToGrid w:val="0"/>
            <w:spacing w:after="240" w:line="240" w:lineRule="auto"/>
            <w:rPr>
              <w:rFonts w:ascii="Times New Roman" w:hAnsi="Times New Roman" w:cs="Times New Roman"/>
            </w:rPr>
          </w:pPr>
          <w:r w:rsidRPr="00D46683">
            <w:rPr>
              <w:rFonts w:ascii="Times New Roman" w:hAnsi="Times New Roman" w:cs="Times New Roman"/>
              <w:b/>
              <w:bCs/>
              <w:noProof/>
            </w:rPr>
            <w:fldChar w:fldCharType="end"/>
          </w:r>
        </w:p>
      </w:sdtContent>
    </w:sdt>
    <w:p w14:paraId="5C470069" w14:textId="77777777" w:rsidR="00F44783" w:rsidRPr="00D46683" w:rsidRDefault="00F44783">
      <w:pPr>
        <w:rPr>
          <w:rFonts w:ascii="Times New Roman" w:eastAsiaTheme="majorEastAsia" w:hAnsi="Times New Roman" w:cs="Times New Roman"/>
          <w:color w:val="2F5496" w:themeColor="accent1" w:themeShade="BF"/>
          <w:sz w:val="32"/>
          <w:szCs w:val="32"/>
        </w:rPr>
      </w:pPr>
      <w:r w:rsidRPr="00D46683">
        <w:rPr>
          <w:rFonts w:ascii="Times New Roman" w:hAnsi="Times New Roman" w:cs="Times New Roman"/>
        </w:rPr>
        <w:br w:type="page"/>
      </w:r>
    </w:p>
    <w:p w14:paraId="138372A5" w14:textId="17BE446F" w:rsidR="00F44783" w:rsidRPr="00D46683" w:rsidRDefault="00F44783" w:rsidP="00F44783">
      <w:pPr>
        <w:pStyle w:val="Heading1"/>
        <w:adjustRightInd w:val="0"/>
        <w:spacing w:before="0" w:line="240" w:lineRule="auto"/>
        <w:rPr>
          <w:rFonts w:ascii="Times New Roman" w:hAnsi="Times New Roman" w:cs="Times New Roman"/>
          <w:b/>
          <w:bCs/>
          <w:sz w:val="28"/>
          <w:szCs w:val="28"/>
        </w:rPr>
      </w:pPr>
      <w:bookmarkStart w:id="1" w:name="_Toc24985152"/>
      <w:r w:rsidRPr="00D46683">
        <w:rPr>
          <w:rFonts w:ascii="Times New Roman" w:hAnsi="Times New Roman" w:cs="Times New Roman"/>
          <w:b/>
          <w:bCs/>
          <w:sz w:val="28"/>
          <w:szCs w:val="28"/>
        </w:rPr>
        <w:lastRenderedPageBreak/>
        <w:t>SC1</w:t>
      </w:r>
      <w:r w:rsidRPr="00D46683">
        <w:rPr>
          <w:rFonts w:ascii="Times New Roman" w:hAnsi="Times New Roman" w:cs="Times New Roman"/>
          <w:b/>
          <w:bCs/>
          <w:sz w:val="28"/>
          <w:szCs w:val="28"/>
        </w:rPr>
        <w:t>5</w:t>
      </w:r>
      <w:r w:rsidRPr="00D46683">
        <w:rPr>
          <w:rFonts w:ascii="Times New Roman" w:hAnsi="Times New Roman" w:cs="Times New Roman"/>
          <w:b/>
          <w:bCs/>
          <w:sz w:val="28"/>
          <w:szCs w:val="28"/>
        </w:rPr>
        <w:t xml:space="preserve"> 201</w:t>
      </w:r>
      <w:r w:rsidRPr="00D46683">
        <w:rPr>
          <w:rFonts w:ascii="Times New Roman" w:hAnsi="Times New Roman" w:cs="Times New Roman"/>
          <w:b/>
          <w:bCs/>
          <w:sz w:val="28"/>
          <w:szCs w:val="28"/>
        </w:rPr>
        <w:t>9 (NO STOCK ASSESSMENT)</w:t>
      </w:r>
      <w:bookmarkEnd w:id="1"/>
    </w:p>
    <w:p w14:paraId="34D1DD0A" w14:textId="77777777" w:rsidR="00F44783" w:rsidRPr="00D46683" w:rsidRDefault="00F44783" w:rsidP="00F44783">
      <w:pPr>
        <w:tabs>
          <w:tab w:val="left" w:pos="820"/>
        </w:tabs>
        <w:adjustRightInd w:val="0"/>
        <w:spacing w:after="0" w:line="240" w:lineRule="auto"/>
        <w:rPr>
          <w:rFonts w:ascii="Times New Roman" w:hAnsi="Times New Roman" w:cs="Times New Roman"/>
          <w:b/>
          <w:sz w:val="24"/>
          <w:szCs w:val="24"/>
        </w:rPr>
      </w:pPr>
    </w:p>
    <w:p w14:paraId="652370BE" w14:textId="77777777" w:rsidR="00F44783" w:rsidRPr="00D46683" w:rsidRDefault="00F44783" w:rsidP="00F44783">
      <w:pPr>
        <w:pStyle w:val="ListParagraph"/>
        <w:numPr>
          <w:ilvl w:val="1"/>
          <w:numId w:val="13"/>
        </w:numPr>
        <w:kinsoku w:val="0"/>
        <w:overflowPunct w:val="0"/>
        <w:autoSpaceDE w:val="0"/>
        <w:autoSpaceDN w:val="0"/>
        <w:adjustRightInd w:val="0"/>
        <w:ind w:left="0" w:firstLine="0"/>
        <w:contextualSpacing w:val="0"/>
        <w:rPr>
          <w:rFonts w:ascii="Times New Roman" w:hAnsi="Times New Roman"/>
          <w:b/>
          <w:bCs/>
        </w:rPr>
      </w:pPr>
      <w:r w:rsidRPr="00D46683">
        <w:rPr>
          <w:rFonts w:ascii="Times New Roman" w:hAnsi="Times New Roman"/>
          <w:b/>
          <w:bCs/>
        </w:rPr>
        <w:t>Stock Status and trends</w:t>
      </w:r>
    </w:p>
    <w:p w14:paraId="1BA9233C" w14:textId="77777777" w:rsidR="00F44783" w:rsidRPr="00D46683" w:rsidRDefault="00F44783" w:rsidP="00F44783">
      <w:pPr>
        <w:pStyle w:val="ListParagraph"/>
        <w:kinsoku w:val="0"/>
        <w:overflowPunct w:val="0"/>
        <w:autoSpaceDE w:val="0"/>
        <w:autoSpaceDN w:val="0"/>
        <w:adjustRightInd w:val="0"/>
        <w:ind w:left="0"/>
        <w:contextualSpacing w:val="0"/>
        <w:rPr>
          <w:rFonts w:ascii="Times New Roman" w:hAnsi="Times New Roman"/>
        </w:rPr>
      </w:pPr>
    </w:p>
    <w:p w14:paraId="42B97217" w14:textId="77777777" w:rsidR="00F44783" w:rsidRPr="00D46683" w:rsidRDefault="00F44783" w:rsidP="00F44783">
      <w:pPr>
        <w:pStyle w:val="WCPFC"/>
        <w:adjustRightInd w:val="0"/>
        <w:snapToGrid/>
        <w:spacing w:after="0"/>
        <w:ind w:left="0" w:firstLine="0"/>
        <w:rPr>
          <w:rFonts w:cs="Times New Roman"/>
        </w:rPr>
      </w:pPr>
      <w:r w:rsidRPr="00D46683">
        <w:rPr>
          <w:rFonts w:cs="Times New Roman"/>
        </w:rPr>
        <w:t xml:space="preserve">SC15 noted that no stock assessments were conducted for south Pacific swordfish in 2019. Therefore, the stock status descriptions from SC13 are still current for south Pacific swordfish. </w:t>
      </w:r>
      <w:bookmarkStart w:id="2" w:name="_Hlk23849438"/>
      <w:r w:rsidRPr="00D46683">
        <w:rPr>
          <w:rFonts w:cs="Times New Roman"/>
        </w:rPr>
        <w:t xml:space="preserve">For further information on the stock status and trends from SC13, please see </w:t>
      </w:r>
      <w:hyperlink r:id="rId9" w:history="1">
        <w:r w:rsidRPr="00D46683">
          <w:rPr>
            <w:rStyle w:val="Hyperlink"/>
            <w:rFonts w:cs="Times New Roman"/>
          </w:rPr>
          <w:t>https://www.wcpfc.int/node/29904</w:t>
        </w:r>
      </w:hyperlink>
      <w:r w:rsidRPr="00D46683">
        <w:rPr>
          <w:rFonts w:cs="Times New Roman"/>
          <w:color w:val="0000FF"/>
        </w:rPr>
        <w:t xml:space="preserve">. </w:t>
      </w:r>
      <w:bookmarkEnd w:id="2"/>
      <w:r w:rsidRPr="00D46683">
        <w:rPr>
          <w:rFonts w:cs="Times New Roman"/>
        </w:rPr>
        <w:t>Updated information on catches was not compiled for and reviewed by SC15.</w:t>
      </w:r>
    </w:p>
    <w:p w14:paraId="5F5AA629" w14:textId="77777777" w:rsidR="00F44783" w:rsidRPr="00D46683" w:rsidRDefault="00F44783" w:rsidP="00F44783">
      <w:pPr>
        <w:kinsoku w:val="0"/>
        <w:overflowPunct w:val="0"/>
        <w:autoSpaceDE w:val="0"/>
        <w:autoSpaceDN w:val="0"/>
        <w:adjustRightInd w:val="0"/>
        <w:spacing w:after="0" w:line="240" w:lineRule="auto"/>
        <w:jc w:val="both"/>
        <w:rPr>
          <w:rFonts w:ascii="Times New Roman" w:hAnsi="Times New Roman" w:cs="Times New Roman"/>
          <w:b/>
          <w:bCs/>
        </w:rPr>
      </w:pPr>
    </w:p>
    <w:p w14:paraId="33A54983" w14:textId="77777777" w:rsidR="00F44783" w:rsidRPr="00D46683" w:rsidRDefault="00F44783" w:rsidP="00F44783">
      <w:pPr>
        <w:pStyle w:val="ListParagraph"/>
        <w:numPr>
          <w:ilvl w:val="0"/>
          <w:numId w:val="14"/>
        </w:numPr>
        <w:kinsoku w:val="0"/>
        <w:overflowPunct w:val="0"/>
        <w:autoSpaceDE w:val="0"/>
        <w:autoSpaceDN w:val="0"/>
        <w:adjustRightInd w:val="0"/>
        <w:ind w:left="0" w:firstLine="0"/>
        <w:contextualSpacing w:val="0"/>
        <w:rPr>
          <w:rFonts w:ascii="Times New Roman" w:hAnsi="Times New Roman"/>
          <w:b/>
          <w:bCs/>
        </w:rPr>
      </w:pPr>
      <w:r w:rsidRPr="00D46683">
        <w:rPr>
          <w:rFonts w:ascii="Times New Roman" w:hAnsi="Times New Roman"/>
          <w:b/>
          <w:bCs/>
        </w:rPr>
        <w:t>Management Advice and implications</w:t>
      </w:r>
    </w:p>
    <w:p w14:paraId="6701FF87" w14:textId="77777777" w:rsidR="00F44783" w:rsidRPr="00D46683" w:rsidRDefault="00F44783" w:rsidP="00F44783">
      <w:pPr>
        <w:kinsoku w:val="0"/>
        <w:overflowPunct w:val="0"/>
        <w:autoSpaceDE w:val="0"/>
        <w:autoSpaceDN w:val="0"/>
        <w:adjustRightInd w:val="0"/>
        <w:spacing w:after="0" w:line="240" w:lineRule="auto"/>
        <w:jc w:val="both"/>
        <w:rPr>
          <w:rFonts w:ascii="Times New Roman" w:hAnsi="Times New Roman" w:cs="Times New Roman"/>
        </w:rPr>
      </w:pPr>
    </w:p>
    <w:p w14:paraId="52B4CF2F" w14:textId="77777777" w:rsidR="00F44783" w:rsidRPr="00D46683" w:rsidRDefault="00F44783" w:rsidP="00F44783">
      <w:pPr>
        <w:pStyle w:val="WCPFC"/>
        <w:adjustRightInd w:val="0"/>
        <w:snapToGrid/>
        <w:spacing w:after="0"/>
        <w:ind w:left="0" w:firstLine="0"/>
        <w:rPr>
          <w:rFonts w:cs="Times New Roman"/>
        </w:rPr>
      </w:pPr>
      <w:r w:rsidRPr="00D46683">
        <w:rPr>
          <w:rFonts w:cs="Times New Roman"/>
        </w:rPr>
        <w:t xml:space="preserve">SC15 noted that no management advice has been provided since SC13 for south Pacific swordfish. Therefore, previous advice should be maintained, pending a new assessment or other new information. For further information on the management advice and implications from SC13, please see </w:t>
      </w:r>
      <w:hyperlink r:id="rId10" w:history="1">
        <w:r w:rsidRPr="00D46683">
          <w:rPr>
            <w:rStyle w:val="Hyperlink"/>
            <w:rFonts w:cs="Times New Roman"/>
          </w:rPr>
          <w:t>https://www.wcpfc.int/node/29904</w:t>
        </w:r>
      </w:hyperlink>
    </w:p>
    <w:p w14:paraId="5916B4AF" w14:textId="5E5D9ADF" w:rsidR="00F44783" w:rsidRPr="00D46683" w:rsidRDefault="00F44783" w:rsidP="00F44783">
      <w:pPr>
        <w:pStyle w:val="BodyText"/>
        <w:adjustRightInd w:val="0"/>
        <w:rPr>
          <w:rFonts w:cs="Times New Roman"/>
          <w:sz w:val="22"/>
          <w:szCs w:val="22"/>
          <w:lang w:val="en-NZ"/>
        </w:rPr>
      </w:pPr>
    </w:p>
    <w:p w14:paraId="480B3AD2" w14:textId="77777777" w:rsidR="00F44783" w:rsidRPr="00D46683" w:rsidRDefault="00F44783" w:rsidP="00F44783">
      <w:pPr>
        <w:pStyle w:val="BodyText"/>
        <w:adjustRightInd w:val="0"/>
        <w:rPr>
          <w:rFonts w:cs="Times New Roman"/>
          <w:sz w:val="22"/>
          <w:szCs w:val="22"/>
          <w:lang w:val="en-NZ"/>
        </w:rPr>
      </w:pPr>
    </w:p>
    <w:p w14:paraId="7D5592A5" w14:textId="6E0BEABD" w:rsidR="00927C45" w:rsidRPr="00D46683" w:rsidRDefault="00927C45" w:rsidP="00F44783">
      <w:pPr>
        <w:pStyle w:val="Heading1"/>
        <w:adjustRightInd w:val="0"/>
        <w:spacing w:before="0" w:line="240" w:lineRule="auto"/>
        <w:rPr>
          <w:rFonts w:ascii="Times New Roman" w:hAnsi="Times New Roman" w:cs="Times New Roman"/>
          <w:b/>
          <w:bCs/>
          <w:sz w:val="28"/>
          <w:szCs w:val="28"/>
        </w:rPr>
      </w:pPr>
      <w:bookmarkStart w:id="3" w:name="_Toc24985153"/>
      <w:r w:rsidRPr="00D46683">
        <w:rPr>
          <w:rFonts w:ascii="Times New Roman" w:hAnsi="Times New Roman" w:cs="Times New Roman"/>
          <w:b/>
          <w:bCs/>
          <w:sz w:val="28"/>
          <w:szCs w:val="28"/>
        </w:rPr>
        <w:t>SC14 2018</w:t>
      </w:r>
      <w:r w:rsidR="00F44783" w:rsidRPr="00D46683">
        <w:rPr>
          <w:rFonts w:ascii="Times New Roman" w:hAnsi="Times New Roman" w:cs="Times New Roman"/>
          <w:b/>
          <w:bCs/>
          <w:sz w:val="28"/>
          <w:szCs w:val="28"/>
        </w:rPr>
        <w:t xml:space="preserve"> (NO STOCK ASSESSMENT)</w:t>
      </w:r>
      <w:bookmarkEnd w:id="3"/>
    </w:p>
    <w:p w14:paraId="56E7AD37" w14:textId="77777777" w:rsidR="00927C45" w:rsidRPr="00D46683" w:rsidRDefault="00927C45" w:rsidP="00F44783">
      <w:pPr>
        <w:tabs>
          <w:tab w:val="left" w:pos="820"/>
        </w:tabs>
        <w:adjustRightInd w:val="0"/>
        <w:spacing w:after="0" w:line="240" w:lineRule="auto"/>
        <w:rPr>
          <w:rFonts w:ascii="Times New Roman" w:hAnsi="Times New Roman" w:cs="Times New Roman"/>
          <w:b/>
          <w:sz w:val="24"/>
          <w:szCs w:val="24"/>
        </w:rPr>
      </w:pPr>
    </w:p>
    <w:p w14:paraId="0B8EFFD2" w14:textId="3EB7C919" w:rsidR="00F44783" w:rsidRPr="00D46683" w:rsidRDefault="00F44783" w:rsidP="00F44783">
      <w:pPr>
        <w:pStyle w:val="SCa"/>
        <w:numPr>
          <w:ilvl w:val="0"/>
          <w:numId w:val="17"/>
        </w:numPr>
        <w:tabs>
          <w:tab w:val="clear" w:pos="1080"/>
        </w:tabs>
        <w:snapToGrid/>
        <w:spacing w:after="0"/>
        <w:ind w:left="0" w:firstLine="0"/>
      </w:pPr>
      <w:r w:rsidRPr="00D46683">
        <w:t>Stock status and trends</w:t>
      </w:r>
    </w:p>
    <w:p w14:paraId="07F8C002" w14:textId="77777777" w:rsidR="00F44783" w:rsidRPr="00D46683" w:rsidRDefault="00F44783" w:rsidP="00F44783">
      <w:pPr>
        <w:pStyle w:val="SCa"/>
        <w:snapToGrid/>
        <w:spacing w:after="0"/>
      </w:pPr>
    </w:p>
    <w:p w14:paraId="6CEAC05A" w14:textId="77777777" w:rsidR="00F44783" w:rsidRPr="00D46683" w:rsidRDefault="00F44783" w:rsidP="00F44783">
      <w:pPr>
        <w:pStyle w:val="WCPFC"/>
        <w:numPr>
          <w:ilvl w:val="0"/>
          <w:numId w:val="15"/>
        </w:numPr>
        <w:autoSpaceDE w:val="0"/>
        <w:autoSpaceDN w:val="0"/>
        <w:adjustRightInd w:val="0"/>
        <w:snapToGrid/>
        <w:spacing w:after="0"/>
        <w:ind w:left="0" w:firstLine="0"/>
        <w:rPr>
          <w:rFonts w:cs="Times New Roman"/>
        </w:rPr>
      </w:pPr>
      <w:r w:rsidRPr="00D46683">
        <w:rPr>
          <w:rFonts w:cs="Times New Roman"/>
        </w:rPr>
        <w:t>SC14 noted that no stock assessments were conducted for south Pacific swordfish in 2018. Therefore, the stock status descriptions from SC13 are still current for south Pacific swordfish. Updated information on catches was compiled but not reviewed by</w:t>
      </w:r>
      <w:r w:rsidRPr="00D46683">
        <w:rPr>
          <w:rFonts w:cs="Times New Roman"/>
          <w:spacing w:val="-19"/>
        </w:rPr>
        <w:t xml:space="preserve"> </w:t>
      </w:r>
      <w:r w:rsidRPr="00D46683">
        <w:rPr>
          <w:rFonts w:cs="Times New Roman"/>
        </w:rPr>
        <w:t xml:space="preserve">SC14. </w:t>
      </w:r>
    </w:p>
    <w:p w14:paraId="04E21C4F" w14:textId="77777777" w:rsidR="00F44783" w:rsidRPr="00D46683" w:rsidRDefault="00F44783" w:rsidP="00F44783">
      <w:pPr>
        <w:autoSpaceDE w:val="0"/>
        <w:autoSpaceDN w:val="0"/>
        <w:adjustRightInd w:val="0"/>
        <w:spacing w:after="0" w:line="240" w:lineRule="auto"/>
        <w:jc w:val="both"/>
        <w:rPr>
          <w:rFonts w:ascii="Times New Roman" w:hAnsi="Times New Roman" w:cs="Times New Roman"/>
          <w:b/>
        </w:rPr>
      </w:pPr>
    </w:p>
    <w:p w14:paraId="7164AD7B" w14:textId="77777777" w:rsidR="00F44783" w:rsidRPr="00D46683" w:rsidRDefault="00F44783" w:rsidP="00F44783">
      <w:pPr>
        <w:pStyle w:val="SCa"/>
        <w:tabs>
          <w:tab w:val="clear" w:pos="1080"/>
        </w:tabs>
        <w:snapToGrid/>
        <w:spacing w:after="0"/>
        <w:ind w:left="0"/>
      </w:pPr>
      <w:r w:rsidRPr="00D46683">
        <w:t>b.</w:t>
      </w:r>
      <w:r w:rsidRPr="00D46683">
        <w:tab/>
        <w:t>Management advice and implications</w:t>
      </w:r>
    </w:p>
    <w:p w14:paraId="3E603D06" w14:textId="77777777" w:rsidR="00F44783" w:rsidRPr="00D46683" w:rsidRDefault="00F44783" w:rsidP="00F44783">
      <w:pPr>
        <w:pStyle w:val="SCa"/>
        <w:snapToGrid/>
        <w:spacing w:after="0"/>
      </w:pPr>
    </w:p>
    <w:p w14:paraId="0D11D40B" w14:textId="3180F40B"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eastAsia="Batang" w:hAnsi="Times New Roman" w:cs="Times New Roman"/>
          <w:lang w:eastAsia="ko-KR"/>
        </w:rPr>
      </w:pPr>
      <w:r w:rsidRPr="00D46683">
        <w:rPr>
          <w:rFonts w:ascii="Times New Roman" w:hAnsi="Times New Roman" w:cs="Times New Roman"/>
          <w:lang w:val="en-NZ" w:eastAsia="en-NZ"/>
        </w:rPr>
        <w:t>SC14 noted that no management advice has been provided since SC13 for south Pacific</w:t>
      </w:r>
      <w:r w:rsidRPr="00D46683">
        <w:rPr>
          <w:rFonts w:ascii="Times New Roman" w:eastAsia="Batang" w:hAnsi="Times New Roman" w:cs="Times New Roman"/>
          <w:lang w:eastAsia="ko-KR"/>
        </w:rPr>
        <w:t xml:space="preserve"> swordfish. Therefore, previous advice should be maintained, pending a new assessment or other new information. </w:t>
      </w:r>
      <w:r w:rsidRPr="00D46683">
        <w:rPr>
          <w:rFonts w:ascii="Times New Roman" w:eastAsia="Batang" w:hAnsi="Times New Roman" w:cs="Times New Roman"/>
          <w:lang w:val="en-AU" w:eastAsia="ko-KR"/>
        </w:rPr>
        <w:t xml:space="preserve">For further information on the management advice and implications from SC13, please see </w:t>
      </w:r>
      <w:hyperlink r:id="rId11" w:history="1">
        <w:r w:rsidRPr="00D46683">
          <w:rPr>
            <w:rStyle w:val="Hyperlink"/>
            <w:rFonts w:ascii="Times New Roman" w:hAnsi="Times New Roman" w:cs="Times New Roman"/>
          </w:rPr>
          <w:t>https://www.wcpfc.int/node/29904</w:t>
        </w:r>
      </w:hyperlink>
      <w:r w:rsidRPr="00D46683">
        <w:rPr>
          <w:rStyle w:val="Hyperlink"/>
          <w:rFonts w:ascii="Times New Roman" w:eastAsiaTheme="minorEastAsia" w:hAnsi="Times New Roman" w:cs="Times New Roman"/>
          <w:lang w:eastAsia="ko-KR"/>
        </w:rPr>
        <w:t xml:space="preserve"> </w:t>
      </w:r>
      <w:r w:rsidRPr="00D46683">
        <w:rPr>
          <w:rFonts w:ascii="Times New Roman" w:eastAsia="Batang" w:hAnsi="Times New Roman" w:cs="Times New Roman"/>
          <w:u w:val="single"/>
          <w:lang w:val="en-AU" w:eastAsia="ko-KR"/>
        </w:rPr>
        <w:t xml:space="preserve"> </w:t>
      </w:r>
    </w:p>
    <w:p w14:paraId="00005AB4" w14:textId="6755CDBE" w:rsidR="00F44783" w:rsidRPr="00D46683" w:rsidRDefault="00F44783" w:rsidP="00F44783">
      <w:pPr>
        <w:autoSpaceDE w:val="0"/>
        <w:autoSpaceDN w:val="0"/>
        <w:adjustRightInd w:val="0"/>
        <w:spacing w:after="0" w:line="240" w:lineRule="auto"/>
        <w:jc w:val="both"/>
        <w:rPr>
          <w:rFonts w:ascii="Times New Roman" w:eastAsia="Batang" w:hAnsi="Times New Roman" w:cs="Times New Roman"/>
          <w:b/>
          <w:lang w:eastAsia="ko-KR"/>
        </w:rPr>
      </w:pPr>
    </w:p>
    <w:p w14:paraId="61C2DF7E" w14:textId="77777777" w:rsidR="00F44783" w:rsidRPr="00D46683" w:rsidRDefault="00F44783" w:rsidP="00F44783">
      <w:pPr>
        <w:autoSpaceDE w:val="0"/>
        <w:autoSpaceDN w:val="0"/>
        <w:adjustRightInd w:val="0"/>
        <w:spacing w:after="0" w:line="240" w:lineRule="auto"/>
        <w:jc w:val="both"/>
        <w:rPr>
          <w:rFonts w:ascii="Times New Roman" w:eastAsia="Batang" w:hAnsi="Times New Roman" w:cs="Times New Roman"/>
          <w:b/>
          <w:lang w:eastAsia="ko-KR"/>
        </w:rPr>
      </w:pPr>
    </w:p>
    <w:p w14:paraId="0E11B94A" w14:textId="77777777" w:rsidR="004B05DF" w:rsidRPr="00D46683" w:rsidRDefault="004B05DF" w:rsidP="00F44783">
      <w:pPr>
        <w:pStyle w:val="Heading1"/>
        <w:adjustRightInd w:val="0"/>
        <w:spacing w:before="0" w:line="240" w:lineRule="auto"/>
        <w:rPr>
          <w:rFonts w:ascii="Times New Roman Bold" w:hAnsi="Times New Roman Bold" w:cs="Times New Roman"/>
          <w:b/>
          <w:caps/>
          <w:sz w:val="28"/>
        </w:rPr>
      </w:pPr>
      <w:bookmarkStart w:id="4" w:name="_Toc24985154"/>
      <w:r w:rsidRPr="00D46683">
        <w:rPr>
          <w:rFonts w:ascii="Times New Roman Bold" w:hAnsi="Times New Roman Bold" w:cs="Times New Roman"/>
          <w:b/>
          <w:caps/>
          <w:sz w:val="28"/>
        </w:rPr>
        <w:t xml:space="preserve">SC13 2017 </w:t>
      </w:r>
      <w:r w:rsidR="00DC50D2" w:rsidRPr="00D46683">
        <w:rPr>
          <w:rFonts w:ascii="Times New Roman Bold" w:hAnsi="Times New Roman Bold" w:cs="Times New Roman"/>
          <w:b/>
          <w:caps/>
          <w:sz w:val="28"/>
        </w:rPr>
        <w:t>(Stock Assessment Conducted</w:t>
      </w:r>
      <w:r w:rsidR="004F5329" w:rsidRPr="00D46683">
        <w:rPr>
          <w:rFonts w:ascii="Times New Roman Bold" w:hAnsi="Times New Roman Bold" w:cs="Times New Roman"/>
          <w:b/>
          <w:caps/>
          <w:sz w:val="28"/>
        </w:rPr>
        <w:t>)</w:t>
      </w:r>
      <w:bookmarkEnd w:id="4"/>
    </w:p>
    <w:p w14:paraId="58FDF3F8" w14:textId="77777777" w:rsidR="004F5329" w:rsidRPr="00D46683" w:rsidRDefault="004F5329" w:rsidP="00F44783">
      <w:pPr>
        <w:adjustRightInd w:val="0"/>
        <w:spacing w:after="0" w:line="240" w:lineRule="auto"/>
        <w:rPr>
          <w:rFonts w:ascii="Times New Roman" w:hAnsi="Times New Roman" w:cs="Times New Roman"/>
        </w:rPr>
      </w:pPr>
    </w:p>
    <w:p w14:paraId="30DB897B" w14:textId="77777777" w:rsidR="00F44783" w:rsidRPr="00D46683" w:rsidRDefault="00F44783" w:rsidP="00F44783">
      <w:pPr>
        <w:pStyle w:val="WCPFC"/>
        <w:numPr>
          <w:ilvl w:val="0"/>
          <w:numId w:val="18"/>
        </w:numPr>
        <w:adjustRightInd w:val="0"/>
        <w:snapToGrid/>
        <w:spacing w:after="0"/>
        <w:ind w:left="0" w:firstLine="0"/>
        <w:rPr>
          <w:rFonts w:cs="Times New Roman"/>
          <w:bCs/>
          <w:lang w:val="en-US"/>
        </w:rPr>
      </w:pPr>
      <w:bookmarkStart w:id="5" w:name="_Toc495323856"/>
      <w:r w:rsidRPr="00D46683">
        <w:rPr>
          <w:rFonts w:cs="Times New Roman"/>
          <w:bCs/>
          <w:lang w:val="en-US"/>
        </w:rPr>
        <w:t xml:space="preserve">SC13 endorsed the 2017 SWO stock assessment as the best and most up to date scientific information available for this species. </w:t>
      </w:r>
    </w:p>
    <w:p w14:paraId="7135F11F" w14:textId="77777777" w:rsidR="00F44783" w:rsidRPr="00D46683" w:rsidRDefault="00F44783" w:rsidP="00F44783">
      <w:pPr>
        <w:pStyle w:val="ListParagraph"/>
        <w:adjustRightInd w:val="0"/>
        <w:ind w:left="0" w:firstLine="0"/>
        <w:contextualSpacing w:val="0"/>
        <w:rPr>
          <w:rFonts w:ascii="Times New Roman" w:hAnsi="Times New Roman"/>
          <w:bCs/>
          <w:lang w:val="en-US"/>
        </w:rPr>
      </w:pPr>
    </w:p>
    <w:p w14:paraId="3D70305E" w14:textId="77777777" w:rsidR="00F44783" w:rsidRPr="00D46683" w:rsidRDefault="00F44783" w:rsidP="00F44783">
      <w:pPr>
        <w:pStyle w:val="WCPFC"/>
        <w:adjustRightInd w:val="0"/>
        <w:snapToGrid/>
        <w:spacing w:after="0"/>
        <w:ind w:left="0" w:firstLine="0"/>
        <w:rPr>
          <w:rFonts w:cs="Times New Roman"/>
          <w:bCs/>
          <w:lang w:val="en-US"/>
        </w:rPr>
      </w:pPr>
      <w:r w:rsidRPr="00D46683">
        <w:rPr>
          <w:rFonts w:cs="Times New Roman"/>
          <w:bCs/>
          <w:lang w:val="en-US"/>
        </w:rPr>
        <w:t xml:space="preserve">SC13 also endorsed the use of the SWO assessment model uncertainty grid to characterize stock status and management advice and implications. </w:t>
      </w:r>
    </w:p>
    <w:p w14:paraId="13FC549A" w14:textId="77777777" w:rsidR="00F44783" w:rsidRPr="00D46683" w:rsidRDefault="00F44783" w:rsidP="00F44783">
      <w:pPr>
        <w:pStyle w:val="WCPFC"/>
        <w:numPr>
          <w:ilvl w:val="0"/>
          <w:numId w:val="0"/>
        </w:numPr>
        <w:adjustRightInd w:val="0"/>
        <w:snapToGrid/>
        <w:spacing w:after="0"/>
        <w:ind w:left="567"/>
        <w:rPr>
          <w:rFonts w:cs="Times New Roman"/>
          <w:lang w:val="en-US"/>
        </w:rPr>
      </w:pPr>
    </w:p>
    <w:p w14:paraId="5246523D" w14:textId="77777777" w:rsidR="00F44783" w:rsidRPr="00D46683" w:rsidRDefault="00F44783" w:rsidP="00F44783">
      <w:pPr>
        <w:pStyle w:val="ListParagraph"/>
        <w:numPr>
          <w:ilvl w:val="0"/>
          <w:numId w:val="11"/>
        </w:numPr>
        <w:adjustRightInd w:val="0"/>
        <w:ind w:left="0" w:firstLine="0"/>
        <w:contextualSpacing w:val="0"/>
        <w:rPr>
          <w:rFonts w:ascii="Times New Roman" w:eastAsia="Times New Roman" w:hAnsi="Times New Roman"/>
          <w:b/>
          <w:lang w:val="en-US" w:eastAsia="ja-JP"/>
        </w:rPr>
      </w:pPr>
      <w:r w:rsidRPr="00D46683">
        <w:rPr>
          <w:rFonts w:ascii="Times New Roman" w:eastAsia="Times New Roman" w:hAnsi="Times New Roman"/>
          <w:b/>
          <w:lang w:val="en-US" w:eastAsia="ja-JP"/>
        </w:rPr>
        <w:t>Stock status and trends</w:t>
      </w:r>
    </w:p>
    <w:p w14:paraId="6ECDD423" w14:textId="77777777" w:rsidR="00F44783" w:rsidRPr="00D46683" w:rsidRDefault="00F44783" w:rsidP="00F44783">
      <w:pPr>
        <w:pStyle w:val="ListParagraph"/>
        <w:adjustRightInd w:val="0"/>
        <w:ind w:firstLine="0"/>
        <w:contextualSpacing w:val="0"/>
        <w:rPr>
          <w:rFonts w:ascii="Times New Roman" w:eastAsia="Times New Roman" w:hAnsi="Times New Roman"/>
          <w:b/>
          <w:lang w:val="en-US" w:eastAsia="ja-JP"/>
        </w:rPr>
      </w:pPr>
    </w:p>
    <w:p w14:paraId="695024B8" w14:textId="77777777"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hAnsi="Times New Roman" w:cs="Times New Roman"/>
          <w:bCs/>
          <w:lang w:val="en-AU"/>
        </w:rPr>
      </w:pPr>
      <w:r w:rsidRPr="00D46683">
        <w:rPr>
          <w:rFonts w:ascii="Times New Roman" w:hAnsi="Times New Roman" w:cs="Times New Roman"/>
          <w:bCs/>
          <w:lang w:val="en-AU"/>
        </w:rPr>
        <w:t>The median values of relative recent (2012-2015) spawning biomass (SB</w:t>
      </w:r>
      <w:r w:rsidRPr="00D46683">
        <w:rPr>
          <w:rFonts w:ascii="Times New Roman" w:hAnsi="Times New Roman" w:cs="Times New Roman"/>
          <w:bCs/>
          <w:vertAlign w:val="subscript"/>
          <w:lang w:val="en-AU"/>
        </w:rPr>
        <w:t>recent</w:t>
      </w:r>
      <w:r w:rsidRPr="00D46683">
        <w:rPr>
          <w:rFonts w:ascii="Times New Roman" w:hAnsi="Times New Roman" w:cs="Times New Roman"/>
          <w:bCs/>
          <w:lang w:val="en-AU"/>
        </w:rPr>
        <w:t>/SB</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and relative recent fishing mortality (F</w:t>
      </w:r>
      <w:r w:rsidRPr="00D46683">
        <w:rPr>
          <w:rFonts w:ascii="Times New Roman" w:hAnsi="Times New Roman" w:cs="Times New Roman"/>
          <w:bCs/>
          <w:vertAlign w:val="subscript"/>
          <w:lang w:val="en-AU"/>
        </w:rPr>
        <w:t>recent</w:t>
      </w:r>
      <w:r w:rsidRPr="00D46683">
        <w:rPr>
          <w:rFonts w:ascii="Times New Roman" w:hAnsi="Times New Roman" w:cs="Times New Roman"/>
          <w:bCs/>
          <w:lang w:val="en-AU"/>
        </w:rPr>
        <w:t>/F</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xml:space="preserve">) over the uncertainty grid were used to measure the central tendency of stock status. The values of the upper 90th and lower 10th percentiles of the empirical distributions of relative spawning biomass and relative fishing mortality from the uncertainty grid were used to characterize the probable range of stock status. </w:t>
      </w:r>
    </w:p>
    <w:p w14:paraId="429D9729" w14:textId="77777777" w:rsidR="00F44783" w:rsidRPr="00D46683" w:rsidRDefault="00F44783" w:rsidP="00F44783">
      <w:pPr>
        <w:autoSpaceDE w:val="0"/>
        <w:autoSpaceDN w:val="0"/>
        <w:adjustRightInd w:val="0"/>
        <w:spacing w:after="0" w:line="240" w:lineRule="auto"/>
        <w:rPr>
          <w:rFonts w:ascii="Times New Roman" w:hAnsi="Times New Roman" w:cs="Times New Roman"/>
          <w:bCs/>
          <w:lang w:val="en-AU"/>
        </w:rPr>
      </w:pPr>
    </w:p>
    <w:p w14:paraId="32BCE473" w14:textId="029F8134" w:rsidR="00F44783" w:rsidRPr="00D46683" w:rsidRDefault="00F44783" w:rsidP="00F44783">
      <w:pPr>
        <w:pStyle w:val="WCPFC"/>
        <w:adjustRightInd w:val="0"/>
        <w:spacing w:after="0"/>
        <w:ind w:left="0" w:firstLine="0"/>
        <w:rPr>
          <w:rFonts w:cs="Times New Roman"/>
        </w:rPr>
      </w:pPr>
      <w:r w:rsidRPr="00D46683">
        <w:rPr>
          <w:rFonts w:cs="Times New Roman"/>
        </w:rPr>
        <w:lastRenderedPageBreak/>
        <w:t xml:space="preserve">Description of the updated structural sensitivity grid used to characterize uncertainty in the assessment is provided in Table SWO-1. Time trends in estimated catch, recruitment, biomass, fishing mortality and depletion are shown in Figures SWO-1 – 5.  Figures SWO-6 and SWO-7 show Majuro plot summarising the results for each of the models in the structural uncertainty grid retained for management advice. Kobe plots are shown in Figures SWO-8 and SWO-9. </w:t>
      </w:r>
      <w:r w:rsidRPr="00D46683">
        <w:rPr>
          <w:rFonts w:cs="Times New Roman"/>
          <w:lang w:eastAsia="ko-KR"/>
        </w:rPr>
        <w:t>Figure SWO-10 provides estimated</w:t>
      </w:r>
      <w:r w:rsidRPr="00D46683">
        <w:rPr>
          <w:rFonts w:cs="Times New Roman"/>
        </w:rPr>
        <w:t xml:space="preserve"> time-series (or “dynamic”) Majuro and Kobe plots from the SW Pacific swordfish ‘diagnostic case’ model run</w:t>
      </w:r>
      <w:r w:rsidRPr="00D46683">
        <w:rPr>
          <w:rFonts w:cs="Times New Roman"/>
          <w:lang w:eastAsia="ko-KR"/>
        </w:rPr>
        <w:t xml:space="preserve">. </w:t>
      </w:r>
      <w:r w:rsidRPr="00D46683">
        <w:rPr>
          <w:rFonts w:eastAsia="PMingLiU" w:cs="Times New Roman"/>
          <w:lang w:eastAsia="zh-TW"/>
        </w:rPr>
        <w:t xml:space="preserve">Figure </w:t>
      </w:r>
      <w:r w:rsidRPr="00D46683">
        <w:rPr>
          <w:rFonts w:eastAsia="Times New Roman" w:cs="Times New Roman"/>
          <w:lang w:eastAsia="ja-JP"/>
        </w:rPr>
        <w:t>SWO-1</w:t>
      </w:r>
      <w:r w:rsidRPr="00D46683">
        <w:rPr>
          <w:rFonts w:cs="Times New Roman"/>
          <w:lang w:eastAsia="ko-KR"/>
        </w:rPr>
        <w:t>1 shows</w:t>
      </w:r>
      <w:r w:rsidRPr="00D46683">
        <w:rPr>
          <w:rFonts w:eastAsia="PMingLiU" w:cs="Times New Roman"/>
          <w:lang w:eastAsia="zh-TW"/>
        </w:rPr>
        <w:t xml:space="preserve"> Estimates of reduction in spawning potential due to fishing by region, and over all regions (lower </w:t>
      </w:r>
      <w:r w:rsidRPr="00D46683">
        <w:rPr>
          <w:rFonts w:eastAsia="Times New Roman" w:cs="Times New Roman"/>
          <w:lang w:eastAsia="ja-JP"/>
        </w:rPr>
        <w:t>left</w:t>
      </w:r>
      <w:r w:rsidRPr="00D46683">
        <w:rPr>
          <w:rFonts w:eastAsia="PMingLiU" w:cs="Times New Roman"/>
          <w:lang w:eastAsia="zh-TW"/>
        </w:rPr>
        <w:t xml:space="preserve"> panel), attributed to various fishery groups (distant water ‘north’, ‘central’ and ‘south’, corresponding to the model regions, and a combined domestic fleet) for the diagnostic case model.</w:t>
      </w:r>
      <w:r w:rsidRPr="00D46683">
        <w:rPr>
          <w:rFonts w:eastAsia="Times New Roman" w:cs="Times New Roman"/>
          <w:lang w:eastAsia="ja-JP"/>
        </w:rPr>
        <w:t xml:space="preserve"> </w:t>
      </w:r>
      <w:r w:rsidRPr="00D46683">
        <w:rPr>
          <w:rFonts w:cs="Times New Roman"/>
        </w:rPr>
        <w:t xml:space="preserve">Summary of reference points over all 72 individual models in the structural uncertainty grid are shown in Table SWO-2.  </w:t>
      </w:r>
    </w:p>
    <w:p w14:paraId="1394E07A" w14:textId="77777777" w:rsidR="00F44783" w:rsidRPr="00D46683" w:rsidRDefault="00F44783" w:rsidP="00F44783">
      <w:pPr>
        <w:pStyle w:val="WCPFC"/>
        <w:numPr>
          <w:ilvl w:val="0"/>
          <w:numId w:val="0"/>
        </w:numPr>
        <w:adjustRightInd w:val="0"/>
        <w:snapToGrid/>
        <w:spacing w:after="0"/>
        <w:ind w:left="567"/>
        <w:rPr>
          <w:rFonts w:cs="Times New Roman"/>
          <w:lang w:val="en-US"/>
        </w:rPr>
      </w:pPr>
    </w:p>
    <w:p w14:paraId="517473D9" w14:textId="77777777" w:rsidR="00F44783" w:rsidRPr="00D46683" w:rsidRDefault="00F44783" w:rsidP="00F44783">
      <w:pPr>
        <w:adjustRightInd w:val="0"/>
        <w:spacing w:after="0" w:line="240" w:lineRule="auto"/>
        <w:rPr>
          <w:rFonts w:ascii="Times New Roman" w:eastAsia="MS Mincho" w:hAnsi="Times New Roman" w:cs="Times New Roman"/>
        </w:rPr>
      </w:pPr>
      <w:r w:rsidRPr="00D46683">
        <w:rPr>
          <w:rFonts w:ascii="Times New Roman" w:eastAsia="MS Mincho" w:hAnsi="Times New Roman" w:cs="Times New Roman"/>
          <w:b/>
          <w:bCs/>
        </w:rPr>
        <w:t>Table SWO-1</w:t>
      </w:r>
      <w:r w:rsidRPr="00D46683">
        <w:rPr>
          <w:rFonts w:ascii="Times New Roman" w:eastAsia="MS Mincho" w:hAnsi="Times New Roman" w:cs="Times New Roman"/>
          <w:b/>
        </w:rPr>
        <w:t xml:space="preserve">: </w:t>
      </w:r>
      <w:r w:rsidRPr="00D46683">
        <w:rPr>
          <w:rFonts w:ascii="Times New Roman" w:eastAsia="MS Mincho" w:hAnsi="Times New Roman" w:cs="Times New Roman"/>
        </w:rPr>
        <w:t>Description of the structural sensitivity grid used to characterize uncertainty in the assessment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080"/>
        <w:gridCol w:w="3081"/>
        <w:gridCol w:w="3081"/>
      </w:tblGrid>
      <w:tr w:rsidR="00F44783" w:rsidRPr="00D46683" w14:paraId="40762182" w14:textId="77777777" w:rsidTr="00573C70">
        <w:tc>
          <w:tcPr>
            <w:tcW w:w="3080" w:type="dxa"/>
            <w:tcBorders>
              <w:bottom w:val="single" w:sz="4" w:space="0" w:color="auto"/>
            </w:tcBorders>
            <w:shd w:val="clear" w:color="auto" w:fill="auto"/>
          </w:tcPr>
          <w:p w14:paraId="7B8D2944"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Axis</w:t>
            </w:r>
          </w:p>
        </w:tc>
        <w:tc>
          <w:tcPr>
            <w:tcW w:w="3081" w:type="dxa"/>
            <w:tcBorders>
              <w:bottom w:val="single" w:sz="4" w:space="0" w:color="auto"/>
            </w:tcBorders>
            <w:shd w:val="clear" w:color="auto" w:fill="auto"/>
          </w:tcPr>
          <w:p w14:paraId="717502F2"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Levels</w:t>
            </w:r>
          </w:p>
        </w:tc>
        <w:tc>
          <w:tcPr>
            <w:tcW w:w="3081" w:type="dxa"/>
            <w:tcBorders>
              <w:bottom w:val="single" w:sz="4" w:space="0" w:color="auto"/>
            </w:tcBorders>
            <w:shd w:val="clear" w:color="auto" w:fill="auto"/>
          </w:tcPr>
          <w:p w14:paraId="30FEF7D3"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Option</w:t>
            </w:r>
          </w:p>
        </w:tc>
      </w:tr>
      <w:tr w:rsidR="00F44783" w:rsidRPr="00D46683" w14:paraId="17822202" w14:textId="77777777" w:rsidTr="00573C70">
        <w:tc>
          <w:tcPr>
            <w:tcW w:w="3080" w:type="dxa"/>
            <w:tcBorders>
              <w:bottom w:val="nil"/>
            </w:tcBorders>
            <w:shd w:val="clear" w:color="auto" w:fill="auto"/>
          </w:tcPr>
          <w:p w14:paraId="0EF0597D"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Steepness</w:t>
            </w:r>
          </w:p>
        </w:tc>
        <w:tc>
          <w:tcPr>
            <w:tcW w:w="3081" w:type="dxa"/>
            <w:tcBorders>
              <w:bottom w:val="nil"/>
            </w:tcBorders>
            <w:shd w:val="clear" w:color="auto" w:fill="auto"/>
          </w:tcPr>
          <w:p w14:paraId="35A5BB0C"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3</w:t>
            </w:r>
          </w:p>
        </w:tc>
        <w:tc>
          <w:tcPr>
            <w:tcW w:w="3081" w:type="dxa"/>
            <w:tcBorders>
              <w:bottom w:val="nil"/>
            </w:tcBorders>
            <w:shd w:val="clear" w:color="auto" w:fill="auto"/>
          </w:tcPr>
          <w:p w14:paraId="32057C66"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0.65, 0.80, 0.95</w:t>
            </w:r>
          </w:p>
        </w:tc>
      </w:tr>
      <w:tr w:rsidR="00F44783" w:rsidRPr="00D46683" w14:paraId="058CE710" w14:textId="77777777" w:rsidTr="00573C70">
        <w:tc>
          <w:tcPr>
            <w:tcW w:w="3080" w:type="dxa"/>
            <w:tcBorders>
              <w:top w:val="nil"/>
              <w:bottom w:val="nil"/>
            </w:tcBorders>
            <w:shd w:val="clear" w:color="auto" w:fill="auto"/>
          </w:tcPr>
          <w:p w14:paraId="765F6F1B"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Diffusion rate</w:t>
            </w:r>
          </w:p>
        </w:tc>
        <w:tc>
          <w:tcPr>
            <w:tcW w:w="3081" w:type="dxa"/>
            <w:tcBorders>
              <w:top w:val="nil"/>
              <w:bottom w:val="nil"/>
            </w:tcBorders>
            <w:shd w:val="clear" w:color="auto" w:fill="auto"/>
          </w:tcPr>
          <w:p w14:paraId="46364A7B"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3</w:t>
            </w:r>
          </w:p>
        </w:tc>
        <w:tc>
          <w:tcPr>
            <w:tcW w:w="3081" w:type="dxa"/>
            <w:tcBorders>
              <w:top w:val="nil"/>
              <w:bottom w:val="nil"/>
            </w:tcBorders>
            <w:shd w:val="clear" w:color="auto" w:fill="auto"/>
          </w:tcPr>
          <w:p w14:paraId="2BD42B46"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0, 0.11, 0.25</w:t>
            </w:r>
          </w:p>
        </w:tc>
      </w:tr>
      <w:tr w:rsidR="00F44783" w:rsidRPr="00D46683" w14:paraId="01145821" w14:textId="77777777" w:rsidTr="00573C70">
        <w:tc>
          <w:tcPr>
            <w:tcW w:w="3080" w:type="dxa"/>
            <w:tcBorders>
              <w:top w:val="nil"/>
              <w:bottom w:val="nil"/>
            </w:tcBorders>
            <w:shd w:val="clear" w:color="auto" w:fill="auto"/>
          </w:tcPr>
          <w:p w14:paraId="098900FF"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Size frequency weighting</w:t>
            </w:r>
          </w:p>
        </w:tc>
        <w:tc>
          <w:tcPr>
            <w:tcW w:w="3081" w:type="dxa"/>
            <w:tcBorders>
              <w:top w:val="nil"/>
              <w:bottom w:val="nil"/>
            </w:tcBorders>
            <w:shd w:val="clear" w:color="auto" w:fill="auto"/>
          </w:tcPr>
          <w:p w14:paraId="67F7E23E"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2</w:t>
            </w:r>
          </w:p>
        </w:tc>
        <w:tc>
          <w:tcPr>
            <w:tcW w:w="3081" w:type="dxa"/>
            <w:tcBorders>
              <w:top w:val="nil"/>
              <w:bottom w:val="nil"/>
            </w:tcBorders>
            <w:shd w:val="clear" w:color="auto" w:fill="auto"/>
          </w:tcPr>
          <w:p w14:paraId="2BAF59CA"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Sample size divided by 20,40</w:t>
            </w:r>
          </w:p>
        </w:tc>
      </w:tr>
      <w:tr w:rsidR="00F44783" w:rsidRPr="00D46683" w14:paraId="0487B306" w14:textId="77777777" w:rsidTr="00573C70">
        <w:tc>
          <w:tcPr>
            <w:tcW w:w="3080" w:type="dxa"/>
            <w:tcBorders>
              <w:top w:val="nil"/>
            </w:tcBorders>
            <w:shd w:val="clear" w:color="auto" w:fill="auto"/>
          </w:tcPr>
          <w:p w14:paraId="048590E1"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Natural mortality vectors</w:t>
            </w:r>
          </w:p>
        </w:tc>
        <w:tc>
          <w:tcPr>
            <w:tcW w:w="3081" w:type="dxa"/>
            <w:tcBorders>
              <w:top w:val="nil"/>
            </w:tcBorders>
            <w:shd w:val="clear" w:color="auto" w:fill="auto"/>
          </w:tcPr>
          <w:p w14:paraId="1313C5A2"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4</w:t>
            </w:r>
          </w:p>
        </w:tc>
        <w:tc>
          <w:tcPr>
            <w:tcW w:w="3081" w:type="dxa"/>
            <w:tcBorders>
              <w:top w:val="nil"/>
            </w:tcBorders>
            <w:shd w:val="clear" w:color="auto" w:fill="auto"/>
          </w:tcPr>
          <w:p w14:paraId="7891982B" w14:textId="77777777" w:rsidR="00F44783" w:rsidRPr="00D46683" w:rsidRDefault="00F44783" w:rsidP="00F44783">
            <w:pPr>
              <w:adjustRightInd w:val="0"/>
              <w:spacing w:after="0" w:line="240" w:lineRule="auto"/>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M</w:t>
            </w:r>
            <w:proofErr w:type="gramStart"/>
            <w:r w:rsidRPr="00D46683">
              <w:rPr>
                <w:rFonts w:ascii="Times New Roman" w:eastAsia="Times New Roman" w:hAnsi="Times New Roman" w:cs="Times New Roman"/>
                <w:lang w:eastAsia="ja-JP"/>
              </w:rPr>
              <w:t>1,M</w:t>
            </w:r>
            <w:proofErr w:type="gramEnd"/>
            <w:r w:rsidRPr="00D46683">
              <w:rPr>
                <w:rFonts w:ascii="Times New Roman" w:eastAsia="Times New Roman" w:hAnsi="Times New Roman" w:cs="Times New Roman"/>
                <w:lang w:eastAsia="ja-JP"/>
              </w:rPr>
              <w:t>2,M3, M4</w:t>
            </w:r>
          </w:p>
        </w:tc>
      </w:tr>
    </w:tbl>
    <w:p w14:paraId="64EBAD8B" w14:textId="77777777" w:rsidR="00F44783" w:rsidRPr="00D46683" w:rsidRDefault="00F44783" w:rsidP="00F44783">
      <w:pPr>
        <w:adjustRightInd w:val="0"/>
        <w:spacing w:after="0" w:line="240" w:lineRule="auto"/>
        <w:rPr>
          <w:rFonts w:ascii="Times New Roman" w:eastAsia="MS Mincho" w:hAnsi="Times New Roman" w:cs="Times New Roman"/>
        </w:rPr>
      </w:pPr>
    </w:p>
    <w:p w14:paraId="406D8876" w14:textId="77777777" w:rsidR="00F44783" w:rsidRPr="00D46683" w:rsidRDefault="00F44783" w:rsidP="00F44783">
      <w:pPr>
        <w:adjustRightInd w:val="0"/>
        <w:spacing w:after="0" w:line="240" w:lineRule="auto"/>
        <w:rPr>
          <w:rFonts w:ascii="Times New Roman" w:eastAsia="MS Mincho" w:hAnsi="Times New Roman" w:cs="Times New Roman"/>
        </w:rPr>
      </w:pPr>
    </w:p>
    <w:p w14:paraId="4518DDF9" w14:textId="77777777" w:rsidR="00F44783" w:rsidRPr="00D46683" w:rsidRDefault="00F44783" w:rsidP="00F44783">
      <w:pPr>
        <w:adjustRightInd w:val="0"/>
        <w:spacing w:after="0" w:line="240" w:lineRule="auto"/>
        <w:rPr>
          <w:rFonts w:ascii="Times New Roman" w:eastAsia="MS Mincho"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563"/>
      </w:tblGrid>
      <w:tr w:rsidR="00F44783" w:rsidRPr="00D46683" w14:paraId="54600471" w14:textId="77777777" w:rsidTr="00573C70">
        <w:tc>
          <w:tcPr>
            <w:tcW w:w="4788" w:type="dxa"/>
          </w:tcPr>
          <w:p w14:paraId="660881C1" w14:textId="77777777" w:rsidR="00F44783" w:rsidRPr="00D46683" w:rsidRDefault="00F44783" w:rsidP="00F44783">
            <w:pPr>
              <w:adjustRightInd w:val="0"/>
              <w:rPr>
                <w:rFonts w:ascii="Times New Roman" w:eastAsia="MS Mincho" w:hAnsi="Times New Roman" w:cs="Times New Roman"/>
              </w:rPr>
            </w:pPr>
            <w:r w:rsidRPr="00D46683">
              <w:rPr>
                <w:rFonts w:ascii="Times New Roman" w:eastAsia="MS Mincho" w:hAnsi="Times New Roman" w:cs="Times New Roman"/>
                <w:noProof/>
                <w:lang w:eastAsia="zh-CN" w:bidi="mn-Mong-CN"/>
              </w:rPr>
              <w:drawing>
                <wp:inline distT="0" distB="0" distL="0" distR="0" wp14:anchorId="4F310049" wp14:editId="25E4E243">
                  <wp:extent cx="2949454" cy="1690576"/>
                  <wp:effectExtent l="0" t="0" r="3810" b="5080"/>
                  <wp:docPr id="97" name="Picture 3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Grp="1"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8668" cy="1690125"/>
                          </a:xfrm>
                          <a:prstGeom prst="rect">
                            <a:avLst/>
                          </a:prstGeom>
                          <a:noFill/>
                          <a:ln>
                            <a:noFill/>
                          </a:ln>
                        </pic:spPr>
                      </pic:pic>
                    </a:graphicData>
                  </a:graphic>
                </wp:inline>
              </w:drawing>
            </w:r>
          </w:p>
        </w:tc>
        <w:tc>
          <w:tcPr>
            <w:tcW w:w="4788" w:type="dxa"/>
          </w:tcPr>
          <w:p w14:paraId="6F66C352" w14:textId="77777777" w:rsidR="00F44783" w:rsidRPr="00D46683" w:rsidRDefault="00F44783" w:rsidP="00F44783">
            <w:pPr>
              <w:adjustRightInd w:val="0"/>
              <w:rPr>
                <w:rFonts w:ascii="Times New Roman" w:eastAsia="MS Mincho" w:hAnsi="Times New Roman" w:cs="Times New Roman"/>
              </w:rPr>
            </w:pPr>
            <w:r w:rsidRPr="00D46683">
              <w:rPr>
                <w:rFonts w:ascii="Times New Roman" w:hAnsi="Times New Roman" w:cs="Times New Roman"/>
                <w:noProof/>
                <w:lang w:eastAsia="zh-CN" w:bidi="mn-Mong-CN"/>
              </w:rPr>
              <w:drawing>
                <wp:inline distT="0" distB="0" distL="0" distR="0" wp14:anchorId="58C8F3D6" wp14:editId="303F4E3B">
                  <wp:extent cx="2892056" cy="1661934"/>
                  <wp:effectExtent l="0" t="0" r="3810" b="0"/>
                  <wp:docPr id="98" name="Picture 37" descr="Fig18_Rec_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ig18_Rec_dia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93668" cy="1662860"/>
                          </a:xfrm>
                          <a:prstGeom prst="rect">
                            <a:avLst/>
                          </a:prstGeom>
                          <a:noFill/>
                          <a:ln>
                            <a:noFill/>
                          </a:ln>
                        </pic:spPr>
                      </pic:pic>
                    </a:graphicData>
                  </a:graphic>
                </wp:inline>
              </w:drawing>
            </w:r>
          </w:p>
        </w:tc>
      </w:tr>
      <w:tr w:rsidR="00F44783" w:rsidRPr="00D46683" w14:paraId="5F0B7ED3" w14:textId="77777777" w:rsidTr="00573C70">
        <w:tc>
          <w:tcPr>
            <w:tcW w:w="4788" w:type="dxa"/>
          </w:tcPr>
          <w:p w14:paraId="0297535F" w14:textId="77777777" w:rsidR="00F44783" w:rsidRPr="00D46683" w:rsidRDefault="00F44783" w:rsidP="00F44783">
            <w:pPr>
              <w:adjustRightInd w:val="0"/>
              <w:rPr>
                <w:rFonts w:ascii="Times New Roman" w:eastAsia="MS Mincho" w:hAnsi="Times New Roman" w:cs="Times New Roman"/>
              </w:rPr>
            </w:pPr>
            <w:r w:rsidRPr="00D46683">
              <w:rPr>
                <w:rFonts w:ascii="Times New Roman" w:eastAsia="MS Mincho" w:hAnsi="Times New Roman" w:cs="Times New Roman"/>
                <w:b/>
                <w:bCs/>
              </w:rPr>
              <w:t>Figure SWO-1</w:t>
            </w:r>
            <w:r w:rsidRPr="00D46683">
              <w:rPr>
                <w:rFonts w:ascii="Times New Roman" w:eastAsia="MS PMincho" w:hAnsi="Times New Roman" w:cs="Times New Roman"/>
              </w:rPr>
              <w:t xml:space="preserve">. </w:t>
            </w:r>
            <w:r w:rsidRPr="00D46683">
              <w:rPr>
                <w:rFonts w:ascii="Times New Roman" w:hAnsi="Times New Roman" w:cs="Times New Roman"/>
              </w:rPr>
              <w:t xml:space="preserve">Total swordfish catches in weight grouped by major longline-method fisheries in the model regions, 1952–2011. (DW1 - distant water fleet region 1; AUS – Australian region 1; Other1 - Other fisheries region 1; DW2 - distant water fleet region 2; NZ2 - New Zealand region 2; EU2 – EU (Spanish) region 2; Other2 - </w:t>
            </w:r>
            <w:proofErr w:type="gramStart"/>
            <w:r w:rsidRPr="00D46683">
              <w:rPr>
                <w:rFonts w:ascii="Times New Roman" w:hAnsi="Times New Roman" w:cs="Times New Roman"/>
              </w:rPr>
              <w:t>other</w:t>
            </w:r>
            <w:proofErr w:type="gramEnd"/>
            <w:r w:rsidRPr="00D46683">
              <w:rPr>
                <w:rFonts w:ascii="Times New Roman" w:hAnsi="Times New Roman" w:cs="Times New Roman"/>
              </w:rPr>
              <w:t xml:space="preserve"> fisheries region 2)</w:t>
            </w:r>
          </w:p>
          <w:p w14:paraId="026621B5" w14:textId="77777777" w:rsidR="00F44783" w:rsidRPr="00D46683" w:rsidRDefault="00F44783" w:rsidP="00F44783">
            <w:pPr>
              <w:adjustRightInd w:val="0"/>
              <w:rPr>
                <w:rFonts w:ascii="Times New Roman" w:eastAsia="MS Mincho" w:hAnsi="Times New Roman" w:cs="Times New Roman"/>
              </w:rPr>
            </w:pPr>
          </w:p>
        </w:tc>
        <w:tc>
          <w:tcPr>
            <w:tcW w:w="4788" w:type="dxa"/>
          </w:tcPr>
          <w:p w14:paraId="2327C718" w14:textId="77777777" w:rsidR="00F44783" w:rsidRPr="00D46683" w:rsidRDefault="00F44783" w:rsidP="00F44783">
            <w:pPr>
              <w:adjustRightInd w:val="0"/>
              <w:rPr>
                <w:rFonts w:ascii="Times New Roman" w:eastAsia="PMingLiU" w:hAnsi="Times New Roman" w:cs="Times New Roman"/>
                <w:lang w:val="en-AU" w:eastAsia="zh-TW"/>
              </w:rPr>
            </w:pPr>
            <w:r w:rsidRPr="00D46683">
              <w:rPr>
                <w:rFonts w:ascii="Times New Roman" w:eastAsia="PMingLiU" w:hAnsi="Times New Roman" w:cs="Times New Roman"/>
                <w:b/>
                <w:bCs/>
                <w:lang w:val="en-AU" w:eastAsia="zh-TW"/>
              </w:rPr>
              <w:t xml:space="preserve">Figure </w:t>
            </w:r>
            <w:r w:rsidRPr="00D46683">
              <w:rPr>
                <w:rFonts w:ascii="Times New Roman" w:hAnsi="Times New Roman" w:cs="Times New Roman"/>
                <w:b/>
                <w:bCs/>
                <w:lang w:val="en-AU" w:eastAsia="ja-JP"/>
              </w:rPr>
              <w:t>SWO</w:t>
            </w:r>
            <w:r w:rsidRPr="00D46683">
              <w:rPr>
                <w:rFonts w:ascii="Times New Roman" w:eastAsia="PMingLiU" w:hAnsi="Times New Roman" w:cs="Times New Roman"/>
                <w:b/>
                <w:bCs/>
                <w:lang w:val="en-AU" w:eastAsia="zh-TW"/>
              </w:rPr>
              <w:t>2</w:t>
            </w:r>
            <w:r w:rsidRPr="00D46683">
              <w:rPr>
                <w:rFonts w:ascii="Times New Roman" w:eastAsia="PMingLiU" w:hAnsi="Times New Roman" w:cs="Times New Roman"/>
                <w:b/>
                <w:lang w:val="en-AU" w:eastAsia="zh-TW"/>
              </w:rPr>
              <w:t xml:space="preserve">. </w:t>
            </w:r>
            <w:r w:rsidRPr="00D46683">
              <w:rPr>
                <w:rFonts w:ascii="Times New Roman" w:eastAsia="PMingLiU" w:hAnsi="Times New Roman" w:cs="Times New Roman"/>
                <w:lang w:val="en-AU" w:eastAsia="zh-TW"/>
              </w:rPr>
              <w:t>Estimated annual average recruitment by model region for the diagnostic case model, showing the relative sizes among regions.</w:t>
            </w:r>
          </w:p>
          <w:p w14:paraId="480D9FE2" w14:textId="77777777" w:rsidR="00F44783" w:rsidRPr="00D46683" w:rsidRDefault="00F44783" w:rsidP="00F44783">
            <w:pPr>
              <w:adjustRightInd w:val="0"/>
              <w:rPr>
                <w:rFonts w:ascii="Times New Roman" w:eastAsiaTheme="minorEastAsia" w:hAnsi="Times New Roman" w:cs="Times New Roman"/>
                <w:lang w:eastAsia="ko-KR"/>
              </w:rPr>
            </w:pPr>
          </w:p>
          <w:p w14:paraId="4DBB6DD4" w14:textId="77777777" w:rsidR="00F44783" w:rsidRPr="00D46683" w:rsidRDefault="00F44783" w:rsidP="00F44783">
            <w:pPr>
              <w:adjustRightInd w:val="0"/>
              <w:rPr>
                <w:rFonts w:ascii="Times New Roman" w:eastAsiaTheme="minorEastAsia" w:hAnsi="Times New Roman" w:cs="Times New Roman"/>
                <w:lang w:eastAsia="ko-KR"/>
              </w:rPr>
            </w:pPr>
          </w:p>
          <w:p w14:paraId="2A7137DB" w14:textId="77777777" w:rsidR="00F44783" w:rsidRPr="00D46683" w:rsidRDefault="00F44783" w:rsidP="00F44783">
            <w:pPr>
              <w:adjustRightInd w:val="0"/>
              <w:rPr>
                <w:rFonts w:ascii="Times New Roman" w:eastAsiaTheme="minorEastAsia" w:hAnsi="Times New Roman" w:cs="Times New Roman"/>
                <w:lang w:eastAsia="ko-KR"/>
              </w:rPr>
            </w:pPr>
          </w:p>
          <w:p w14:paraId="54789E3B" w14:textId="77777777" w:rsidR="00F44783" w:rsidRPr="00D46683" w:rsidRDefault="00F44783" w:rsidP="00F44783">
            <w:pPr>
              <w:adjustRightInd w:val="0"/>
              <w:rPr>
                <w:rFonts w:ascii="Times New Roman" w:eastAsiaTheme="minorEastAsia" w:hAnsi="Times New Roman" w:cs="Times New Roman"/>
                <w:lang w:eastAsia="ko-KR"/>
              </w:rPr>
            </w:pPr>
          </w:p>
          <w:p w14:paraId="325B16D3" w14:textId="77777777" w:rsidR="00F44783" w:rsidRPr="00D46683" w:rsidRDefault="00F44783" w:rsidP="00F44783">
            <w:pPr>
              <w:adjustRightInd w:val="0"/>
              <w:rPr>
                <w:rFonts w:ascii="Times New Roman" w:eastAsiaTheme="minorEastAsia" w:hAnsi="Times New Roman" w:cs="Times New Roman"/>
                <w:lang w:eastAsia="ko-KR"/>
              </w:rPr>
            </w:pPr>
          </w:p>
          <w:p w14:paraId="6B876AE0" w14:textId="77777777" w:rsidR="00F44783" w:rsidRPr="00D46683" w:rsidRDefault="00F44783" w:rsidP="00F44783">
            <w:pPr>
              <w:adjustRightInd w:val="0"/>
              <w:rPr>
                <w:rFonts w:ascii="Times New Roman" w:eastAsiaTheme="minorEastAsia" w:hAnsi="Times New Roman" w:cs="Times New Roman"/>
                <w:lang w:eastAsia="ko-KR"/>
              </w:rPr>
            </w:pPr>
          </w:p>
          <w:p w14:paraId="451C057E" w14:textId="77777777" w:rsidR="00F44783" w:rsidRPr="00D46683" w:rsidRDefault="00F44783" w:rsidP="00F44783">
            <w:pPr>
              <w:adjustRightInd w:val="0"/>
              <w:rPr>
                <w:rFonts w:ascii="Times New Roman" w:eastAsiaTheme="minorEastAsia" w:hAnsi="Times New Roman" w:cs="Times New Roman"/>
                <w:lang w:eastAsia="ko-KR"/>
              </w:rPr>
            </w:pPr>
          </w:p>
        </w:tc>
      </w:tr>
      <w:tr w:rsidR="00F44783" w:rsidRPr="00D46683" w14:paraId="19CEFD5C" w14:textId="77777777" w:rsidTr="00573C70">
        <w:tc>
          <w:tcPr>
            <w:tcW w:w="4788" w:type="dxa"/>
          </w:tcPr>
          <w:p w14:paraId="570D4C80" w14:textId="77777777" w:rsidR="00F44783" w:rsidRPr="00D46683" w:rsidRDefault="00F44783" w:rsidP="00F44783">
            <w:pPr>
              <w:adjustRightInd w:val="0"/>
              <w:rPr>
                <w:rFonts w:ascii="Times New Roman" w:eastAsia="MS Mincho" w:hAnsi="Times New Roman" w:cs="Times New Roman"/>
              </w:rPr>
            </w:pPr>
            <w:r w:rsidRPr="00D46683">
              <w:rPr>
                <w:rFonts w:ascii="Times New Roman" w:eastAsia="PMingLiU" w:hAnsi="Times New Roman" w:cs="Times New Roman"/>
                <w:noProof/>
                <w:lang w:eastAsia="zh-CN" w:bidi="mn-Mong-CN"/>
              </w:rPr>
              <w:lastRenderedPageBreak/>
              <w:drawing>
                <wp:inline distT="0" distB="0" distL="0" distR="0" wp14:anchorId="07A90015" wp14:editId="7974E683">
                  <wp:extent cx="3051544" cy="1739952"/>
                  <wp:effectExtent l="0" t="0" r="0" b="0"/>
                  <wp:docPr id="99" name="Picture 3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Grp="1"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50658" cy="1739447"/>
                          </a:xfrm>
                          <a:prstGeom prst="rect">
                            <a:avLst/>
                          </a:prstGeom>
                          <a:noFill/>
                          <a:ln>
                            <a:noFill/>
                          </a:ln>
                        </pic:spPr>
                      </pic:pic>
                    </a:graphicData>
                  </a:graphic>
                </wp:inline>
              </w:drawing>
            </w:r>
          </w:p>
        </w:tc>
        <w:tc>
          <w:tcPr>
            <w:tcW w:w="4788" w:type="dxa"/>
          </w:tcPr>
          <w:p w14:paraId="343CC143" w14:textId="77777777" w:rsidR="00F44783" w:rsidRPr="00D46683" w:rsidRDefault="00F44783" w:rsidP="00F44783">
            <w:pPr>
              <w:adjustRightInd w:val="0"/>
              <w:rPr>
                <w:rFonts w:ascii="Times New Roman" w:eastAsia="MS Mincho" w:hAnsi="Times New Roman" w:cs="Times New Roman"/>
              </w:rPr>
            </w:pPr>
            <w:r w:rsidRPr="00D46683">
              <w:rPr>
                <w:rFonts w:ascii="Times New Roman" w:hAnsi="Times New Roman" w:cs="Times New Roman"/>
                <w:noProof/>
                <w:lang w:eastAsia="zh-CN" w:bidi="mn-Mong-CN"/>
              </w:rPr>
              <w:drawing>
                <wp:inline distT="0" distB="0" distL="0" distR="0" wp14:anchorId="14BC3B56" wp14:editId="143CFC94">
                  <wp:extent cx="2869495" cy="1648046"/>
                  <wp:effectExtent l="0" t="0" r="7620" b="0"/>
                  <wp:docPr id="100" name="Picture 35" descr="Fig25_FAAtrendd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g25_FAAtrenddia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7693" cy="1652755"/>
                          </a:xfrm>
                          <a:prstGeom prst="rect">
                            <a:avLst/>
                          </a:prstGeom>
                          <a:noFill/>
                          <a:ln>
                            <a:noFill/>
                          </a:ln>
                        </pic:spPr>
                      </pic:pic>
                    </a:graphicData>
                  </a:graphic>
                </wp:inline>
              </w:drawing>
            </w:r>
          </w:p>
        </w:tc>
      </w:tr>
      <w:tr w:rsidR="00F44783" w:rsidRPr="00D46683" w14:paraId="55C2805C" w14:textId="77777777" w:rsidTr="00573C70">
        <w:tc>
          <w:tcPr>
            <w:tcW w:w="4788" w:type="dxa"/>
          </w:tcPr>
          <w:p w14:paraId="34DA79FB" w14:textId="77777777" w:rsidR="00F44783" w:rsidRPr="00D46683" w:rsidRDefault="00F44783" w:rsidP="00F44783">
            <w:pPr>
              <w:adjustRightInd w:val="0"/>
              <w:rPr>
                <w:rFonts w:ascii="Times New Roman" w:eastAsia="PMingLiU" w:hAnsi="Times New Roman" w:cs="Times New Roman"/>
                <w:lang w:val="en-AU" w:eastAsia="zh-TW"/>
              </w:rPr>
            </w:pPr>
            <w:r w:rsidRPr="00D46683">
              <w:rPr>
                <w:rFonts w:ascii="Times New Roman" w:eastAsia="PMingLiU" w:hAnsi="Times New Roman" w:cs="Times New Roman"/>
                <w:b/>
                <w:lang w:val="en-AU" w:eastAsia="zh-TW"/>
              </w:rPr>
              <w:t xml:space="preserve">Figure SWO3. </w:t>
            </w:r>
            <w:r w:rsidRPr="00D46683">
              <w:rPr>
                <w:rFonts w:ascii="Times New Roman" w:eastAsia="PMingLiU" w:hAnsi="Times New Roman" w:cs="Times New Roman"/>
                <w:lang w:val="en-AU" w:eastAsia="zh-TW"/>
              </w:rPr>
              <w:t>Estimated annual average spawning potential by model region for the diagnostic case model, showing the relative sizes among regions.</w:t>
            </w:r>
          </w:p>
          <w:p w14:paraId="3C865791" w14:textId="77777777" w:rsidR="00F44783" w:rsidRPr="00D46683" w:rsidRDefault="00F44783" w:rsidP="00F44783">
            <w:pPr>
              <w:adjustRightInd w:val="0"/>
              <w:rPr>
                <w:rFonts w:ascii="Times New Roman" w:eastAsia="MS Mincho" w:hAnsi="Times New Roman" w:cs="Times New Roman"/>
              </w:rPr>
            </w:pPr>
          </w:p>
        </w:tc>
        <w:tc>
          <w:tcPr>
            <w:tcW w:w="4788" w:type="dxa"/>
          </w:tcPr>
          <w:p w14:paraId="08DA3729" w14:textId="6655C1E0" w:rsidR="00F44783" w:rsidRPr="00D46683" w:rsidRDefault="00F44783" w:rsidP="00F44783">
            <w:pPr>
              <w:adjustRightInd w:val="0"/>
              <w:rPr>
                <w:rFonts w:ascii="Times New Roman" w:eastAsia="MS Mincho" w:hAnsi="Times New Roman" w:cs="Times New Roman"/>
              </w:rPr>
            </w:pPr>
            <w:r w:rsidRPr="00D46683">
              <w:rPr>
                <w:rFonts w:ascii="Times New Roman" w:eastAsia="MS Mincho" w:hAnsi="Times New Roman" w:cs="Times New Roman"/>
                <w:b/>
              </w:rPr>
              <w:t xml:space="preserve">Figure SWO-4. </w:t>
            </w:r>
            <w:r w:rsidRPr="00D46683">
              <w:rPr>
                <w:rFonts w:ascii="Times New Roman" w:eastAsia="MS Mincho" w:hAnsi="Times New Roman" w:cs="Times New Roman"/>
              </w:rPr>
              <w:t>Estimated annual average juvenile (age classes 1-3), maturing adult (4-6) and adult (7+) fishing mortality for the diagnostic case model.</w:t>
            </w:r>
          </w:p>
          <w:p w14:paraId="02FB97A7" w14:textId="08F59D04" w:rsidR="00F44783" w:rsidRPr="00D46683" w:rsidRDefault="00F44783" w:rsidP="00F44783">
            <w:pPr>
              <w:adjustRightInd w:val="0"/>
              <w:rPr>
                <w:rFonts w:ascii="Times New Roman" w:eastAsia="MS Mincho" w:hAnsi="Times New Roman" w:cs="Times New Roman"/>
                <w:bCs/>
              </w:rPr>
            </w:pPr>
          </w:p>
          <w:p w14:paraId="51955089" w14:textId="77777777" w:rsidR="00F44783" w:rsidRPr="00D46683" w:rsidRDefault="00F44783" w:rsidP="00F44783">
            <w:pPr>
              <w:adjustRightInd w:val="0"/>
              <w:rPr>
                <w:rFonts w:ascii="Times New Roman" w:eastAsia="PMingLiU" w:hAnsi="Times New Roman" w:cs="Times New Roman"/>
                <w:bCs/>
                <w:lang w:eastAsia="zh-TW"/>
              </w:rPr>
            </w:pPr>
          </w:p>
          <w:p w14:paraId="3682DF6F" w14:textId="77777777" w:rsidR="00F44783" w:rsidRPr="00D46683" w:rsidRDefault="00F44783" w:rsidP="00F44783">
            <w:pPr>
              <w:adjustRightInd w:val="0"/>
              <w:rPr>
                <w:rFonts w:ascii="Times New Roman" w:eastAsia="MS Mincho" w:hAnsi="Times New Roman" w:cs="Times New Roman"/>
              </w:rPr>
            </w:pPr>
          </w:p>
        </w:tc>
      </w:tr>
    </w:tbl>
    <w:p w14:paraId="21C33DDD" w14:textId="77777777" w:rsidR="00F44783" w:rsidRPr="00D46683" w:rsidRDefault="00F44783" w:rsidP="00F44783">
      <w:pPr>
        <w:adjustRightInd w:val="0"/>
        <w:spacing w:after="0" w:line="240" w:lineRule="auto"/>
        <w:rPr>
          <w:rFonts w:ascii="Times New Roman" w:hAnsi="Times New Roman" w:cs="Times New Roman"/>
          <w:lang w:val="en-AU"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7"/>
        <w:gridCol w:w="4633"/>
      </w:tblGrid>
      <w:tr w:rsidR="00F44783" w:rsidRPr="00D46683" w14:paraId="72B58AA9" w14:textId="77777777" w:rsidTr="00573C70">
        <w:tc>
          <w:tcPr>
            <w:tcW w:w="9576" w:type="dxa"/>
            <w:gridSpan w:val="2"/>
          </w:tcPr>
          <w:p w14:paraId="5A29051A" w14:textId="77777777" w:rsidR="00F44783" w:rsidRPr="00D46683" w:rsidRDefault="00F44783" w:rsidP="00F44783">
            <w:pPr>
              <w:adjustRightInd w:val="0"/>
              <w:jc w:val="center"/>
              <w:rPr>
                <w:rFonts w:ascii="Times New Roman" w:hAnsi="Times New Roman" w:cs="Times New Roman"/>
                <w:lang w:val="en-AU" w:eastAsia="ko-KR"/>
              </w:rPr>
            </w:pPr>
            <w:r w:rsidRPr="00D46683">
              <w:rPr>
                <w:rFonts w:ascii="Times New Roman" w:eastAsia="MS Mincho" w:hAnsi="Times New Roman" w:cs="Times New Roman"/>
                <w:b/>
                <w:noProof/>
                <w:lang w:eastAsia="zh-CN" w:bidi="mn-Mong-CN"/>
              </w:rPr>
              <w:drawing>
                <wp:inline distT="0" distB="0" distL="0" distR="0" wp14:anchorId="02B2854C" wp14:editId="741F6F6E">
                  <wp:extent cx="3986900" cy="2987899"/>
                  <wp:effectExtent l="0" t="0" r="0" b="3175"/>
                  <wp:docPr id="101" name="Picture 34" descr="Fig28d_plot_depletion_compare_2017Grid_steep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g28d_plot_depletion_compare_2017Grid_steepnes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1319" cy="2998705"/>
                          </a:xfrm>
                          <a:prstGeom prst="rect">
                            <a:avLst/>
                          </a:prstGeom>
                          <a:noFill/>
                          <a:ln>
                            <a:noFill/>
                          </a:ln>
                        </pic:spPr>
                      </pic:pic>
                    </a:graphicData>
                  </a:graphic>
                </wp:inline>
              </w:drawing>
            </w:r>
          </w:p>
        </w:tc>
      </w:tr>
      <w:tr w:rsidR="00F44783" w:rsidRPr="00D46683" w14:paraId="4D4475B0" w14:textId="77777777" w:rsidTr="00573C70">
        <w:tc>
          <w:tcPr>
            <w:tcW w:w="9576" w:type="dxa"/>
            <w:gridSpan w:val="2"/>
          </w:tcPr>
          <w:p w14:paraId="39957BE4" w14:textId="77777777" w:rsidR="00F44783" w:rsidRPr="00D46683" w:rsidRDefault="00F44783" w:rsidP="00F44783">
            <w:pPr>
              <w:adjustRightInd w:val="0"/>
              <w:rPr>
                <w:rFonts w:ascii="Times New Roman" w:eastAsiaTheme="minorEastAsia" w:hAnsi="Times New Roman" w:cs="Times New Roman"/>
                <w:lang w:eastAsia="ko-KR"/>
              </w:rPr>
            </w:pPr>
            <w:r w:rsidRPr="00D46683">
              <w:rPr>
                <w:rFonts w:ascii="Times New Roman" w:eastAsia="MS Mincho" w:hAnsi="Times New Roman" w:cs="Times New Roman"/>
                <w:b/>
                <w:bCs/>
              </w:rPr>
              <w:t>Figure SWO-5</w:t>
            </w:r>
            <w:r w:rsidRPr="00D46683">
              <w:rPr>
                <w:rFonts w:ascii="Times New Roman" w:eastAsia="MS PMincho" w:hAnsi="Times New Roman" w:cs="Times New Roman"/>
                <w:b/>
              </w:rPr>
              <w:t xml:space="preserve">. </w:t>
            </w:r>
            <w:r w:rsidRPr="00D46683">
              <w:rPr>
                <w:rFonts w:ascii="Times New Roman" w:eastAsia="MS PMincho" w:hAnsi="Times New Roman" w:cs="Times New Roman"/>
              </w:rPr>
              <w:t xml:space="preserve">Plot showing the trajectories of fishing depletion (of spawning potential) for the 72 model runs retained for the structural uncertainty grid used for management advice. The </w:t>
            </w:r>
            <w:proofErr w:type="spellStart"/>
            <w:r w:rsidRPr="00D46683">
              <w:rPr>
                <w:rFonts w:ascii="Times New Roman" w:eastAsia="MS PMincho" w:hAnsi="Times New Roman" w:cs="Times New Roman"/>
              </w:rPr>
              <w:t>colours</w:t>
            </w:r>
            <w:proofErr w:type="spellEnd"/>
            <w:r w:rsidRPr="00D46683">
              <w:rPr>
                <w:rFonts w:ascii="Times New Roman" w:eastAsia="MS PMincho" w:hAnsi="Times New Roman" w:cs="Times New Roman"/>
              </w:rPr>
              <w:t xml:space="preserve"> depict the models in the grid with three levels of steepness (0.65, 0.8 and 0.95).</w:t>
            </w:r>
          </w:p>
          <w:p w14:paraId="36BEB577" w14:textId="77777777" w:rsidR="00F44783" w:rsidRPr="00D46683" w:rsidRDefault="00F44783" w:rsidP="00F44783">
            <w:pPr>
              <w:adjustRightInd w:val="0"/>
              <w:rPr>
                <w:rFonts w:ascii="Times New Roman" w:eastAsiaTheme="minorEastAsia" w:hAnsi="Times New Roman" w:cs="Times New Roman"/>
                <w:lang w:val="en-AU" w:eastAsia="ko-KR"/>
              </w:rPr>
            </w:pPr>
          </w:p>
        </w:tc>
      </w:tr>
      <w:tr w:rsidR="00F44783" w:rsidRPr="00D46683" w14:paraId="7E42FB28" w14:textId="77777777" w:rsidTr="00573C70">
        <w:tc>
          <w:tcPr>
            <w:tcW w:w="4833" w:type="dxa"/>
            <w:vAlign w:val="center"/>
          </w:tcPr>
          <w:p w14:paraId="5663CA83" w14:textId="77777777" w:rsidR="00F44783" w:rsidRPr="00D46683" w:rsidRDefault="00F44783" w:rsidP="00F44783">
            <w:pPr>
              <w:adjustRightInd w:val="0"/>
              <w:jc w:val="center"/>
              <w:rPr>
                <w:rFonts w:ascii="Times New Roman" w:hAnsi="Times New Roman" w:cs="Times New Roman"/>
                <w:lang w:val="en-AU" w:eastAsia="ko-KR"/>
              </w:rPr>
            </w:pPr>
            <w:r w:rsidRPr="00D46683">
              <w:rPr>
                <w:rFonts w:ascii="Times New Roman" w:eastAsia="MS PMincho" w:hAnsi="Times New Roman" w:cs="Times New Roman"/>
                <w:noProof/>
                <w:lang w:eastAsia="zh-CN" w:bidi="mn-Mong-CN"/>
              </w:rPr>
              <w:lastRenderedPageBreak/>
              <w:drawing>
                <wp:inline distT="0" distB="0" distL="0" distR="0" wp14:anchorId="2C1FDF76" wp14:editId="5DCC75E7">
                  <wp:extent cx="2818356" cy="2635214"/>
                  <wp:effectExtent l="0" t="0" r="1270" b="0"/>
                  <wp:docPr id="102" name="Picture 33" descr="Majuro-summary-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juro-summary-re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0372" cy="2637099"/>
                          </a:xfrm>
                          <a:prstGeom prst="rect">
                            <a:avLst/>
                          </a:prstGeom>
                          <a:noFill/>
                          <a:ln>
                            <a:noFill/>
                          </a:ln>
                        </pic:spPr>
                      </pic:pic>
                    </a:graphicData>
                  </a:graphic>
                </wp:inline>
              </w:drawing>
            </w:r>
          </w:p>
        </w:tc>
        <w:tc>
          <w:tcPr>
            <w:tcW w:w="4743" w:type="dxa"/>
            <w:vAlign w:val="center"/>
          </w:tcPr>
          <w:p w14:paraId="4D5CDACE" w14:textId="77777777" w:rsidR="00F44783" w:rsidRPr="00D46683" w:rsidRDefault="00F44783" w:rsidP="00F44783">
            <w:pPr>
              <w:adjustRightInd w:val="0"/>
              <w:jc w:val="center"/>
              <w:rPr>
                <w:rFonts w:ascii="Times New Roman" w:hAnsi="Times New Roman" w:cs="Times New Roman"/>
                <w:lang w:val="en-AU" w:eastAsia="ko-KR"/>
              </w:rPr>
            </w:pPr>
            <w:r w:rsidRPr="00D46683">
              <w:rPr>
                <w:rFonts w:ascii="Times New Roman" w:eastAsia="MS Mincho" w:hAnsi="Times New Roman" w:cs="Times New Roman"/>
                <w:noProof/>
                <w:lang w:eastAsia="zh-CN" w:bidi="mn-Mong-CN"/>
              </w:rPr>
              <w:drawing>
                <wp:inline distT="0" distB="0" distL="0" distR="0" wp14:anchorId="07D3F610" wp14:editId="699380CD">
                  <wp:extent cx="2768252" cy="2635946"/>
                  <wp:effectExtent l="0" t="0" r="0" b="0"/>
                  <wp:docPr id="103" name="Picture 103" descr="Majuro-SBrec-summary-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juro-SBrec-summary-re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7680" cy="2635401"/>
                          </a:xfrm>
                          <a:prstGeom prst="rect">
                            <a:avLst/>
                          </a:prstGeom>
                          <a:noFill/>
                          <a:ln>
                            <a:noFill/>
                          </a:ln>
                        </pic:spPr>
                      </pic:pic>
                    </a:graphicData>
                  </a:graphic>
                </wp:inline>
              </w:drawing>
            </w:r>
          </w:p>
        </w:tc>
      </w:tr>
      <w:tr w:rsidR="00F44783" w:rsidRPr="00D46683" w14:paraId="7A0333BA" w14:textId="77777777" w:rsidTr="00573C70">
        <w:tc>
          <w:tcPr>
            <w:tcW w:w="4788" w:type="dxa"/>
          </w:tcPr>
          <w:p w14:paraId="6AAA2411" w14:textId="77777777" w:rsidR="00F44783" w:rsidRPr="00D46683" w:rsidRDefault="00F44783" w:rsidP="00F44783">
            <w:pPr>
              <w:adjustRightInd w:val="0"/>
              <w:rPr>
                <w:rFonts w:ascii="Times New Roman" w:eastAsia="MS Mincho" w:hAnsi="Times New Roman" w:cs="Times New Roman"/>
                <w:b/>
                <w:bCs/>
              </w:rPr>
            </w:pPr>
            <w:r w:rsidRPr="00D46683">
              <w:rPr>
                <w:rFonts w:ascii="Times New Roman" w:eastAsia="MS Mincho" w:hAnsi="Times New Roman" w:cs="Times New Roman"/>
                <w:b/>
                <w:bCs/>
              </w:rPr>
              <w:t>Figure SWO-6.</w:t>
            </w:r>
            <w:r w:rsidRPr="00D46683">
              <w:rPr>
                <w:rFonts w:ascii="Times New Roman" w:eastAsia="MS Mincho" w:hAnsi="Times New Roman" w:cs="Times New Roman"/>
              </w:rPr>
              <w:t xml:space="preserve"> Majuro plot </w:t>
            </w:r>
            <w:proofErr w:type="spellStart"/>
            <w:r w:rsidRPr="00D46683">
              <w:rPr>
                <w:rFonts w:ascii="Times New Roman" w:eastAsia="MS Mincho" w:hAnsi="Times New Roman" w:cs="Times New Roman"/>
              </w:rPr>
              <w:t>summarising</w:t>
            </w:r>
            <w:proofErr w:type="spellEnd"/>
            <w:r w:rsidRPr="00D46683">
              <w:rPr>
                <w:rFonts w:ascii="Times New Roman" w:eastAsia="MS Mincho" w:hAnsi="Times New Roman" w:cs="Times New Roman"/>
              </w:rPr>
              <w:t xml:space="preserve"> the results for each of the models in the structural uncertainty grid retained for management advice. 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F</w:t>
            </w:r>
            <w:r w:rsidRPr="00D46683">
              <w:rPr>
                <w:rFonts w:ascii="Times New Roman" w:eastAsia="MS Mincho" w:hAnsi="Times New Roman" w:cs="Times New Roman"/>
                <w:vertAlign w:val="subscript"/>
              </w:rPr>
              <w:t>MSY</w:t>
            </w:r>
            <w:r w:rsidRPr="00D46683">
              <w:rPr>
                <w:rFonts w:ascii="Times New Roman" w:eastAsia="MS Mincho" w:hAnsi="Times New Roman" w:cs="Times New Roman"/>
              </w:rPr>
              <w:t xml:space="preserve"> (F</w:t>
            </w:r>
            <w:r w:rsidRPr="00D46683">
              <w:rPr>
                <w:rFonts w:ascii="Times New Roman" w:eastAsia="MS Mincho" w:hAnsi="Times New Roman" w:cs="Times New Roman"/>
                <w:vertAlign w:val="subscript"/>
              </w:rPr>
              <w:t>MSY</w:t>
            </w:r>
            <w:r w:rsidRPr="00D46683">
              <w:rPr>
                <w:rFonts w:ascii="Times New Roman" w:eastAsia="MS Mincho" w:hAnsi="Times New Roman" w:cs="Times New Roman"/>
              </w:rPr>
              <w:t xml:space="preserve"> is marked with the black dashed line). The points represent SB</w:t>
            </w:r>
            <w:r w:rsidRPr="00D46683">
              <w:rPr>
                <w:rFonts w:ascii="Times New Roman" w:eastAsia="MS Mincho" w:hAnsi="Times New Roman" w:cs="Times New Roman"/>
                <w:vertAlign w:val="subscript"/>
              </w:rPr>
              <w:t>latest</w:t>
            </w:r>
            <w:r w:rsidRPr="00D46683" w:rsidDel="00300F08">
              <w:rPr>
                <w:rFonts w:ascii="Times New Roman" w:eastAsia="MS Mincho" w:hAnsi="Times New Roman" w:cs="Times New Roman"/>
              </w:rPr>
              <w:t xml:space="preserve"> </w:t>
            </w:r>
            <w:r w:rsidRPr="00D46683">
              <w:rPr>
                <w:rFonts w:ascii="Times New Roman" w:eastAsia="MS Mincho" w:hAnsi="Times New Roman" w:cs="Times New Roman"/>
              </w:rPr>
              <w:t>/SB</w:t>
            </w:r>
            <w:r w:rsidRPr="00D46683">
              <w:rPr>
                <w:rFonts w:ascii="Times New Roman" w:eastAsia="MS Mincho" w:hAnsi="Times New Roman" w:cs="Times New Roman"/>
                <w:vertAlign w:val="subscript"/>
              </w:rPr>
              <w:t>F=0</w:t>
            </w:r>
            <w:r w:rsidRPr="00D46683">
              <w:rPr>
                <w:rFonts w:ascii="Times New Roman" w:eastAsia="MS Mincho" w:hAnsi="Times New Roman" w:cs="Times New Roman"/>
              </w:rPr>
              <w:t xml:space="preserve">, and the </w:t>
            </w:r>
            <w:proofErr w:type="spellStart"/>
            <w:r w:rsidRPr="00D46683">
              <w:rPr>
                <w:rFonts w:ascii="Times New Roman" w:eastAsia="MS Mincho" w:hAnsi="Times New Roman" w:cs="Times New Roman"/>
              </w:rPr>
              <w:t>colours</w:t>
            </w:r>
            <w:proofErr w:type="spellEnd"/>
            <w:r w:rsidRPr="00D46683">
              <w:rPr>
                <w:rFonts w:ascii="Times New Roman" w:eastAsia="MS Mincho" w:hAnsi="Times New Roman" w:cs="Times New Roman"/>
              </w:rPr>
              <w:t xml:space="preserve"> depict the models in the grid </w:t>
            </w:r>
            <w:r w:rsidRPr="00D46683">
              <w:rPr>
                <w:rFonts w:ascii="Times New Roman" w:eastAsia="MS PMincho" w:hAnsi="Times New Roman" w:cs="Times New Roman"/>
              </w:rPr>
              <w:t>with three levels of steepness (0.65, 0.8 and 0.95).</w:t>
            </w:r>
          </w:p>
          <w:p w14:paraId="1C3687CE" w14:textId="77777777" w:rsidR="00F44783" w:rsidRPr="00D46683" w:rsidRDefault="00F44783" w:rsidP="00F44783">
            <w:pPr>
              <w:adjustRightInd w:val="0"/>
              <w:rPr>
                <w:rFonts w:ascii="Times New Roman" w:hAnsi="Times New Roman" w:cs="Times New Roman"/>
                <w:lang w:val="en-AU" w:eastAsia="ko-KR"/>
              </w:rPr>
            </w:pPr>
          </w:p>
        </w:tc>
        <w:tc>
          <w:tcPr>
            <w:tcW w:w="4788" w:type="dxa"/>
          </w:tcPr>
          <w:p w14:paraId="7304A554" w14:textId="77777777" w:rsidR="00F44783" w:rsidRPr="00D46683" w:rsidRDefault="00F44783" w:rsidP="00F44783">
            <w:pPr>
              <w:adjustRightInd w:val="0"/>
              <w:rPr>
                <w:rFonts w:ascii="Times New Roman" w:eastAsiaTheme="minorEastAsia" w:hAnsi="Times New Roman" w:cs="Times New Roman"/>
                <w:lang w:val="en-AU" w:eastAsia="ko-KR"/>
              </w:rPr>
            </w:pPr>
            <w:r w:rsidRPr="00D46683">
              <w:rPr>
                <w:rFonts w:ascii="Times New Roman" w:eastAsia="PMingLiU" w:hAnsi="Times New Roman" w:cs="Times New Roman"/>
                <w:b/>
                <w:bCs/>
                <w:lang w:val="en-AU" w:eastAsia="zh-TW"/>
              </w:rPr>
              <w:t xml:space="preserve">Figure </w:t>
            </w:r>
            <w:r w:rsidRPr="00D46683">
              <w:rPr>
                <w:rFonts w:ascii="Times New Roman" w:hAnsi="Times New Roman" w:cs="Times New Roman"/>
                <w:b/>
                <w:bCs/>
                <w:lang w:val="en-AU" w:eastAsia="ja-JP"/>
              </w:rPr>
              <w:t>SWO-7</w:t>
            </w:r>
            <w:r w:rsidRPr="00D46683">
              <w:rPr>
                <w:rFonts w:ascii="Times New Roman" w:eastAsia="PMingLiU" w:hAnsi="Times New Roman" w:cs="Times New Roman"/>
                <w:lang w:val="en-AU" w:eastAsia="zh-TW"/>
              </w:rPr>
              <w:t>. Majuro plot summarising the results for each of the models in the structural uncertainty grid retained for management advice. The plots represent estimates of stock status in terms of spawning potential depletion and fishing mortality. The red zone represents spawning potential levels lower than the agreed limit reference point which is marked with the solid black line. The orange region is for fishing mortality greater than F</w:t>
            </w:r>
            <w:r w:rsidRPr="00D46683">
              <w:rPr>
                <w:rFonts w:ascii="Times New Roman" w:eastAsia="PMingLiU" w:hAnsi="Times New Roman" w:cs="Times New Roman"/>
                <w:vertAlign w:val="subscript"/>
                <w:lang w:val="en-AU" w:eastAsia="zh-TW"/>
              </w:rPr>
              <w:t xml:space="preserve">MSY </w:t>
            </w:r>
            <w:r w:rsidRPr="00D46683">
              <w:rPr>
                <w:rFonts w:ascii="Times New Roman" w:eastAsia="PMingLiU" w:hAnsi="Times New Roman" w:cs="Times New Roman"/>
                <w:lang w:val="en-AU" w:eastAsia="zh-TW"/>
              </w:rPr>
              <w:t>(F</w:t>
            </w:r>
            <w:r w:rsidRPr="00D46683">
              <w:rPr>
                <w:rFonts w:ascii="Times New Roman" w:eastAsia="PMingLiU" w:hAnsi="Times New Roman" w:cs="Times New Roman"/>
                <w:vertAlign w:val="subscript"/>
                <w:lang w:val="en-AU" w:eastAsia="zh-TW"/>
              </w:rPr>
              <w:t>MSY</w:t>
            </w:r>
            <w:r w:rsidRPr="00D46683">
              <w:rPr>
                <w:rFonts w:ascii="Times New Roman" w:eastAsia="PMingLiU" w:hAnsi="Times New Roman" w:cs="Times New Roman"/>
                <w:lang w:val="en-AU" w:eastAsia="zh-TW"/>
              </w:rPr>
              <w:t xml:space="preserve"> is marked with the black dashed line). The points represent SB</w:t>
            </w:r>
            <w:r w:rsidRPr="00D46683">
              <w:rPr>
                <w:rFonts w:ascii="Times New Roman" w:hAnsi="Times New Roman" w:cs="Times New Roman"/>
                <w:i/>
                <w:vertAlign w:val="subscript"/>
                <w:lang w:val="en-AU" w:eastAsia="ja-JP"/>
              </w:rPr>
              <w:t>recent</w:t>
            </w:r>
            <w:r w:rsidRPr="00D46683">
              <w:rPr>
                <w:rFonts w:ascii="Times New Roman" w:eastAsia="PMingLiU" w:hAnsi="Times New Roman" w:cs="Times New Roman"/>
                <w:lang w:val="en-AU" w:eastAsia="zh-TW"/>
              </w:rPr>
              <w:t>/SB</w:t>
            </w:r>
            <w:r w:rsidRPr="00D46683">
              <w:rPr>
                <w:rFonts w:ascii="Times New Roman" w:eastAsia="PMingLiU" w:hAnsi="Times New Roman" w:cs="Times New Roman"/>
                <w:i/>
                <w:vertAlign w:val="subscript"/>
                <w:lang w:val="en-AU" w:eastAsia="zh-TW"/>
              </w:rPr>
              <w:t>F=0</w:t>
            </w:r>
            <w:r w:rsidRPr="00D46683">
              <w:rPr>
                <w:rFonts w:ascii="Times New Roman" w:eastAsia="PMingLiU" w:hAnsi="Times New Roman" w:cs="Times New Roman"/>
                <w:lang w:val="en-AU" w:eastAsia="zh-TW"/>
              </w:rPr>
              <w:t xml:space="preserve">, and the colours depict the models in the grid </w:t>
            </w:r>
            <w:r w:rsidRPr="00D46683">
              <w:rPr>
                <w:rFonts w:ascii="Times New Roman" w:eastAsia="MS PMincho" w:hAnsi="Times New Roman" w:cs="Times New Roman"/>
                <w:lang w:val="en-AU" w:eastAsia="zh-TW"/>
              </w:rPr>
              <w:t xml:space="preserve">with </w:t>
            </w:r>
            <w:r w:rsidRPr="00D46683">
              <w:rPr>
                <w:rFonts w:ascii="Times New Roman" w:eastAsia="MS PMincho" w:hAnsi="Times New Roman" w:cs="Times New Roman"/>
                <w:lang w:val="en-AU" w:eastAsia="ja-JP"/>
              </w:rPr>
              <w:t>three levels of steepness (0.65, 0.8 and 0.95)</w:t>
            </w:r>
            <w:r w:rsidRPr="00D46683">
              <w:rPr>
                <w:rFonts w:ascii="Times New Roman" w:eastAsia="MS PMincho" w:hAnsi="Times New Roman" w:cs="Times New Roman"/>
                <w:lang w:val="en-AU" w:eastAsia="zh-TW"/>
              </w:rPr>
              <w:t>.</w:t>
            </w:r>
            <w:r w:rsidRPr="00D46683">
              <w:rPr>
                <w:rFonts w:ascii="Times New Roman" w:eastAsia="MS PMincho" w:hAnsi="Times New Roman" w:cs="Times New Roman"/>
                <w:lang w:val="en-AU" w:eastAsia="ja-JP"/>
              </w:rPr>
              <w:t xml:space="preserve"> Note, SB</w:t>
            </w:r>
            <w:r w:rsidRPr="00D46683">
              <w:rPr>
                <w:rFonts w:ascii="Times New Roman" w:hAnsi="Times New Roman" w:cs="Times New Roman"/>
                <w:i/>
                <w:vertAlign w:val="subscript"/>
                <w:lang w:val="en-AU" w:eastAsia="ja-JP"/>
              </w:rPr>
              <w:t>recent</w:t>
            </w:r>
            <w:r w:rsidRPr="00D46683">
              <w:rPr>
                <w:rFonts w:ascii="Times New Roman" w:hAnsi="Times New Roman" w:cs="Times New Roman"/>
                <w:i/>
                <w:lang w:val="en-AU" w:eastAsia="ja-JP"/>
              </w:rPr>
              <w:t xml:space="preserve"> </w:t>
            </w:r>
            <w:r w:rsidRPr="00D46683">
              <w:rPr>
                <w:rFonts w:ascii="Times New Roman" w:eastAsia="MS PMincho" w:hAnsi="Times New Roman" w:cs="Times New Roman"/>
                <w:lang w:val="en-AU" w:eastAsia="ja-JP"/>
              </w:rPr>
              <w:t>is defined as the mean of SB over 2012-2015.</w:t>
            </w:r>
          </w:p>
          <w:p w14:paraId="144769E6" w14:textId="77777777" w:rsidR="00F44783" w:rsidRPr="00D46683" w:rsidRDefault="00F44783" w:rsidP="00F44783">
            <w:pPr>
              <w:adjustRightInd w:val="0"/>
              <w:rPr>
                <w:rFonts w:ascii="Times New Roman" w:eastAsiaTheme="minorEastAsia" w:hAnsi="Times New Roman" w:cs="Times New Roman"/>
                <w:lang w:val="en-AU" w:eastAsia="ko-KR"/>
              </w:rPr>
            </w:pPr>
          </w:p>
          <w:p w14:paraId="12B66311" w14:textId="77777777" w:rsidR="00F44783" w:rsidRPr="00D46683" w:rsidRDefault="00F44783" w:rsidP="00F44783">
            <w:pPr>
              <w:adjustRightInd w:val="0"/>
              <w:rPr>
                <w:rFonts w:ascii="Times New Roman" w:eastAsiaTheme="minorEastAsia" w:hAnsi="Times New Roman" w:cs="Times New Roman"/>
                <w:lang w:val="en-AU" w:eastAsia="ko-KR"/>
              </w:rPr>
            </w:pPr>
          </w:p>
        </w:tc>
      </w:tr>
      <w:tr w:rsidR="00F44783" w:rsidRPr="00D46683" w14:paraId="19F76CD4" w14:textId="77777777" w:rsidTr="00573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67E45B62" w14:textId="77777777" w:rsidR="00F44783" w:rsidRPr="00D46683" w:rsidRDefault="00F44783" w:rsidP="00F44783">
            <w:pPr>
              <w:adjustRightInd w:val="0"/>
              <w:rPr>
                <w:rFonts w:ascii="Times New Roman" w:eastAsia="PMingLiU" w:hAnsi="Times New Roman" w:cs="Times New Roman"/>
                <w:lang w:val="en-AU" w:eastAsia="ja-JP"/>
              </w:rPr>
            </w:pPr>
            <w:r w:rsidRPr="00D46683">
              <w:rPr>
                <w:rFonts w:ascii="Times New Roman" w:eastAsia="PMingLiU" w:hAnsi="Times New Roman" w:cs="Times New Roman"/>
                <w:noProof/>
                <w:lang w:eastAsia="zh-CN" w:bidi="mn-Mong-CN"/>
              </w:rPr>
              <w:lastRenderedPageBreak/>
              <w:drawing>
                <wp:inline distT="0" distB="0" distL="0" distR="0" wp14:anchorId="5AC13321" wp14:editId="40D36017">
                  <wp:extent cx="2977116" cy="2977116"/>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WO-8 Kobe-summary-rep.png"/>
                          <pic:cNvPicPr/>
                        </pic:nvPicPr>
                        <pic:blipFill>
                          <a:blip r:embed="rId19">
                            <a:extLst>
                              <a:ext uri="{28A0092B-C50C-407E-A947-70E740481C1C}">
                                <a14:useLocalDpi xmlns:a14="http://schemas.microsoft.com/office/drawing/2010/main" val="0"/>
                              </a:ext>
                            </a:extLst>
                          </a:blip>
                          <a:stretch>
                            <a:fillRect/>
                          </a:stretch>
                        </pic:blipFill>
                        <pic:spPr>
                          <a:xfrm>
                            <a:off x="0" y="0"/>
                            <a:ext cx="2977117" cy="2977117"/>
                          </a:xfrm>
                          <a:prstGeom prst="rect">
                            <a:avLst/>
                          </a:prstGeom>
                        </pic:spPr>
                      </pic:pic>
                    </a:graphicData>
                  </a:graphic>
                </wp:inline>
              </w:drawing>
            </w:r>
          </w:p>
        </w:tc>
        <w:tc>
          <w:tcPr>
            <w:tcW w:w="4788" w:type="dxa"/>
            <w:tcBorders>
              <w:top w:val="nil"/>
              <w:left w:val="nil"/>
              <w:bottom w:val="nil"/>
              <w:right w:val="nil"/>
            </w:tcBorders>
          </w:tcPr>
          <w:p w14:paraId="3E929F56" w14:textId="77777777" w:rsidR="00F44783" w:rsidRPr="00D46683" w:rsidRDefault="00F44783" w:rsidP="00F44783">
            <w:pPr>
              <w:adjustRightInd w:val="0"/>
              <w:rPr>
                <w:rFonts w:ascii="Times New Roman" w:eastAsia="PMingLiU" w:hAnsi="Times New Roman" w:cs="Times New Roman"/>
                <w:lang w:val="en-AU" w:eastAsia="ja-JP"/>
              </w:rPr>
            </w:pPr>
            <w:r w:rsidRPr="00D46683">
              <w:rPr>
                <w:rFonts w:ascii="Times New Roman" w:hAnsi="Times New Roman" w:cs="Times New Roman"/>
                <w:noProof/>
                <w:lang w:eastAsia="zh-CN" w:bidi="mn-Mong-CN"/>
              </w:rPr>
              <w:drawing>
                <wp:inline distT="0" distB="0" distL="0" distR="0" wp14:anchorId="081A29CD" wp14:editId="6EC24FF9">
                  <wp:extent cx="2913320" cy="2913320"/>
                  <wp:effectExtent l="0" t="0" r="1905" b="190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WO-9 Kobe-SBrec-summary-rep.png"/>
                          <pic:cNvPicPr/>
                        </pic:nvPicPr>
                        <pic:blipFill>
                          <a:blip r:embed="rId20">
                            <a:extLst>
                              <a:ext uri="{28A0092B-C50C-407E-A947-70E740481C1C}">
                                <a14:useLocalDpi xmlns:a14="http://schemas.microsoft.com/office/drawing/2010/main" val="0"/>
                              </a:ext>
                            </a:extLst>
                          </a:blip>
                          <a:stretch>
                            <a:fillRect/>
                          </a:stretch>
                        </pic:blipFill>
                        <pic:spPr>
                          <a:xfrm>
                            <a:off x="0" y="0"/>
                            <a:ext cx="2913320" cy="2913320"/>
                          </a:xfrm>
                          <a:prstGeom prst="rect">
                            <a:avLst/>
                          </a:prstGeom>
                        </pic:spPr>
                      </pic:pic>
                    </a:graphicData>
                  </a:graphic>
                </wp:inline>
              </w:drawing>
            </w:r>
          </w:p>
        </w:tc>
      </w:tr>
      <w:tr w:rsidR="00F44783" w:rsidRPr="00D46683" w14:paraId="3A66F7FF" w14:textId="77777777" w:rsidTr="00573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4416B88A" w14:textId="77777777" w:rsidR="00F44783" w:rsidRPr="00D46683" w:rsidRDefault="00F44783" w:rsidP="00F44783">
            <w:pPr>
              <w:pStyle w:val="CommentText"/>
              <w:adjustRightInd w:val="0"/>
              <w:spacing w:after="0"/>
              <w:rPr>
                <w:rFonts w:ascii="Times New Roman" w:hAnsi="Times New Roman"/>
                <w:color w:val="FF0000"/>
              </w:rPr>
            </w:pPr>
            <w:r w:rsidRPr="00D46683">
              <w:rPr>
                <w:rFonts w:ascii="Times New Roman" w:eastAsia="PMingLiU" w:hAnsi="Times New Roman"/>
                <w:b/>
                <w:bCs/>
                <w:sz w:val="22"/>
                <w:szCs w:val="22"/>
                <w:lang w:val="en-AU" w:eastAsia="zh-TW"/>
              </w:rPr>
              <w:t xml:space="preserve">Figure </w:t>
            </w:r>
            <w:r w:rsidRPr="00D46683">
              <w:rPr>
                <w:rFonts w:ascii="Times New Roman" w:hAnsi="Times New Roman"/>
                <w:b/>
                <w:bCs/>
                <w:sz w:val="22"/>
                <w:szCs w:val="22"/>
                <w:lang w:val="en-AU" w:eastAsia="ja-JP"/>
              </w:rPr>
              <w:t>SWO-</w:t>
            </w:r>
            <w:r w:rsidRPr="00D46683">
              <w:rPr>
                <w:rFonts w:ascii="Times New Roman" w:eastAsia="PMingLiU" w:hAnsi="Times New Roman"/>
                <w:b/>
                <w:bCs/>
                <w:sz w:val="22"/>
                <w:szCs w:val="22"/>
                <w:lang w:val="en-AU" w:eastAsia="zh-TW"/>
              </w:rPr>
              <w:t xml:space="preserve">8. </w:t>
            </w:r>
            <w:r w:rsidRPr="00D46683">
              <w:rPr>
                <w:rFonts w:ascii="Times New Roman" w:eastAsia="PMingLiU" w:hAnsi="Times New Roman"/>
                <w:sz w:val="22"/>
                <w:szCs w:val="22"/>
                <w:lang w:val="en-AU" w:eastAsia="zh-TW"/>
              </w:rPr>
              <w:t xml:space="preserve">Kobe plot summarising the results for each of the models in the structural uncertainty grid, where the x-axis represents </w:t>
            </w:r>
            <w:r w:rsidRPr="00D46683">
              <w:rPr>
                <w:rFonts w:ascii="Times New Roman" w:eastAsia="MS Mincho" w:hAnsi="Times New Roman"/>
              </w:rPr>
              <w:t>SB</w:t>
            </w:r>
            <w:r w:rsidRPr="00D46683">
              <w:rPr>
                <w:rFonts w:ascii="Times New Roman" w:eastAsia="MS Mincho" w:hAnsi="Times New Roman"/>
                <w:vertAlign w:val="subscript"/>
              </w:rPr>
              <w:t>latest</w:t>
            </w:r>
            <w:r w:rsidRPr="00D46683" w:rsidDel="00300F08">
              <w:rPr>
                <w:rFonts w:ascii="Times New Roman" w:eastAsia="PMingLiU" w:hAnsi="Times New Roman"/>
                <w:sz w:val="22"/>
                <w:szCs w:val="22"/>
                <w:lang w:val="en-AU" w:eastAsia="zh-TW"/>
              </w:rPr>
              <w:t xml:space="preserve"> </w:t>
            </w:r>
            <w:r w:rsidRPr="00D46683">
              <w:rPr>
                <w:rFonts w:ascii="Times New Roman" w:eastAsia="PMingLiU" w:hAnsi="Times New Roman"/>
                <w:sz w:val="22"/>
                <w:szCs w:val="22"/>
                <w:lang w:val="en-AU" w:eastAsia="zh-TW"/>
              </w:rPr>
              <w:t>/SB</w:t>
            </w:r>
            <w:r w:rsidRPr="00D46683">
              <w:rPr>
                <w:rFonts w:ascii="Times New Roman" w:hAnsi="Times New Roman"/>
                <w:vertAlign w:val="subscript"/>
                <w:lang w:val="en-AU"/>
              </w:rPr>
              <w:t>MSY</w:t>
            </w:r>
            <w:r w:rsidRPr="00D46683">
              <w:rPr>
                <w:rFonts w:ascii="Times New Roman" w:eastAsia="PMingLiU" w:hAnsi="Times New Roman"/>
                <w:sz w:val="22"/>
                <w:szCs w:val="22"/>
                <w:lang w:val="en-AU" w:eastAsia="zh-TW"/>
              </w:rPr>
              <w:t>. The colours depict the models in the grid with</w:t>
            </w:r>
            <w:r w:rsidRPr="00D46683">
              <w:rPr>
                <w:rFonts w:ascii="Times New Roman" w:hAnsi="Times New Roman"/>
                <w:sz w:val="22"/>
                <w:szCs w:val="22"/>
                <w:lang w:val="en-AU" w:eastAsia="ja-JP"/>
              </w:rPr>
              <w:t xml:space="preserve"> three levels of steepness (0.65, 0.8 and 0.95)</w:t>
            </w:r>
            <w:r w:rsidRPr="00D46683">
              <w:rPr>
                <w:rFonts w:ascii="Times New Roman" w:eastAsia="PMingLiU" w:hAnsi="Times New Roman"/>
                <w:sz w:val="22"/>
                <w:szCs w:val="22"/>
                <w:lang w:val="en-AU" w:eastAsia="zh-TW"/>
              </w:rPr>
              <w:t xml:space="preserve">. </w:t>
            </w:r>
          </w:p>
          <w:p w14:paraId="36B25076" w14:textId="77777777" w:rsidR="00F44783" w:rsidRPr="00D46683" w:rsidRDefault="00F44783" w:rsidP="00F44783">
            <w:pPr>
              <w:adjustRightInd w:val="0"/>
              <w:rPr>
                <w:rFonts w:ascii="Times New Roman" w:eastAsia="PMingLiU" w:hAnsi="Times New Roman" w:cs="Times New Roman"/>
                <w:lang w:val="en-AU" w:eastAsia="ja-JP"/>
              </w:rPr>
            </w:pPr>
          </w:p>
        </w:tc>
        <w:tc>
          <w:tcPr>
            <w:tcW w:w="4788" w:type="dxa"/>
            <w:tcBorders>
              <w:top w:val="nil"/>
              <w:left w:val="nil"/>
              <w:bottom w:val="nil"/>
              <w:right w:val="nil"/>
            </w:tcBorders>
          </w:tcPr>
          <w:p w14:paraId="71C59FE6" w14:textId="77777777" w:rsidR="00F44783" w:rsidRPr="00D46683" w:rsidRDefault="00F44783" w:rsidP="00F44783">
            <w:pPr>
              <w:adjustRightInd w:val="0"/>
              <w:rPr>
                <w:rFonts w:ascii="Times New Roman" w:hAnsi="Times New Roman" w:cs="Times New Roman"/>
                <w:lang w:val="en-AU" w:eastAsia="ko-KR"/>
              </w:rPr>
            </w:pPr>
            <w:r w:rsidRPr="00D46683">
              <w:rPr>
                <w:rFonts w:ascii="Times New Roman" w:eastAsia="PMingLiU" w:hAnsi="Times New Roman" w:cs="Times New Roman"/>
                <w:b/>
                <w:bCs/>
                <w:lang w:val="en-AU" w:eastAsia="zh-TW"/>
              </w:rPr>
              <w:t xml:space="preserve">Figure </w:t>
            </w:r>
            <w:r w:rsidRPr="00D46683">
              <w:rPr>
                <w:rFonts w:ascii="Times New Roman" w:hAnsi="Times New Roman" w:cs="Times New Roman"/>
                <w:b/>
                <w:bCs/>
                <w:lang w:val="en-AU" w:eastAsia="ja-JP"/>
              </w:rPr>
              <w:t>SWO-9</w:t>
            </w:r>
            <w:r w:rsidRPr="00D46683">
              <w:rPr>
                <w:rFonts w:ascii="Times New Roman" w:eastAsia="PMingLiU" w:hAnsi="Times New Roman" w:cs="Times New Roman"/>
                <w:b/>
                <w:bCs/>
                <w:lang w:val="en-AU" w:eastAsia="zh-TW"/>
              </w:rPr>
              <w:t xml:space="preserve">. </w:t>
            </w:r>
            <w:r w:rsidRPr="00D46683">
              <w:rPr>
                <w:rFonts w:ascii="Times New Roman" w:eastAsia="PMingLiU" w:hAnsi="Times New Roman" w:cs="Times New Roman"/>
                <w:lang w:val="en-AU" w:eastAsia="zh-TW"/>
              </w:rPr>
              <w:t>Kobe plot summarising the results for each of the models in the structural uncertainty grid. The colours depict the models in the grid with</w:t>
            </w:r>
            <w:r w:rsidRPr="00D46683">
              <w:rPr>
                <w:rFonts w:ascii="Times New Roman" w:hAnsi="Times New Roman" w:cs="Times New Roman"/>
                <w:lang w:val="en-AU" w:eastAsia="ja-JP"/>
              </w:rPr>
              <w:t xml:space="preserve"> three levels of steepness (0.65, 0.8 and 0.95)</w:t>
            </w:r>
            <w:r w:rsidRPr="00D46683">
              <w:rPr>
                <w:rFonts w:ascii="Times New Roman" w:eastAsia="PMingLiU" w:hAnsi="Times New Roman" w:cs="Times New Roman"/>
                <w:lang w:val="en-AU" w:eastAsia="zh-TW"/>
              </w:rPr>
              <w:t>.</w:t>
            </w:r>
            <w:r w:rsidRPr="00D46683">
              <w:rPr>
                <w:rFonts w:ascii="Times New Roman" w:hAnsi="Times New Roman" w:cs="Times New Roman"/>
                <w:lang w:val="en-AU" w:eastAsia="ja-JP"/>
              </w:rPr>
              <w:t xml:space="preserve"> As in Figure SWO7, SB</w:t>
            </w:r>
            <w:r w:rsidRPr="00D46683">
              <w:rPr>
                <w:rFonts w:ascii="Times New Roman" w:hAnsi="Times New Roman" w:cs="Times New Roman"/>
                <w:i/>
                <w:vertAlign w:val="subscript"/>
                <w:lang w:val="en-AU" w:eastAsia="ja-JP"/>
              </w:rPr>
              <w:t>recent</w:t>
            </w:r>
            <w:r w:rsidRPr="00D46683">
              <w:rPr>
                <w:rFonts w:ascii="Times New Roman" w:hAnsi="Times New Roman" w:cs="Times New Roman"/>
                <w:i/>
                <w:lang w:val="en-AU" w:eastAsia="ja-JP"/>
              </w:rPr>
              <w:t xml:space="preserve"> </w:t>
            </w:r>
            <w:r w:rsidRPr="00D46683">
              <w:rPr>
                <w:rFonts w:ascii="Times New Roman" w:hAnsi="Times New Roman" w:cs="Times New Roman"/>
                <w:lang w:val="en-AU" w:eastAsia="ja-JP"/>
              </w:rPr>
              <w:t xml:space="preserve">was used instead of </w:t>
            </w:r>
            <w:r w:rsidRPr="00D46683">
              <w:rPr>
                <w:rFonts w:ascii="Times New Roman" w:eastAsia="MS Mincho" w:hAnsi="Times New Roman" w:cs="Times New Roman"/>
              </w:rPr>
              <w:t>SB</w:t>
            </w:r>
            <w:r w:rsidRPr="00D46683">
              <w:rPr>
                <w:rFonts w:ascii="Times New Roman" w:eastAsia="MS Mincho" w:hAnsi="Times New Roman" w:cs="Times New Roman"/>
                <w:i/>
                <w:iCs/>
                <w:vertAlign w:val="subscript"/>
              </w:rPr>
              <w:t>l</w:t>
            </w:r>
            <w:r w:rsidRPr="00D46683">
              <w:rPr>
                <w:rFonts w:ascii="Times New Roman" w:eastAsia="MS Mincho" w:hAnsi="Times New Roman" w:cs="Times New Roman"/>
                <w:i/>
                <w:vertAlign w:val="subscript"/>
              </w:rPr>
              <w:t>atest</w:t>
            </w:r>
            <w:r w:rsidRPr="00D46683">
              <w:rPr>
                <w:rFonts w:ascii="Times New Roman" w:hAnsi="Times New Roman" w:cs="Times New Roman"/>
                <w:lang w:val="en-AU" w:eastAsia="ja-JP"/>
              </w:rPr>
              <w:t>.</w:t>
            </w:r>
          </w:p>
          <w:p w14:paraId="45941D03" w14:textId="77777777" w:rsidR="00F44783" w:rsidRPr="00D46683" w:rsidRDefault="00F44783" w:rsidP="00F44783">
            <w:pPr>
              <w:adjustRightInd w:val="0"/>
              <w:rPr>
                <w:rFonts w:ascii="Times New Roman" w:eastAsiaTheme="minorEastAsia" w:hAnsi="Times New Roman" w:cs="Times New Roman"/>
                <w:lang w:val="en-AU" w:eastAsia="ko-KR"/>
              </w:rPr>
            </w:pPr>
          </w:p>
          <w:p w14:paraId="5E29C9A4" w14:textId="77777777" w:rsidR="00F44783" w:rsidRPr="00D46683" w:rsidRDefault="00F44783" w:rsidP="00F44783">
            <w:pPr>
              <w:adjustRightInd w:val="0"/>
              <w:rPr>
                <w:rFonts w:ascii="Times New Roman" w:eastAsiaTheme="minorEastAsia" w:hAnsi="Times New Roman" w:cs="Times New Roman"/>
                <w:lang w:val="en-AU" w:eastAsia="ko-KR"/>
              </w:rPr>
            </w:pPr>
          </w:p>
          <w:p w14:paraId="04297259" w14:textId="77777777" w:rsidR="00F44783" w:rsidRPr="00D46683" w:rsidRDefault="00F44783" w:rsidP="00F44783">
            <w:pPr>
              <w:adjustRightInd w:val="0"/>
              <w:rPr>
                <w:rFonts w:ascii="Times New Roman" w:eastAsiaTheme="minorEastAsia" w:hAnsi="Times New Roman" w:cs="Times New Roman"/>
                <w:lang w:val="en-AU" w:eastAsia="ko-KR"/>
              </w:rPr>
            </w:pPr>
          </w:p>
          <w:p w14:paraId="451464AC" w14:textId="77777777" w:rsidR="00F44783" w:rsidRPr="00D46683" w:rsidRDefault="00F44783" w:rsidP="00F44783">
            <w:pPr>
              <w:adjustRightInd w:val="0"/>
              <w:rPr>
                <w:rFonts w:ascii="Times New Roman" w:eastAsiaTheme="minorEastAsia" w:hAnsi="Times New Roman" w:cs="Times New Roman"/>
                <w:lang w:val="en-AU" w:eastAsia="ko-KR"/>
              </w:rPr>
            </w:pPr>
          </w:p>
        </w:tc>
      </w:tr>
      <w:tr w:rsidR="00F44783" w:rsidRPr="00D46683" w14:paraId="4F153328" w14:textId="77777777" w:rsidTr="00573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tcPr>
          <w:p w14:paraId="1B44BF7D" w14:textId="77777777" w:rsidR="00F44783" w:rsidRPr="00D46683" w:rsidRDefault="00F44783" w:rsidP="00F44783">
            <w:pPr>
              <w:adjustRightInd w:val="0"/>
              <w:rPr>
                <w:rFonts w:ascii="Times New Roman" w:eastAsia="PMingLiU" w:hAnsi="Times New Roman" w:cs="Times New Roman"/>
                <w:lang w:val="en-AU" w:eastAsia="ja-JP"/>
              </w:rPr>
            </w:pPr>
            <w:r w:rsidRPr="00D46683">
              <w:rPr>
                <w:rFonts w:ascii="Times New Roman" w:hAnsi="Times New Roman" w:cs="Times New Roman"/>
                <w:b/>
                <w:noProof/>
                <w:lang w:eastAsia="zh-CN" w:bidi="mn-Mong-CN"/>
              </w:rPr>
              <w:drawing>
                <wp:inline distT="0" distB="0" distL="0" distR="0" wp14:anchorId="2F82EDA2" wp14:editId="4CE3222A">
                  <wp:extent cx="2966484" cy="2966484"/>
                  <wp:effectExtent l="0" t="0" r="0" b="0"/>
                  <wp:docPr id="106" name="図 56" descr="Assessment/plots/Fig35a_Majuro.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ssessment/plots/Fig35a_Majuro.plot.pd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72350" cy="2972350"/>
                          </a:xfrm>
                          <a:prstGeom prst="rect">
                            <a:avLst/>
                          </a:prstGeom>
                          <a:noFill/>
                          <a:ln>
                            <a:noFill/>
                          </a:ln>
                        </pic:spPr>
                      </pic:pic>
                    </a:graphicData>
                  </a:graphic>
                </wp:inline>
              </w:drawing>
            </w:r>
          </w:p>
        </w:tc>
        <w:tc>
          <w:tcPr>
            <w:tcW w:w="4788" w:type="dxa"/>
            <w:tcBorders>
              <w:top w:val="nil"/>
              <w:left w:val="nil"/>
              <w:bottom w:val="nil"/>
              <w:right w:val="nil"/>
            </w:tcBorders>
          </w:tcPr>
          <w:p w14:paraId="3772EDAF" w14:textId="77777777" w:rsidR="00F44783" w:rsidRPr="00D46683" w:rsidRDefault="00F44783" w:rsidP="00F44783">
            <w:pPr>
              <w:adjustRightInd w:val="0"/>
              <w:rPr>
                <w:rFonts w:ascii="Times New Roman" w:eastAsia="PMingLiU" w:hAnsi="Times New Roman" w:cs="Times New Roman"/>
                <w:lang w:val="en-AU" w:eastAsia="ja-JP"/>
              </w:rPr>
            </w:pPr>
            <w:r w:rsidRPr="00D46683">
              <w:rPr>
                <w:rFonts w:ascii="Times New Roman" w:hAnsi="Times New Roman" w:cs="Times New Roman"/>
                <w:b/>
                <w:noProof/>
                <w:lang w:eastAsia="zh-CN" w:bidi="mn-Mong-CN"/>
              </w:rPr>
              <w:drawing>
                <wp:inline distT="0" distB="0" distL="0" distR="0" wp14:anchorId="40A27595" wp14:editId="3385A42E">
                  <wp:extent cx="2902688" cy="2902688"/>
                  <wp:effectExtent l="0" t="0" r="0" b="0"/>
                  <wp:docPr id="107" name="図 57" descr="Assessment/plots/Fig35b_Kobe.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ssessment/plots/Fig35b_Kobe.plot.pd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8429" cy="2908429"/>
                          </a:xfrm>
                          <a:prstGeom prst="rect">
                            <a:avLst/>
                          </a:prstGeom>
                          <a:noFill/>
                          <a:ln>
                            <a:noFill/>
                          </a:ln>
                        </pic:spPr>
                      </pic:pic>
                    </a:graphicData>
                  </a:graphic>
                </wp:inline>
              </w:drawing>
            </w:r>
          </w:p>
        </w:tc>
      </w:tr>
      <w:tr w:rsidR="00F44783" w:rsidRPr="00D46683" w14:paraId="0915E844" w14:textId="77777777" w:rsidTr="00573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2"/>
            <w:tcBorders>
              <w:top w:val="nil"/>
              <w:left w:val="nil"/>
              <w:bottom w:val="nil"/>
              <w:right w:val="nil"/>
            </w:tcBorders>
          </w:tcPr>
          <w:p w14:paraId="7B586489" w14:textId="77777777" w:rsidR="00F44783" w:rsidRPr="00D46683" w:rsidRDefault="00F44783" w:rsidP="00F44783">
            <w:pPr>
              <w:adjustRightInd w:val="0"/>
              <w:rPr>
                <w:rFonts w:ascii="Times New Roman" w:eastAsiaTheme="minorEastAsia" w:hAnsi="Times New Roman" w:cs="Times New Roman"/>
                <w:lang w:eastAsia="ko-KR"/>
              </w:rPr>
            </w:pPr>
            <w:r w:rsidRPr="00D46683">
              <w:rPr>
                <w:rFonts w:ascii="Times New Roman" w:eastAsia="PMingLiU" w:hAnsi="Times New Roman" w:cs="Times New Roman"/>
                <w:b/>
                <w:bCs/>
                <w:lang w:val="en-AU" w:eastAsia="zh-TW"/>
              </w:rPr>
              <w:t xml:space="preserve">Figure </w:t>
            </w:r>
            <w:r w:rsidRPr="00D46683">
              <w:rPr>
                <w:rFonts w:ascii="Times New Roman" w:hAnsi="Times New Roman" w:cs="Times New Roman"/>
                <w:b/>
                <w:bCs/>
                <w:lang w:val="en-AU" w:eastAsia="ja-JP"/>
              </w:rPr>
              <w:t>SWO-</w:t>
            </w:r>
            <w:r w:rsidRPr="00D46683">
              <w:rPr>
                <w:rFonts w:ascii="Times New Roman" w:hAnsi="Times New Roman" w:cs="Times New Roman"/>
                <w:b/>
                <w:bCs/>
                <w:lang w:val="en-AU" w:eastAsia="ko-KR"/>
              </w:rPr>
              <w:t>10</w:t>
            </w:r>
            <w:r w:rsidRPr="00D46683">
              <w:rPr>
                <w:rFonts w:ascii="Times New Roman" w:eastAsia="PMingLiU" w:hAnsi="Times New Roman" w:cs="Times New Roman"/>
                <w:b/>
                <w:bCs/>
                <w:lang w:val="en-AU" w:eastAsia="zh-TW"/>
              </w:rPr>
              <w:t>.</w:t>
            </w:r>
            <w:r w:rsidRPr="00D46683">
              <w:rPr>
                <w:rFonts w:ascii="Times New Roman" w:hAnsi="Times New Roman" w:cs="Times New Roman"/>
                <w:b/>
                <w:bCs/>
                <w:lang w:val="en-AU" w:eastAsia="ko-KR"/>
              </w:rPr>
              <w:t xml:space="preserve"> </w:t>
            </w:r>
            <w:r w:rsidRPr="00D46683">
              <w:rPr>
                <w:rFonts w:ascii="Times New Roman" w:hAnsi="Times New Roman" w:cs="Times New Roman"/>
              </w:rPr>
              <w:t xml:space="preserve">Estimated time-series (or “dynamic”) Majuro and Kobe plots from the SW Pacific </w:t>
            </w:r>
            <w:proofErr w:type="gramStart"/>
            <w:r w:rsidRPr="00D46683">
              <w:rPr>
                <w:rFonts w:ascii="Times New Roman" w:hAnsi="Times New Roman" w:cs="Times New Roman"/>
              </w:rPr>
              <w:t>swordfish  ‘</w:t>
            </w:r>
            <w:proofErr w:type="gramEnd"/>
            <w:r w:rsidRPr="00D46683">
              <w:rPr>
                <w:rFonts w:ascii="Times New Roman" w:hAnsi="Times New Roman" w:cs="Times New Roman"/>
              </w:rPr>
              <w:t>diagnostic case’ model run.</w:t>
            </w:r>
          </w:p>
        </w:tc>
      </w:tr>
    </w:tbl>
    <w:p w14:paraId="287C1BFF" w14:textId="77777777" w:rsidR="00F44783" w:rsidRPr="00D46683" w:rsidRDefault="00F44783" w:rsidP="00F44783">
      <w:pPr>
        <w:adjustRightInd w:val="0"/>
        <w:spacing w:after="0" w:line="240" w:lineRule="auto"/>
        <w:rPr>
          <w:rFonts w:ascii="Times New Roman" w:eastAsia="PMingLiU" w:hAnsi="Times New Roman" w:cs="Times New Roman"/>
          <w:lang w:val="en-AU" w:eastAsia="ja-JP"/>
        </w:rPr>
      </w:pPr>
    </w:p>
    <w:p w14:paraId="3C4ACE51" w14:textId="77777777" w:rsidR="00F44783" w:rsidRPr="00D46683" w:rsidRDefault="00F44783" w:rsidP="00F44783">
      <w:pPr>
        <w:adjustRightInd w:val="0"/>
        <w:spacing w:after="0" w:line="240" w:lineRule="auto"/>
        <w:rPr>
          <w:rFonts w:ascii="Times New Roman" w:eastAsia="PMingLiU" w:hAnsi="Times New Roman" w:cs="Times New Roman"/>
          <w:lang w:val="en-AU" w:eastAsia="ja-JP"/>
        </w:rPr>
      </w:pPr>
    </w:p>
    <w:p w14:paraId="1CD9DA9C" w14:textId="77777777" w:rsidR="00F44783" w:rsidRPr="00D46683" w:rsidRDefault="00F44783" w:rsidP="00F44783">
      <w:pPr>
        <w:adjustRightInd w:val="0"/>
        <w:spacing w:after="0" w:line="240" w:lineRule="auto"/>
        <w:rPr>
          <w:rFonts w:ascii="Times New Roman" w:eastAsia="PMingLiU" w:hAnsi="Times New Roman" w:cs="Times New Roman"/>
          <w:lang w:val="en-AU" w:eastAsia="zh-TW"/>
        </w:rPr>
      </w:pPr>
    </w:p>
    <w:p w14:paraId="6CA45CB3" w14:textId="77777777" w:rsidR="00F44783" w:rsidRPr="00D46683" w:rsidRDefault="00F44783" w:rsidP="00F44783">
      <w:pPr>
        <w:adjustRightInd w:val="0"/>
        <w:spacing w:after="0" w:line="240" w:lineRule="auto"/>
        <w:jc w:val="center"/>
        <w:rPr>
          <w:rFonts w:ascii="Times New Roman" w:eastAsia="Times New Roman" w:hAnsi="Times New Roman" w:cs="Times New Roman"/>
          <w:b/>
          <w:bCs/>
          <w:noProof/>
          <w:lang w:val="en-AU" w:eastAsia="ja-JP"/>
        </w:rPr>
      </w:pPr>
      <w:r w:rsidRPr="00D46683">
        <w:rPr>
          <w:rFonts w:ascii="Times New Roman" w:eastAsia="Times New Roman" w:hAnsi="Times New Roman" w:cs="Times New Roman"/>
          <w:b/>
          <w:noProof/>
          <w:lang w:eastAsia="zh-CN" w:bidi="mn-Mong-CN"/>
        </w:rPr>
        <w:drawing>
          <wp:inline distT="0" distB="0" distL="0" distR="0" wp14:anchorId="28F84464" wp14:editId="48F7CAD2">
            <wp:extent cx="4211392" cy="2934335"/>
            <wp:effectExtent l="0" t="0" r="0" b="0"/>
            <wp:docPr id="108" name="Picture 29" descr="/Users/yukiot/Dropbox/MFCL/SC13/SWO/Assessment/plots/Fig36_splotimpactAdul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s/yukiot/Dropbox/MFCL/SC13/SWO/Assessment/plots/Fig36_splotimpactAdult.pd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14292" cy="2936356"/>
                    </a:xfrm>
                    <a:prstGeom prst="rect">
                      <a:avLst/>
                    </a:prstGeom>
                    <a:noFill/>
                    <a:ln>
                      <a:noFill/>
                    </a:ln>
                  </pic:spPr>
                </pic:pic>
              </a:graphicData>
            </a:graphic>
          </wp:inline>
        </w:drawing>
      </w:r>
    </w:p>
    <w:p w14:paraId="78852A8C" w14:textId="77777777" w:rsidR="00F44783" w:rsidRPr="00D46683" w:rsidRDefault="00F44783" w:rsidP="00F44783">
      <w:pPr>
        <w:autoSpaceDE w:val="0"/>
        <w:autoSpaceDN w:val="0"/>
        <w:adjustRightInd w:val="0"/>
        <w:spacing w:after="0" w:line="240" w:lineRule="auto"/>
        <w:rPr>
          <w:rFonts w:ascii="Times New Roman" w:eastAsia="Times New Roman" w:hAnsi="Times New Roman" w:cs="Times New Roman"/>
          <w:b/>
          <w:bCs/>
          <w:noProof/>
          <w:lang w:val="en-AU" w:eastAsia="ja-JP"/>
        </w:rPr>
      </w:pPr>
      <w:r w:rsidRPr="00D46683">
        <w:rPr>
          <w:rFonts w:ascii="Times New Roman" w:eastAsia="PMingLiU" w:hAnsi="Times New Roman" w:cs="Times New Roman"/>
          <w:b/>
          <w:bCs/>
          <w:lang w:val="en-AU" w:eastAsia="zh-TW"/>
        </w:rPr>
        <w:t xml:space="preserve">Figure </w:t>
      </w:r>
      <w:r w:rsidRPr="00D46683">
        <w:rPr>
          <w:rFonts w:ascii="Times New Roman" w:eastAsia="Times New Roman" w:hAnsi="Times New Roman" w:cs="Times New Roman"/>
          <w:b/>
          <w:bCs/>
          <w:lang w:val="en-AU" w:eastAsia="ja-JP"/>
        </w:rPr>
        <w:t>SWO-1</w:t>
      </w:r>
      <w:r w:rsidRPr="00D46683">
        <w:rPr>
          <w:rFonts w:ascii="Times New Roman" w:hAnsi="Times New Roman" w:cs="Times New Roman"/>
          <w:b/>
          <w:bCs/>
          <w:lang w:val="en-AU" w:eastAsia="ko-KR"/>
        </w:rPr>
        <w:t>1</w:t>
      </w:r>
      <w:r w:rsidRPr="00D46683">
        <w:rPr>
          <w:rFonts w:ascii="Times New Roman" w:eastAsia="PMingLiU" w:hAnsi="Times New Roman" w:cs="Times New Roman"/>
          <w:lang w:val="en-AU" w:eastAsia="zh-TW"/>
        </w:rPr>
        <w:t xml:space="preserve">. Estimates of reduction in spawning potential due to fishing by region, and over all regions (lower </w:t>
      </w:r>
      <w:r w:rsidRPr="00D46683">
        <w:rPr>
          <w:rFonts w:ascii="Times New Roman" w:eastAsia="Times New Roman" w:hAnsi="Times New Roman" w:cs="Times New Roman"/>
          <w:lang w:val="en-AU" w:eastAsia="ja-JP"/>
        </w:rPr>
        <w:t>left</w:t>
      </w:r>
      <w:r w:rsidRPr="00D46683">
        <w:rPr>
          <w:rFonts w:ascii="Times New Roman" w:eastAsia="PMingLiU" w:hAnsi="Times New Roman" w:cs="Times New Roman"/>
          <w:lang w:val="en-AU" w:eastAsia="zh-TW"/>
        </w:rPr>
        <w:t xml:space="preserve"> panel), attributed to various fishery groups (distant water ‘north’, ‘central’ and ‘south’, corresponding to the model regions, and a combined domestic fleet) for the diagnostic case model.</w:t>
      </w:r>
      <w:r w:rsidRPr="00D46683">
        <w:rPr>
          <w:rFonts w:ascii="Times New Roman" w:eastAsia="Times New Roman" w:hAnsi="Times New Roman" w:cs="Times New Roman"/>
          <w:lang w:val="en-AU" w:eastAsia="ja-JP"/>
        </w:rPr>
        <w:t xml:space="preserve"> </w:t>
      </w:r>
    </w:p>
    <w:p w14:paraId="27BE2FE0" w14:textId="77777777" w:rsidR="00F44783" w:rsidRPr="00D46683" w:rsidRDefault="00F44783" w:rsidP="00F44783">
      <w:pPr>
        <w:adjustRightInd w:val="0"/>
        <w:spacing w:after="0" w:line="240" w:lineRule="auto"/>
        <w:rPr>
          <w:rFonts w:ascii="Times New Roman" w:hAnsi="Times New Roman" w:cs="Times New Roman"/>
          <w:b/>
          <w:bCs/>
          <w:lang w:eastAsia="ko-KR"/>
        </w:rPr>
      </w:pPr>
    </w:p>
    <w:p w14:paraId="463F7752" w14:textId="77777777" w:rsidR="00F44783" w:rsidRPr="00D46683" w:rsidRDefault="00F44783" w:rsidP="00F44783">
      <w:pPr>
        <w:adjustRightInd w:val="0"/>
        <w:spacing w:after="0" w:line="240" w:lineRule="auto"/>
        <w:rPr>
          <w:rFonts w:ascii="Times New Roman" w:eastAsia="Times New Roman" w:hAnsi="Times New Roman" w:cs="Times New Roman"/>
          <w:lang w:val="en-AU" w:eastAsia="ja-JP"/>
        </w:rPr>
      </w:pPr>
      <w:r w:rsidRPr="00D46683">
        <w:rPr>
          <w:rFonts w:ascii="Times New Roman" w:eastAsia="PMingLiU" w:hAnsi="Times New Roman" w:cs="Times New Roman"/>
          <w:b/>
          <w:bCs/>
          <w:lang w:val="en-AU" w:eastAsia="zh-TW"/>
        </w:rPr>
        <w:t xml:space="preserve">Table </w:t>
      </w:r>
      <w:r w:rsidRPr="00D46683">
        <w:rPr>
          <w:rFonts w:ascii="Times New Roman" w:eastAsia="Times New Roman" w:hAnsi="Times New Roman" w:cs="Times New Roman"/>
          <w:b/>
          <w:bCs/>
          <w:lang w:val="en-AU" w:eastAsia="ja-JP"/>
        </w:rPr>
        <w:t>SWO-</w:t>
      </w:r>
      <w:r w:rsidRPr="00D46683">
        <w:rPr>
          <w:rFonts w:ascii="Times New Roman" w:eastAsia="PMingLiU" w:hAnsi="Times New Roman" w:cs="Times New Roman"/>
          <w:b/>
          <w:bCs/>
          <w:lang w:val="en-AU" w:eastAsia="zh-TW"/>
        </w:rPr>
        <w:t>2</w:t>
      </w:r>
      <w:r w:rsidRPr="00D46683">
        <w:rPr>
          <w:rFonts w:ascii="Times New Roman" w:eastAsia="PMingLiU" w:hAnsi="Times New Roman" w:cs="Times New Roman"/>
          <w:lang w:val="en-AU" w:eastAsia="zh-TW"/>
        </w:rPr>
        <w:t xml:space="preserve">. Summary of reference points over the </w:t>
      </w:r>
      <w:r w:rsidRPr="00D46683">
        <w:rPr>
          <w:rFonts w:ascii="Times New Roman" w:eastAsia="Times New Roman" w:hAnsi="Times New Roman" w:cs="Times New Roman"/>
          <w:lang w:val="en-AU" w:eastAsia="ja-JP"/>
        </w:rPr>
        <w:t>72</w:t>
      </w:r>
      <w:r w:rsidRPr="00D46683">
        <w:rPr>
          <w:rFonts w:ascii="Times New Roman" w:eastAsia="PMingLiU" w:hAnsi="Times New Roman" w:cs="Times New Roman"/>
          <w:lang w:val="en-AU" w:eastAsia="zh-TW"/>
        </w:rPr>
        <w:t xml:space="preserve"> models in the structural uncertainty grid for management advice. Note that SB</w:t>
      </w:r>
      <w:r w:rsidRPr="00D46683">
        <w:rPr>
          <w:rFonts w:ascii="Times New Roman" w:eastAsia="PMingLiU" w:hAnsi="Times New Roman" w:cs="Times New Roman"/>
          <w:i/>
          <w:vertAlign w:val="subscript"/>
          <w:lang w:val="en-AU" w:eastAsia="zh-TW"/>
        </w:rPr>
        <w:t>recent</w:t>
      </w:r>
      <w:r w:rsidRPr="00D46683">
        <w:rPr>
          <w:rFonts w:ascii="Times New Roman" w:eastAsia="PMingLiU" w:hAnsi="Times New Roman" w:cs="Times New Roman"/>
          <w:lang w:val="en-AU" w:eastAsia="zh-TW"/>
        </w:rPr>
        <w:t>/SB</w:t>
      </w:r>
      <w:r w:rsidRPr="00D46683">
        <w:rPr>
          <w:rFonts w:ascii="Times New Roman" w:eastAsia="PMingLiU" w:hAnsi="Times New Roman" w:cs="Times New Roman"/>
          <w:i/>
          <w:vertAlign w:val="subscript"/>
          <w:lang w:val="en-AU" w:eastAsia="zh-TW"/>
        </w:rPr>
        <w:t>F=0</w:t>
      </w:r>
      <w:r w:rsidRPr="00D46683">
        <w:rPr>
          <w:rFonts w:ascii="Times New Roman" w:eastAsia="PMingLiU" w:hAnsi="Times New Roman" w:cs="Times New Roman"/>
          <w:i/>
          <w:lang w:val="en-AU" w:eastAsia="zh-TW"/>
        </w:rPr>
        <w:t xml:space="preserve"> </w:t>
      </w:r>
      <w:r w:rsidRPr="00D46683">
        <w:rPr>
          <w:rFonts w:ascii="Times New Roman" w:eastAsia="PMingLiU" w:hAnsi="Times New Roman" w:cs="Times New Roman"/>
          <w:lang w:val="en-AU" w:eastAsia="zh-TW"/>
        </w:rPr>
        <w:t>is calculated where SB</w:t>
      </w:r>
      <w:r w:rsidRPr="00D46683">
        <w:rPr>
          <w:rFonts w:ascii="Times New Roman" w:eastAsia="PMingLiU" w:hAnsi="Times New Roman" w:cs="Times New Roman"/>
          <w:i/>
          <w:vertAlign w:val="subscript"/>
          <w:lang w:val="en-AU" w:eastAsia="zh-TW"/>
        </w:rPr>
        <w:t>recent</w:t>
      </w:r>
      <w:r w:rsidRPr="00D46683">
        <w:rPr>
          <w:rFonts w:ascii="Times New Roman" w:eastAsia="PMingLiU" w:hAnsi="Times New Roman" w:cs="Times New Roman"/>
          <w:i/>
          <w:lang w:val="en-AU" w:eastAsia="zh-TW"/>
        </w:rPr>
        <w:t xml:space="preserve"> </w:t>
      </w:r>
      <w:r w:rsidRPr="00D46683">
        <w:rPr>
          <w:rFonts w:ascii="Times New Roman" w:eastAsia="PMingLiU" w:hAnsi="Times New Roman" w:cs="Times New Roman"/>
          <w:lang w:val="en-AU" w:eastAsia="zh-TW"/>
        </w:rPr>
        <w:t>is the mean SB over 2012-2015 instead of 2011-2014 (used in the stock assessment report), at the request of the Scientific Committee.</w:t>
      </w:r>
    </w:p>
    <w:tbl>
      <w:tblPr>
        <w:tblpPr w:leftFromText="187" w:rightFromText="187" w:vertAnchor="text" w:horzAnchor="margin" w:tblpY="1"/>
        <w:tblOverlap w:val="never"/>
        <w:tblW w:w="0" w:type="auto"/>
        <w:tblBorders>
          <w:top w:val="single" w:sz="4" w:space="0" w:color="auto"/>
          <w:bottom w:val="single" w:sz="4" w:space="0" w:color="auto"/>
        </w:tblBorders>
        <w:tblLook w:val="04A0" w:firstRow="1" w:lastRow="0" w:firstColumn="1" w:lastColumn="0" w:noHBand="0" w:noVBand="1"/>
      </w:tblPr>
      <w:tblGrid>
        <w:gridCol w:w="1732"/>
        <w:gridCol w:w="1264"/>
        <w:gridCol w:w="1265"/>
        <w:gridCol w:w="1265"/>
        <w:gridCol w:w="1265"/>
        <w:gridCol w:w="1265"/>
        <w:gridCol w:w="1265"/>
      </w:tblGrid>
      <w:tr w:rsidR="00F44783" w:rsidRPr="00D46683" w14:paraId="7733F79C" w14:textId="77777777" w:rsidTr="00573C70">
        <w:tc>
          <w:tcPr>
            <w:tcW w:w="1732" w:type="dxa"/>
            <w:tcBorders>
              <w:top w:val="single" w:sz="4" w:space="0" w:color="auto"/>
              <w:bottom w:val="single" w:sz="4" w:space="0" w:color="auto"/>
            </w:tcBorders>
            <w:shd w:val="clear" w:color="auto" w:fill="auto"/>
          </w:tcPr>
          <w:p w14:paraId="0BD1618E" w14:textId="77777777" w:rsidR="00F44783" w:rsidRPr="00D46683" w:rsidRDefault="00F44783" w:rsidP="00F44783">
            <w:pPr>
              <w:adjustRightInd w:val="0"/>
              <w:spacing w:after="0" w:line="240" w:lineRule="auto"/>
              <w:rPr>
                <w:rFonts w:ascii="Times New Roman" w:eastAsia="Times New Roman" w:hAnsi="Times New Roman" w:cs="Times New Roman"/>
                <w:b/>
                <w:lang w:eastAsia="ja-JP"/>
              </w:rPr>
            </w:pPr>
          </w:p>
        </w:tc>
        <w:tc>
          <w:tcPr>
            <w:tcW w:w="1264" w:type="dxa"/>
            <w:tcBorders>
              <w:top w:val="single" w:sz="4" w:space="0" w:color="auto"/>
              <w:bottom w:val="single" w:sz="4" w:space="0" w:color="auto"/>
            </w:tcBorders>
            <w:shd w:val="clear" w:color="auto" w:fill="auto"/>
            <w:vAlign w:val="bottom"/>
          </w:tcPr>
          <w:p w14:paraId="7A98331D" w14:textId="77777777" w:rsidR="00F44783" w:rsidRPr="00D46683" w:rsidRDefault="00F44783" w:rsidP="00F44783">
            <w:pPr>
              <w:adjustRightInd w:val="0"/>
              <w:spacing w:after="0" w:line="240" w:lineRule="auto"/>
              <w:jc w:val="center"/>
              <w:rPr>
                <w:rFonts w:ascii="Times New Roman" w:eastAsia="Times New Roman" w:hAnsi="Times New Roman" w:cs="Times New Roman"/>
                <w:b/>
                <w:lang w:eastAsia="ja-JP"/>
              </w:rPr>
            </w:pPr>
            <w:r w:rsidRPr="00D46683">
              <w:rPr>
                <w:rFonts w:ascii="Times New Roman" w:eastAsia="Times New Roman" w:hAnsi="Times New Roman" w:cs="Times New Roman"/>
                <w:b/>
                <w:lang w:eastAsia="ja-JP"/>
              </w:rPr>
              <w:t>Mean</w:t>
            </w:r>
          </w:p>
        </w:tc>
        <w:tc>
          <w:tcPr>
            <w:tcW w:w="1265" w:type="dxa"/>
            <w:tcBorders>
              <w:top w:val="single" w:sz="4" w:space="0" w:color="auto"/>
              <w:bottom w:val="single" w:sz="4" w:space="0" w:color="auto"/>
            </w:tcBorders>
            <w:shd w:val="clear" w:color="auto" w:fill="auto"/>
            <w:vAlign w:val="bottom"/>
          </w:tcPr>
          <w:p w14:paraId="3BEDD805" w14:textId="77777777" w:rsidR="00F44783" w:rsidRPr="00D46683" w:rsidRDefault="00F44783" w:rsidP="00F44783">
            <w:pPr>
              <w:adjustRightInd w:val="0"/>
              <w:spacing w:after="0" w:line="240" w:lineRule="auto"/>
              <w:jc w:val="center"/>
              <w:rPr>
                <w:rFonts w:ascii="Times New Roman" w:eastAsia="Times New Roman" w:hAnsi="Times New Roman" w:cs="Times New Roman"/>
                <w:b/>
                <w:lang w:eastAsia="ja-JP"/>
              </w:rPr>
            </w:pPr>
            <w:r w:rsidRPr="00D46683">
              <w:rPr>
                <w:rFonts w:ascii="Times New Roman" w:eastAsia="Times New Roman" w:hAnsi="Times New Roman" w:cs="Times New Roman"/>
                <w:b/>
                <w:lang w:eastAsia="ja-JP"/>
              </w:rPr>
              <w:t>Median</w:t>
            </w:r>
          </w:p>
        </w:tc>
        <w:tc>
          <w:tcPr>
            <w:tcW w:w="1265" w:type="dxa"/>
            <w:tcBorders>
              <w:top w:val="single" w:sz="4" w:space="0" w:color="auto"/>
              <w:bottom w:val="single" w:sz="4" w:space="0" w:color="auto"/>
            </w:tcBorders>
            <w:shd w:val="clear" w:color="auto" w:fill="auto"/>
            <w:vAlign w:val="bottom"/>
          </w:tcPr>
          <w:p w14:paraId="2E8514A7" w14:textId="77777777" w:rsidR="00F44783" w:rsidRPr="00D46683" w:rsidRDefault="00F44783" w:rsidP="00F44783">
            <w:pPr>
              <w:adjustRightInd w:val="0"/>
              <w:spacing w:after="0" w:line="240" w:lineRule="auto"/>
              <w:jc w:val="center"/>
              <w:rPr>
                <w:rFonts w:ascii="Times New Roman" w:eastAsia="Times New Roman" w:hAnsi="Times New Roman" w:cs="Times New Roman"/>
                <w:b/>
                <w:lang w:eastAsia="ja-JP"/>
              </w:rPr>
            </w:pPr>
            <w:r w:rsidRPr="00D46683">
              <w:rPr>
                <w:rFonts w:ascii="Times New Roman" w:eastAsia="Times New Roman" w:hAnsi="Times New Roman" w:cs="Times New Roman"/>
                <w:b/>
                <w:lang w:eastAsia="ja-JP"/>
              </w:rPr>
              <w:t>Min</w:t>
            </w:r>
          </w:p>
        </w:tc>
        <w:tc>
          <w:tcPr>
            <w:tcW w:w="1265" w:type="dxa"/>
            <w:tcBorders>
              <w:top w:val="single" w:sz="4" w:space="0" w:color="auto"/>
              <w:bottom w:val="single" w:sz="4" w:space="0" w:color="auto"/>
            </w:tcBorders>
            <w:shd w:val="clear" w:color="auto" w:fill="auto"/>
            <w:vAlign w:val="bottom"/>
          </w:tcPr>
          <w:p w14:paraId="42762688" w14:textId="77777777" w:rsidR="00F44783" w:rsidRPr="00D46683" w:rsidRDefault="00F44783" w:rsidP="00F44783">
            <w:pPr>
              <w:adjustRightInd w:val="0"/>
              <w:spacing w:after="0" w:line="240" w:lineRule="auto"/>
              <w:jc w:val="center"/>
              <w:rPr>
                <w:rFonts w:ascii="Times New Roman" w:eastAsia="Times New Roman" w:hAnsi="Times New Roman" w:cs="Times New Roman"/>
                <w:b/>
                <w:lang w:eastAsia="ja-JP"/>
              </w:rPr>
            </w:pPr>
            <w:r w:rsidRPr="00D46683">
              <w:rPr>
                <w:rFonts w:ascii="Times New Roman" w:eastAsia="Times New Roman" w:hAnsi="Times New Roman" w:cs="Times New Roman"/>
                <w:b/>
                <w:lang w:eastAsia="ja-JP"/>
              </w:rPr>
              <w:t>10%</w:t>
            </w:r>
          </w:p>
        </w:tc>
        <w:tc>
          <w:tcPr>
            <w:tcW w:w="1265" w:type="dxa"/>
            <w:tcBorders>
              <w:top w:val="single" w:sz="4" w:space="0" w:color="auto"/>
              <w:bottom w:val="single" w:sz="4" w:space="0" w:color="auto"/>
            </w:tcBorders>
            <w:shd w:val="clear" w:color="auto" w:fill="auto"/>
            <w:vAlign w:val="bottom"/>
          </w:tcPr>
          <w:p w14:paraId="49B0FD68" w14:textId="77777777" w:rsidR="00F44783" w:rsidRPr="00D46683" w:rsidRDefault="00F44783" w:rsidP="00F44783">
            <w:pPr>
              <w:adjustRightInd w:val="0"/>
              <w:spacing w:after="0" w:line="240" w:lineRule="auto"/>
              <w:jc w:val="center"/>
              <w:rPr>
                <w:rFonts w:ascii="Times New Roman" w:eastAsia="Times New Roman" w:hAnsi="Times New Roman" w:cs="Times New Roman"/>
                <w:b/>
                <w:lang w:eastAsia="ja-JP"/>
              </w:rPr>
            </w:pPr>
            <w:r w:rsidRPr="00D46683">
              <w:rPr>
                <w:rFonts w:ascii="Times New Roman" w:eastAsia="Times New Roman" w:hAnsi="Times New Roman" w:cs="Times New Roman"/>
                <w:b/>
                <w:lang w:eastAsia="ja-JP"/>
              </w:rPr>
              <w:t>90%</w:t>
            </w:r>
          </w:p>
        </w:tc>
        <w:tc>
          <w:tcPr>
            <w:tcW w:w="1265" w:type="dxa"/>
            <w:tcBorders>
              <w:top w:val="single" w:sz="4" w:space="0" w:color="auto"/>
              <w:bottom w:val="single" w:sz="4" w:space="0" w:color="auto"/>
            </w:tcBorders>
            <w:shd w:val="clear" w:color="auto" w:fill="auto"/>
            <w:vAlign w:val="bottom"/>
          </w:tcPr>
          <w:p w14:paraId="25F65BFE" w14:textId="77777777" w:rsidR="00F44783" w:rsidRPr="00D46683" w:rsidRDefault="00F44783" w:rsidP="00F44783">
            <w:pPr>
              <w:adjustRightInd w:val="0"/>
              <w:spacing w:after="0" w:line="240" w:lineRule="auto"/>
              <w:jc w:val="center"/>
              <w:rPr>
                <w:rFonts w:ascii="Times New Roman" w:eastAsia="Times New Roman" w:hAnsi="Times New Roman" w:cs="Times New Roman"/>
                <w:b/>
                <w:lang w:eastAsia="ja-JP"/>
              </w:rPr>
            </w:pPr>
            <w:r w:rsidRPr="00D46683">
              <w:rPr>
                <w:rFonts w:ascii="Times New Roman" w:eastAsia="Times New Roman" w:hAnsi="Times New Roman" w:cs="Times New Roman"/>
                <w:b/>
                <w:lang w:eastAsia="ja-JP"/>
              </w:rPr>
              <w:t>Max</w:t>
            </w:r>
          </w:p>
        </w:tc>
      </w:tr>
      <w:tr w:rsidR="00F44783" w:rsidRPr="00D46683" w14:paraId="6CEA53E3" w14:textId="77777777" w:rsidTr="00573C70">
        <w:tc>
          <w:tcPr>
            <w:tcW w:w="1732" w:type="dxa"/>
            <w:tcBorders>
              <w:top w:val="single" w:sz="4" w:space="0" w:color="auto"/>
            </w:tcBorders>
            <w:shd w:val="clear" w:color="auto" w:fill="auto"/>
          </w:tcPr>
          <w:p w14:paraId="1FAF21CC"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C</w:t>
            </w:r>
            <w:r w:rsidRPr="00D46683">
              <w:rPr>
                <w:rFonts w:ascii="Times New Roman" w:eastAsia="Times New Roman" w:hAnsi="Times New Roman" w:cs="Times New Roman"/>
                <w:i/>
                <w:vertAlign w:val="subscript"/>
                <w:lang w:eastAsia="ja-JP"/>
              </w:rPr>
              <w:t>latest</w:t>
            </w:r>
          </w:p>
        </w:tc>
        <w:tc>
          <w:tcPr>
            <w:tcW w:w="1264" w:type="dxa"/>
            <w:tcBorders>
              <w:top w:val="single" w:sz="4" w:space="0" w:color="auto"/>
            </w:tcBorders>
            <w:shd w:val="clear" w:color="auto" w:fill="auto"/>
            <w:vAlign w:val="center"/>
          </w:tcPr>
          <w:p w14:paraId="1CB047FC"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9,884</w:t>
            </w:r>
          </w:p>
        </w:tc>
        <w:tc>
          <w:tcPr>
            <w:tcW w:w="1265" w:type="dxa"/>
            <w:tcBorders>
              <w:top w:val="single" w:sz="4" w:space="0" w:color="auto"/>
            </w:tcBorders>
            <w:shd w:val="clear" w:color="auto" w:fill="auto"/>
            <w:vAlign w:val="center"/>
          </w:tcPr>
          <w:p w14:paraId="31C63CDB"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9,884</w:t>
            </w:r>
          </w:p>
        </w:tc>
        <w:tc>
          <w:tcPr>
            <w:tcW w:w="1265" w:type="dxa"/>
            <w:tcBorders>
              <w:top w:val="single" w:sz="4" w:space="0" w:color="auto"/>
            </w:tcBorders>
            <w:shd w:val="clear" w:color="auto" w:fill="auto"/>
            <w:vAlign w:val="center"/>
          </w:tcPr>
          <w:p w14:paraId="1D195AC7"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9,318</w:t>
            </w:r>
          </w:p>
        </w:tc>
        <w:tc>
          <w:tcPr>
            <w:tcW w:w="1265" w:type="dxa"/>
            <w:tcBorders>
              <w:top w:val="single" w:sz="4" w:space="0" w:color="auto"/>
            </w:tcBorders>
            <w:shd w:val="clear" w:color="auto" w:fill="auto"/>
            <w:vAlign w:val="center"/>
          </w:tcPr>
          <w:p w14:paraId="70BC4720"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9,343</w:t>
            </w:r>
          </w:p>
        </w:tc>
        <w:tc>
          <w:tcPr>
            <w:tcW w:w="1265" w:type="dxa"/>
            <w:tcBorders>
              <w:top w:val="single" w:sz="4" w:space="0" w:color="auto"/>
            </w:tcBorders>
            <w:shd w:val="clear" w:color="auto" w:fill="auto"/>
            <w:vAlign w:val="center"/>
          </w:tcPr>
          <w:p w14:paraId="020197BB"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10,157</w:t>
            </w:r>
          </w:p>
        </w:tc>
        <w:tc>
          <w:tcPr>
            <w:tcW w:w="1265" w:type="dxa"/>
            <w:tcBorders>
              <w:top w:val="single" w:sz="4" w:space="0" w:color="auto"/>
            </w:tcBorders>
            <w:shd w:val="clear" w:color="auto" w:fill="auto"/>
            <w:vAlign w:val="center"/>
          </w:tcPr>
          <w:p w14:paraId="12269337"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10,287</w:t>
            </w:r>
          </w:p>
        </w:tc>
      </w:tr>
      <w:tr w:rsidR="00F44783" w:rsidRPr="00D46683" w14:paraId="00126888" w14:textId="77777777" w:rsidTr="00573C70">
        <w:tc>
          <w:tcPr>
            <w:tcW w:w="1732" w:type="dxa"/>
            <w:shd w:val="clear" w:color="auto" w:fill="auto"/>
          </w:tcPr>
          <w:p w14:paraId="74A11111"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MSY</w:t>
            </w:r>
          </w:p>
        </w:tc>
        <w:tc>
          <w:tcPr>
            <w:tcW w:w="1264" w:type="dxa"/>
            <w:shd w:val="clear" w:color="auto" w:fill="auto"/>
            <w:vAlign w:val="center"/>
          </w:tcPr>
          <w:p w14:paraId="62189EB4"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8,172</w:t>
            </w:r>
          </w:p>
        </w:tc>
        <w:tc>
          <w:tcPr>
            <w:tcW w:w="1265" w:type="dxa"/>
            <w:shd w:val="clear" w:color="auto" w:fill="auto"/>
            <w:vAlign w:val="center"/>
          </w:tcPr>
          <w:p w14:paraId="658D3E06"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7,913</w:t>
            </w:r>
          </w:p>
        </w:tc>
        <w:tc>
          <w:tcPr>
            <w:tcW w:w="1265" w:type="dxa"/>
            <w:shd w:val="clear" w:color="auto" w:fill="auto"/>
            <w:vAlign w:val="center"/>
          </w:tcPr>
          <w:p w14:paraId="769155D3"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5,905</w:t>
            </w:r>
          </w:p>
        </w:tc>
        <w:tc>
          <w:tcPr>
            <w:tcW w:w="1265" w:type="dxa"/>
            <w:shd w:val="clear" w:color="auto" w:fill="auto"/>
            <w:vAlign w:val="center"/>
          </w:tcPr>
          <w:p w14:paraId="40968433"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6,396</w:t>
            </w:r>
          </w:p>
        </w:tc>
        <w:tc>
          <w:tcPr>
            <w:tcW w:w="1265" w:type="dxa"/>
            <w:shd w:val="clear" w:color="auto" w:fill="auto"/>
            <w:vAlign w:val="center"/>
          </w:tcPr>
          <w:p w14:paraId="695A7ECD"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10,150</w:t>
            </w:r>
          </w:p>
        </w:tc>
        <w:tc>
          <w:tcPr>
            <w:tcW w:w="1265" w:type="dxa"/>
            <w:shd w:val="clear" w:color="auto" w:fill="auto"/>
            <w:vAlign w:val="center"/>
          </w:tcPr>
          <w:p w14:paraId="4FBF7C5A"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11,360</w:t>
            </w:r>
          </w:p>
        </w:tc>
      </w:tr>
      <w:tr w:rsidR="00F44783" w:rsidRPr="00D46683" w14:paraId="6B1AB561" w14:textId="77777777" w:rsidTr="00573C70">
        <w:tc>
          <w:tcPr>
            <w:tcW w:w="1732" w:type="dxa"/>
            <w:shd w:val="clear" w:color="auto" w:fill="auto"/>
          </w:tcPr>
          <w:p w14:paraId="5D40E918"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Y</w:t>
            </w:r>
            <w:r w:rsidRPr="00D46683">
              <w:rPr>
                <w:rFonts w:ascii="Times New Roman" w:eastAsia="Times New Roman" w:hAnsi="Times New Roman" w:cs="Times New Roman"/>
                <w:i/>
                <w:vertAlign w:val="subscript"/>
                <w:lang w:eastAsia="ja-JP"/>
              </w:rPr>
              <w:t>Frecent</w:t>
            </w:r>
          </w:p>
        </w:tc>
        <w:tc>
          <w:tcPr>
            <w:tcW w:w="1264" w:type="dxa"/>
            <w:shd w:val="clear" w:color="auto" w:fill="auto"/>
            <w:vAlign w:val="center"/>
          </w:tcPr>
          <w:p w14:paraId="1E3B26B2"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7,628</w:t>
            </w:r>
          </w:p>
        </w:tc>
        <w:tc>
          <w:tcPr>
            <w:tcW w:w="1265" w:type="dxa"/>
            <w:shd w:val="clear" w:color="auto" w:fill="auto"/>
            <w:vAlign w:val="center"/>
          </w:tcPr>
          <w:p w14:paraId="5E484E22"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7,775</w:t>
            </w:r>
          </w:p>
        </w:tc>
        <w:tc>
          <w:tcPr>
            <w:tcW w:w="1265" w:type="dxa"/>
            <w:shd w:val="clear" w:color="auto" w:fill="auto"/>
            <w:vAlign w:val="center"/>
          </w:tcPr>
          <w:p w14:paraId="16EA5588"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4,998</w:t>
            </w:r>
          </w:p>
        </w:tc>
        <w:tc>
          <w:tcPr>
            <w:tcW w:w="1265" w:type="dxa"/>
            <w:shd w:val="clear" w:color="auto" w:fill="auto"/>
            <w:vAlign w:val="center"/>
          </w:tcPr>
          <w:p w14:paraId="36DFFA74"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6,062</w:t>
            </w:r>
          </w:p>
        </w:tc>
        <w:tc>
          <w:tcPr>
            <w:tcW w:w="1265" w:type="dxa"/>
            <w:shd w:val="clear" w:color="auto" w:fill="auto"/>
            <w:vAlign w:val="center"/>
          </w:tcPr>
          <w:p w14:paraId="499808E2"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8,948</w:t>
            </w:r>
          </w:p>
        </w:tc>
        <w:tc>
          <w:tcPr>
            <w:tcW w:w="1265" w:type="dxa"/>
            <w:shd w:val="clear" w:color="auto" w:fill="auto"/>
            <w:vAlign w:val="center"/>
          </w:tcPr>
          <w:p w14:paraId="6899B0A6"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9,684</w:t>
            </w:r>
          </w:p>
        </w:tc>
      </w:tr>
      <w:tr w:rsidR="00F44783" w:rsidRPr="00D46683" w14:paraId="685A3009" w14:textId="77777777" w:rsidTr="00573C70">
        <w:tc>
          <w:tcPr>
            <w:tcW w:w="1732" w:type="dxa"/>
            <w:shd w:val="clear" w:color="auto" w:fill="auto"/>
          </w:tcPr>
          <w:p w14:paraId="7AAD4BB6"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f</w:t>
            </w:r>
            <w:r w:rsidRPr="00D46683">
              <w:rPr>
                <w:rFonts w:ascii="Times New Roman" w:eastAsia="Times New Roman" w:hAnsi="Times New Roman" w:cs="Times New Roman"/>
                <w:i/>
                <w:vertAlign w:val="subscript"/>
                <w:lang w:eastAsia="ja-JP"/>
              </w:rPr>
              <w:t>mult</w:t>
            </w:r>
          </w:p>
        </w:tc>
        <w:tc>
          <w:tcPr>
            <w:tcW w:w="1264" w:type="dxa"/>
            <w:shd w:val="clear" w:color="auto" w:fill="auto"/>
            <w:vAlign w:val="center"/>
          </w:tcPr>
          <w:p w14:paraId="653E8086"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1.27</w:t>
            </w:r>
          </w:p>
        </w:tc>
        <w:tc>
          <w:tcPr>
            <w:tcW w:w="1265" w:type="dxa"/>
            <w:shd w:val="clear" w:color="auto" w:fill="auto"/>
            <w:vAlign w:val="center"/>
          </w:tcPr>
          <w:p w14:paraId="29D574D0"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1.15</w:t>
            </w:r>
          </w:p>
        </w:tc>
        <w:tc>
          <w:tcPr>
            <w:tcW w:w="1265" w:type="dxa"/>
            <w:shd w:val="clear" w:color="auto" w:fill="auto"/>
            <w:vAlign w:val="center"/>
          </w:tcPr>
          <w:p w14:paraId="7CEF2B1F"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0.66</w:t>
            </w:r>
          </w:p>
        </w:tc>
        <w:tc>
          <w:tcPr>
            <w:tcW w:w="1265" w:type="dxa"/>
            <w:shd w:val="clear" w:color="auto" w:fill="auto"/>
            <w:vAlign w:val="center"/>
          </w:tcPr>
          <w:p w14:paraId="7E56431D"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0.79</w:t>
            </w:r>
          </w:p>
        </w:tc>
        <w:tc>
          <w:tcPr>
            <w:tcW w:w="1265" w:type="dxa"/>
            <w:shd w:val="clear" w:color="auto" w:fill="auto"/>
            <w:vAlign w:val="center"/>
          </w:tcPr>
          <w:p w14:paraId="4E599D4E"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1.89</w:t>
            </w:r>
          </w:p>
        </w:tc>
        <w:tc>
          <w:tcPr>
            <w:tcW w:w="1265" w:type="dxa"/>
            <w:shd w:val="clear" w:color="auto" w:fill="auto"/>
            <w:vAlign w:val="center"/>
          </w:tcPr>
          <w:p w14:paraId="5EF49738"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2.32</w:t>
            </w:r>
          </w:p>
        </w:tc>
      </w:tr>
      <w:tr w:rsidR="00F44783" w:rsidRPr="00D46683" w14:paraId="0CFECB11" w14:textId="77777777" w:rsidTr="00573C70">
        <w:tc>
          <w:tcPr>
            <w:tcW w:w="1732" w:type="dxa"/>
            <w:shd w:val="clear" w:color="auto" w:fill="auto"/>
          </w:tcPr>
          <w:p w14:paraId="66F1AA4D"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F</w:t>
            </w:r>
            <w:r w:rsidRPr="00D46683">
              <w:rPr>
                <w:rFonts w:ascii="Times New Roman" w:hAnsi="Times New Roman" w:cs="Times New Roman"/>
                <w:vertAlign w:val="subscript"/>
                <w:lang w:val="en-AU"/>
              </w:rPr>
              <w:t>MSY</w:t>
            </w:r>
          </w:p>
        </w:tc>
        <w:tc>
          <w:tcPr>
            <w:tcW w:w="1264" w:type="dxa"/>
            <w:shd w:val="clear" w:color="auto" w:fill="auto"/>
            <w:vAlign w:val="center"/>
          </w:tcPr>
          <w:p w14:paraId="601F2E6D"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0.16</w:t>
            </w:r>
          </w:p>
        </w:tc>
        <w:tc>
          <w:tcPr>
            <w:tcW w:w="1265" w:type="dxa"/>
            <w:shd w:val="clear" w:color="auto" w:fill="auto"/>
            <w:vAlign w:val="center"/>
          </w:tcPr>
          <w:p w14:paraId="2744FF5D"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0.14</w:t>
            </w:r>
          </w:p>
        </w:tc>
        <w:tc>
          <w:tcPr>
            <w:tcW w:w="1265" w:type="dxa"/>
            <w:shd w:val="clear" w:color="auto" w:fill="auto"/>
            <w:vAlign w:val="center"/>
          </w:tcPr>
          <w:p w14:paraId="1D055E9D"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0.10</w:t>
            </w:r>
          </w:p>
        </w:tc>
        <w:tc>
          <w:tcPr>
            <w:tcW w:w="1265" w:type="dxa"/>
            <w:shd w:val="clear" w:color="auto" w:fill="auto"/>
            <w:vAlign w:val="center"/>
          </w:tcPr>
          <w:p w14:paraId="720B7FFA"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0.10</w:t>
            </w:r>
          </w:p>
        </w:tc>
        <w:tc>
          <w:tcPr>
            <w:tcW w:w="1265" w:type="dxa"/>
            <w:shd w:val="clear" w:color="auto" w:fill="auto"/>
            <w:vAlign w:val="center"/>
          </w:tcPr>
          <w:p w14:paraId="3E399CF2"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0.22</w:t>
            </w:r>
          </w:p>
        </w:tc>
        <w:tc>
          <w:tcPr>
            <w:tcW w:w="1265" w:type="dxa"/>
            <w:shd w:val="clear" w:color="auto" w:fill="auto"/>
            <w:vAlign w:val="center"/>
          </w:tcPr>
          <w:p w14:paraId="4346C4F5"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0.23</w:t>
            </w:r>
          </w:p>
        </w:tc>
      </w:tr>
      <w:tr w:rsidR="00F44783" w:rsidRPr="00D46683" w14:paraId="143228DC" w14:textId="77777777" w:rsidTr="00573C70">
        <w:tc>
          <w:tcPr>
            <w:tcW w:w="1732" w:type="dxa"/>
            <w:shd w:val="clear" w:color="auto" w:fill="auto"/>
          </w:tcPr>
          <w:p w14:paraId="25C0F969"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F</w:t>
            </w:r>
            <w:r w:rsidRPr="00D46683">
              <w:rPr>
                <w:rFonts w:ascii="Times New Roman" w:eastAsia="Times New Roman" w:hAnsi="Times New Roman" w:cs="Times New Roman"/>
                <w:i/>
                <w:vertAlign w:val="subscript"/>
                <w:lang w:eastAsia="ja-JP"/>
              </w:rPr>
              <w:t>recent</w:t>
            </w:r>
            <w:r w:rsidRPr="00D46683">
              <w:rPr>
                <w:rFonts w:ascii="Times New Roman" w:eastAsia="Times New Roman" w:hAnsi="Times New Roman" w:cs="Times New Roman"/>
                <w:i/>
                <w:lang w:eastAsia="ja-JP"/>
              </w:rPr>
              <w:t>/F</w:t>
            </w:r>
            <w:r w:rsidRPr="00D46683">
              <w:rPr>
                <w:rFonts w:ascii="Times New Roman" w:hAnsi="Times New Roman" w:cs="Times New Roman"/>
                <w:vertAlign w:val="subscript"/>
                <w:lang w:val="en-AU"/>
              </w:rPr>
              <w:t>MSY</w:t>
            </w:r>
          </w:p>
        </w:tc>
        <w:tc>
          <w:tcPr>
            <w:tcW w:w="1264" w:type="dxa"/>
            <w:shd w:val="clear" w:color="auto" w:fill="auto"/>
            <w:vAlign w:val="center"/>
          </w:tcPr>
          <w:p w14:paraId="772CE764"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0.88</w:t>
            </w:r>
          </w:p>
        </w:tc>
        <w:tc>
          <w:tcPr>
            <w:tcW w:w="1265" w:type="dxa"/>
            <w:shd w:val="clear" w:color="auto" w:fill="auto"/>
            <w:vAlign w:val="center"/>
          </w:tcPr>
          <w:p w14:paraId="10B5D4A7"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0.87</w:t>
            </w:r>
          </w:p>
        </w:tc>
        <w:tc>
          <w:tcPr>
            <w:tcW w:w="1265" w:type="dxa"/>
            <w:shd w:val="clear" w:color="auto" w:fill="auto"/>
            <w:vAlign w:val="center"/>
          </w:tcPr>
          <w:p w14:paraId="2AABBEBF"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0.43</w:t>
            </w:r>
          </w:p>
        </w:tc>
        <w:tc>
          <w:tcPr>
            <w:tcW w:w="1265" w:type="dxa"/>
            <w:shd w:val="clear" w:color="auto" w:fill="auto"/>
            <w:vAlign w:val="center"/>
          </w:tcPr>
          <w:p w14:paraId="19C16215"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0.53</w:t>
            </w:r>
          </w:p>
        </w:tc>
        <w:tc>
          <w:tcPr>
            <w:tcW w:w="1265" w:type="dxa"/>
            <w:shd w:val="clear" w:color="auto" w:fill="auto"/>
            <w:vAlign w:val="center"/>
          </w:tcPr>
          <w:p w14:paraId="2ADC780D"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1.26</w:t>
            </w:r>
          </w:p>
        </w:tc>
        <w:tc>
          <w:tcPr>
            <w:tcW w:w="1265" w:type="dxa"/>
            <w:shd w:val="clear" w:color="auto" w:fill="auto"/>
            <w:vAlign w:val="center"/>
          </w:tcPr>
          <w:p w14:paraId="66F65BF1"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1.51</w:t>
            </w:r>
          </w:p>
        </w:tc>
      </w:tr>
      <w:tr w:rsidR="00F44783" w:rsidRPr="00D46683" w14:paraId="72961450" w14:textId="77777777" w:rsidTr="00573C70">
        <w:tc>
          <w:tcPr>
            <w:tcW w:w="1732" w:type="dxa"/>
            <w:shd w:val="clear" w:color="auto" w:fill="auto"/>
          </w:tcPr>
          <w:p w14:paraId="63564082"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SB</w:t>
            </w:r>
            <w:r w:rsidRPr="00D46683">
              <w:rPr>
                <w:rFonts w:ascii="Times New Roman" w:hAnsi="Times New Roman" w:cs="Times New Roman"/>
                <w:vertAlign w:val="subscript"/>
                <w:lang w:val="en-AU"/>
              </w:rPr>
              <w:t>MSY</w:t>
            </w:r>
          </w:p>
        </w:tc>
        <w:tc>
          <w:tcPr>
            <w:tcW w:w="1264" w:type="dxa"/>
            <w:shd w:val="clear" w:color="auto" w:fill="auto"/>
            <w:vAlign w:val="center"/>
          </w:tcPr>
          <w:p w14:paraId="7EF5AB17"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17,314</w:t>
            </w:r>
          </w:p>
        </w:tc>
        <w:tc>
          <w:tcPr>
            <w:tcW w:w="1265" w:type="dxa"/>
            <w:shd w:val="clear" w:color="auto" w:fill="auto"/>
            <w:vAlign w:val="center"/>
          </w:tcPr>
          <w:p w14:paraId="31B198D4"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17,740</w:t>
            </w:r>
          </w:p>
        </w:tc>
        <w:tc>
          <w:tcPr>
            <w:tcW w:w="1265" w:type="dxa"/>
            <w:shd w:val="clear" w:color="auto" w:fill="auto"/>
            <w:vAlign w:val="center"/>
          </w:tcPr>
          <w:p w14:paraId="0540C015"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7,278</w:t>
            </w:r>
          </w:p>
        </w:tc>
        <w:tc>
          <w:tcPr>
            <w:tcW w:w="1265" w:type="dxa"/>
            <w:shd w:val="clear" w:color="auto" w:fill="auto"/>
            <w:vAlign w:val="center"/>
          </w:tcPr>
          <w:p w14:paraId="2015888C"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8,943</w:t>
            </w:r>
          </w:p>
        </w:tc>
        <w:tc>
          <w:tcPr>
            <w:tcW w:w="1265" w:type="dxa"/>
            <w:shd w:val="clear" w:color="auto" w:fill="auto"/>
            <w:vAlign w:val="center"/>
          </w:tcPr>
          <w:p w14:paraId="75242F0F"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26,661</w:t>
            </w:r>
          </w:p>
        </w:tc>
        <w:tc>
          <w:tcPr>
            <w:tcW w:w="1265" w:type="dxa"/>
            <w:shd w:val="clear" w:color="auto" w:fill="auto"/>
            <w:vAlign w:val="center"/>
          </w:tcPr>
          <w:p w14:paraId="082E483D"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30,460</w:t>
            </w:r>
          </w:p>
        </w:tc>
      </w:tr>
      <w:tr w:rsidR="00F44783" w:rsidRPr="00D46683" w14:paraId="57F098CD" w14:textId="77777777" w:rsidTr="00573C70">
        <w:tc>
          <w:tcPr>
            <w:tcW w:w="1732" w:type="dxa"/>
            <w:shd w:val="clear" w:color="auto" w:fill="auto"/>
          </w:tcPr>
          <w:p w14:paraId="02963E32"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SB</w:t>
            </w:r>
            <w:r w:rsidRPr="00D46683">
              <w:rPr>
                <w:rFonts w:ascii="Times New Roman" w:eastAsia="Times New Roman" w:hAnsi="Times New Roman" w:cs="Times New Roman"/>
                <w:i/>
                <w:vertAlign w:val="subscript"/>
                <w:lang w:eastAsia="ja-JP"/>
              </w:rPr>
              <w:t>0</w:t>
            </w:r>
          </w:p>
        </w:tc>
        <w:tc>
          <w:tcPr>
            <w:tcW w:w="1264" w:type="dxa"/>
            <w:shd w:val="clear" w:color="auto" w:fill="auto"/>
            <w:vAlign w:val="center"/>
          </w:tcPr>
          <w:p w14:paraId="58DCC4D3"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84,173</w:t>
            </w:r>
          </w:p>
        </w:tc>
        <w:tc>
          <w:tcPr>
            <w:tcW w:w="1265" w:type="dxa"/>
            <w:shd w:val="clear" w:color="auto" w:fill="auto"/>
            <w:vAlign w:val="center"/>
          </w:tcPr>
          <w:p w14:paraId="2877C97E"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84,075</w:t>
            </w:r>
          </w:p>
        </w:tc>
        <w:tc>
          <w:tcPr>
            <w:tcW w:w="1265" w:type="dxa"/>
            <w:shd w:val="clear" w:color="auto" w:fill="auto"/>
            <w:vAlign w:val="center"/>
          </w:tcPr>
          <w:p w14:paraId="1679B467"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57,070</w:t>
            </w:r>
          </w:p>
        </w:tc>
        <w:tc>
          <w:tcPr>
            <w:tcW w:w="1265" w:type="dxa"/>
            <w:shd w:val="clear" w:color="auto" w:fill="auto"/>
            <w:vAlign w:val="center"/>
          </w:tcPr>
          <w:p w14:paraId="560A8DC9"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71,199</w:t>
            </w:r>
          </w:p>
        </w:tc>
        <w:tc>
          <w:tcPr>
            <w:tcW w:w="1265" w:type="dxa"/>
            <w:shd w:val="clear" w:color="auto" w:fill="auto"/>
            <w:vAlign w:val="center"/>
          </w:tcPr>
          <w:p w14:paraId="6DEE44F6"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98,039</w:t>
            </w:r>
          </w:p>
        </w:tc>
        <w:tc>
          <w:tcPr>
            <w:tcW w:w="1265" w:type="dxa"/>
            <w:shd w:val="clear" w:color="auto" w:fill="auto"/>
            <w:vAlign w:val="center"/>
          </w:tcPr>
          <w:p w14:paraId="68D8959D"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111,000</w:t>
            </w:r>
          </w:p>
        </w:tc>
      </w:tr>
      <w:tr w:rsidR="00F44783" w:rsidRPr="00D46683" w14:paraId="131870A4" w14:textId="77777777" w:rsidTr="00573C70">
        <w:tc>
          <w:tcPr>
            <w:tcW w:w="1732" w:type="dxa"/>
            <w:shd w:val="clear" w:color="auto" w:fill="auto"/>
          </w:tcPr>
          <w:p w14:paraId="4422D879"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SB</w:t>
            </w:r>
            <w:r w:rsidRPr="00D46683">
              <w:rPr>
                <w:rFonts w:ascii="Times New Roman" w:hAnsi="Times New Roman" w:cs="Times New Roman"/>
                <w:vertAlign w:val="subscript"/>
                <w:lang w:val="en-AU"/>
              </w:rPr>
              <w:t>MSY</w:t>
            </w:r>
            <w:r w:rsidRPr="00D46683">
              <w:rPr>
                <w:rFonts w:ascii="Times New Roman" w:eastAsia="Times New Roman" w:hAnsi="Times New Roman" w:cs="Times New Roman"/>
                <w:i/>
                <w:lang w:eastAsia="ja-JP"/>
              </w:rPr>
              <w:t>/SB</w:t>
            </w:r>
            <w:r w:rsidRPr="00D46683">
              <w:rPr>
                <w:rFonts w:ascii="Times New Roman" w:eastAsia="Times New Roman" w:hAnsi="Times New Roman" w:cs="Times New Roman"/>
                <w:i/>
                <w:vertAlign w:val="subscript"/>
                <w:lang w:eastAsia="ja-JP"/>
              </w:rPr>
              <w:t>0</w:t>
            </w:r>
          </w:p>
        </w:tc>
        <w:tc>
          <w:tcPr>
            <w:tcW w:w="1264" w:type="dxa"/>
            <w:shd w:val="clear" w:color="auto" w:fill="auto"/>
            <w:vAlign w:val="center"/>
          </w:tcPr>
          <w:p w14:paraId="07D7784C"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0.20</w:t>
            </w:r>
          </w:p>
        </w:tc>
        <w:tc>
          <w:tcPr>
            <w:tcW w:w="1265" w:type="dxa"/>
            <w:shd w:val="clear" w:color="auto" w:fill="auto"/>
            <w:vAlign w:val="center"/>
          </w:tcPr>
          <w:p w14:paraId="702EA305"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0.21</w:t>
            </w:r>
          </w:p>
        </w:tc>
        <w:tc>
          <w:tcPr>
            <w:tcW w:w="1265" w:type="dxa"/>
            <w:shd w:val="clear" w:color="auto" w:fill="auto"/>
            <w:vAlign w:val="center"/>
          </w:tcPr>
          <w:p w14:paraId="4830E57C"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0.11</w:t>
            </w:r>
          </w:p>
        </w:tc>
        <w:tc>
          <w:tcPr>
            <w:tcW w:w="1265" w:type="dxa"/>
            <w:shd w:val="clear" w:color="auto" w:fill="auto"/>
            <w:vAlign w:val="center"/>
          </w:tcPr>
          <w:p w14:paraId="16E0AAD4"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0.12</w:t>
            </w:r>
          </w:p>
        </w:tc>
        <w:tc>
          <w:tcPr>
            <w:tcW w:w="1265" w:type="dxa"/>
            <w:shd w:val="clear" w:color="auto" w:fill="auto"/>
            <w:vAlign w:val="center"/>
          </w:tcPr>
          <w:p w14:paraId="44064641"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0.28</w:t>
            </w:r>
          </w:p>
        </w:tc>
        <w:tc>
          <w:tcPr>
            <w:tcW w:w="1265" w:type="dxa"/>
            <w:shd w:val="clear" w:color="auto" w:fill="auto"/>
            <w:vAlign w:val="center"/>
          </w:tcPr>
          <w:p w14:paraId="3FC21124"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0.28</w:t>
            </w:r>
          </w:p>
        </w:tc>
      </w:tr>
      <w:tr w:rsidR="00F44783" w:rsidRPr="00D46683" w14:paraId="0404787C" w14:textId="77777777" w:rsidTr="00573C70">
        <w:tc>
          <w:tcPr>
            <w:tcW w:w="1732" w:type="dxa"/>
            <w:shd w:val="clear" w:color="auto" w:fill="auto"/>
          </w:tcPr>
          <w:p w14:paraId="2BA5FFE6"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SB</w:t>
            </w:r>
            <w:r w:rsidRPr="00D46683">
              <w:rPr>
                <w:rFonts w:ascii="Times New Roman" w:eastAsia="Times New Roman" w:hAnsi="Times New Roman" w:cs="Times New Roman"/>
                <w:i/>
                <w:vertAlign w:val="subscript"/>
                <w:lang w:eastAsia="ja-JP"/>
              </w:rPr>
              <w:t>F=0</w:t>
            </w:r>
          </w:p>
        </w:tc>
        <w:tc>
          <w:tcPr>
            <w:tcW w:w="1264" w:type="dxa"/>
            <w:shd w:val="clear" w:color="auto" w:fill="auto"/>
            <w:vAlign w:val="center"/>
          </w:tcPr>
          <w:p w14:paraId="1A56D680"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78,619</w:t>
            </w:r>
          </w:p>
        </w:tc>
        <w:tc>
          <w:tcPr>
            <w:tcW w:w="1265" w:type="dxa"/>
            <w:shd w:val="clear" w:color="auto" w:fill="auto"/>
            <w:vAlign w:val="center"/>
          </w:tcPr>
          <w:p w14:paraId="106FABF8"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78,301</w:t>
            </w:r>
          </w:p>
        </w:tc>
        <w:tc>
          <w:tcPr>
            <w:tcW w:w="1265" w:type="dxa"/>
            <w:shd w:val="clear" w:color="auto" w:fill="auto"/>
            <w:vAlign w:val="center"/>
          </w:tcPr>
          <w:p w14:paraId="2724F6CD"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61,996</w:t>
            </w:r>
          </w:p>
        </w:tc>
        <w:tc>
          <w:tcPr>
            <w:tcW w:w="1265" w:type="dxa"/>
            <w:shd w:val="clear" w:color="auto" w:fill="auto"/>
            <w:vAlign w:val="center"/>
          </w:tcPr>
          <w:p w14:paraId="501CE8AB"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64,342</w:t>
            </w:r>
          </w:p>
        </w:tc>
        <w:tc>
          <w:tcPr>
            <w:tcW w:w="1265" w:type="dxa"/>
            <w:shd w:val="clear" w:color="auto" w:fill="auto"/>
            <w:vAlign w:val="center"/>
          </w:tcPr>
          <w:p w14:paraId="0016CBEE"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92,120</w:t>
            </w:r>
          </w:p>
        </w:tc>
        <w:tc>
          <w:tcPr>
            <w:tcW w:w="1265" w:type="dxa"/>
            <w:shd w:val="clear" w:color="auto" w:fill="auto"/>
            <w:vAlign w:val="center"/>
          </w:tcPr>
          <w:p w14:paraId="059A1AD8"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100,691</w:t>
            </w:r>
          </w:p>
        </w:tc>
      </w:tr>
      <w:tr w:rsidR="00F44783" w:rsidRPr="00D46683" w14:paraId="5FA1E30F" w14:textId="77777777" w:rsidTr="00573C70">
        <w:tc>
          <w:tcPr>
            <w:tcW w:w="1732" w:type="dxa"/>
            <w:shd w:val="clear" w:color="auto" w:fill="auto"/>
          </w:tcPr>
          <w:p w14:paraId="3A8EEE07"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SB</w:t>
            </w:r>
            <w:r w:rsidRPr="00D46683">
              <w:rPr>
                <w:rFonts w:ascii="Times New Roman" w:hAnsi="Times New Roman" w:cs="Times New Roman"/>
                <w:vertAlign w:val="subscript"/>
                <w:lang w:val="en-AU"/>
              </w:rPr>
              <w:t>MSY</w:t>
            </w:r>
            <w:r w:rsidRPr="00D46683">
              <w:rPr>
                <w:rFonts w:ascii="Times New Roman" w:eastAsia="Times New Roman" w:hAnsi="Times New Roman" w:cs="Times New Roman"/>
                <w:i/>
                <w:lang w:eastAsia="ja-JP"/>
              </w:rPr>
              <w:t>/SB</w:t>
            </w:r>
            <w:r w:rsidRPr="00D46683">
              <w:rPr>
                <w:rFonts w:ascii="Times New Roman" w:eastAsia="Times New Roman" w:hAnsi="Times New Roman" w:cs="Times New Roman"/>
                <w:i/>
                <w:vertAlign w:val="subscript"/>
                <w:lang w:eastAsia="ja-JP"/>
              </w:rPr>
              <w:t>F=0</w:t>
            </w:r>
          </w:p>
        </w:tc>
        <w:tc>
          <w:tcPr>
            <w:tcW w:w="1264" w:type="dxa"/>
            <w:shd w:val="clear" w:color="auto" w:fill="auto"/>
            <w:vAlign w:val="center"/>
          </w:tcPr>
          <w:p w14:paraId="184E670B"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0.22</w:t>
            </w:r>
          </w:p>
        </w:tc>
        <w:tc>
          <w:tcPr>
            <w:tcW w:w="1265" w:type="dxa"/>
            <w:shd w:val="clear" w:color="auto" w:fill="auto"/>
            <w:vAlign w:val="center"/>
          </w:tcPr>
          <w:p w14:paraId="12D3D2DC"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0.23</w:t>
            </w:r>
          </w:p>
        </w:tc>
        <w:tc>
          <w:tcPr>
            <w:tcW w:w="1265" w:type="dxa"/>
            <w:shd w:val="clear" w:color="auto" w:fill="auto"/>
            <w:vAlign w:val="center"/>
          </w:tcPr>
          <w:p w14:paraId="634D0ECC"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0.10</w:t>
            </w:r>
          </w:p>
        </w:tc>
        <w:tc>
          <w:tcPr>
            <w:tcW w:w="1265" w:type="dxa"/>
            <w:shd w:val="clear" w:color="auto" w:fill="auto"/>
            <w:vAlign w:val="center"/>
          </w:tcPr>
          <w:p w14:paraId="1E3D8FE3"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0.12</w:t>
            </w:r>
          </w:p>
        </w:tc>
        <w:tc>
          <w:tcPr>
            <w:tcW w:w="1265" w:type="dxa"/>
            <w:shd w:val="clear" w:color="auto" w:fill="auto"/>
            <w:vAlign w:val="center"/>
          </w:tcPr>
          <w:p w14:paraId="3AC5C0E5"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0.32</w:t>
            </w:r>
          </w:p>
        </w:tc>
        <w:tc>
          <w:tcPr>
            <w:tcW w:w="1265" w:type="dxa"/>
            <w:shd w:val="clear" w:color="auto" w:fill="auto"/>
            <w:vAlign w:val="center"/>
          </w:tcPr>
          <w:p w14:paraId="4F85EB54"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0.33</w:t>
            </w:r>
          </w:p>
        </w:tc>
      </w:tr>
      <w:tr w:rsidR="00F44783" w:rsidRPr="00D46683" w14:paraId="3CD6097C" w14:textId="77777777" w:rsidTr="00573C70">
        <w:tc>
          <w:tcPr>
            <w:tcW w:w="1732" w:type="dxa"/>
            <w:shd w:val="clear" w:color="auto" w:fill="auto"/>
          </w:tcPr>
          <w:p w14:paraId="6090A5B7"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MS Mincho" w:hAnsi="Times New Roman" w:cs="Times New Roman"/>
                <w:i/>
              </w:rPr>
              <w:t>SB</w:t>
            </w:r>
            <w:r w:rsidRPr="00D46683">
              <w:rPr>
                <w:rFonts w:ascii="Times New Roman" w:eastAsia="MS Mincho" w:hAnsi="Times New Roman" w:cs="Times New Roman"/>
                <w:i/>
                <w:vertAlign w:val="subscript"/>
              </w:rPr>
              <w:t>latest</w:t>
            </w:r>
            <w:r w:rsidRPr="00D46683" w:rsidDel="00300F08">
              <w:rPr>
                <w:rFonts w:ascii="Times New Roman" w:eastAsia="Times New Roman" w:hAnsi="Times New Roman" w:cs="Times New Roman"/>
                <w:i/>
                <w:lang w:eastAsia="ja-JP"/>
              </w:rPr>
              <w:t xml:space="preserve"> </w:t>
            </w:r>
            <w:r w:rsidRPr="00D46683">
              <w:rPr>
                <w:rFonts w:ascii="Times New Roman" w:eastAsia="Times New Roman" w:hAnsi="Times New Roman" w:cs="Times New Roman"/>
                <w:i/>
                <w:lang w:eastAsia="ja-JP"/>
              </w:rPr>
              <w:t>/SB</w:t>
            </w:r>
            <w:r w:rsidRPr="00D46683">
              <w:rPr>
                <w:rFonts w:ascii="Times New Roman" w:eastAsia="Times New Roman" w:hAnsi="Times New Roman" w:cs="Times New Roman"/>
                <w:i/>
                <w:vertAlign w:val="subscript"/>
                <w:lang w:eastAsia="ja-JP"/>
              </w:rPr>
              <w:t>0</w:t>
            </w:r>
          </w:p>
        </w:tc>
        <w:tc>
          <w:tcPr>
            <w:tcW w:w="1264" w:type="dxa"/>
            <w:shd w:val="clear" w:color="auto" w:fill="auto"/>
            <w:vAlign w:val="center"/>
          </w:tcPr>
          <w:p w14:paraId="28325392"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0.33</w:t>
            </w:r>
          </w:p>
        </w:tc>
        <w:tc>
          <w:tcPr>
            <w:tcW w:w="1265" w:type="dxa"/>
            <w:shd w:val="clear" w:color="auto" w:fill="auto"/>
            <w:vAlign w:val="center"/>
          </w:tcPr>
          <w:p w14:paraId="2DBCC5B5"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0.32</w:t>
            </w:r>
          </w:p>
        </w:tc>
        <w:tc>
          <w:tcPr>
            <w:tcW w:w="1265" w:type="dxa"/>
            <w:shd w:val="clear" w:color="auto" w:fill="auto"/>
            <w:vAlign w:val="center"/>
          </w:tcPr>
          <w:p w14:paraId="3DF97709"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0.24</w:t>
            </w:r>
          </w:p>
        </w:tc>
        <w:tc>
          <w:tcPr>
            <w:tcW w:w="1265" w:type="dxa"/>
            <w:shd w:val="clear" w:color="auto" w:fill="auto"/>
            <w:vAlign w:val="center"/>
          </w:tcPr>
          <w:p w14:paraId="26587CA6"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0.25</w:t>
            </w:r>
          </w:p>
        </w:tc>
        <w:tc>
          <w:tcPr>
            <w:tcW w:w="1265" w:type="dxa"/>
            <w:shd w:val="clear" w:color="auto" w:fill="auto"/>
            <w:vAlign w:val="center"/>
          </w:tcPr>
          <w:p w14:paraId="2BB2A0C2"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0.44</w:t>
            </w:r>
          </w:p>
        </w:tc>
        <w:tc>
          <w:tcPr>
            <w:tcW w:w="1265" w:type="dxa"/>
            <w:shd w:val="clear" w:color="auto" w:fill="auto"/>
            <w:vAlign w:val="center"/>
          </w:tcPr>
          <w:p w14:paraId="7ECDEBA5"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0.46</w:t>
            </w:r>
          </w:p>
        </w:tc>
      </w:tr>
      <w:tr w:rsidR="00F44783" w:rsidRPr="00D46683" w14:paraId="51D9109B" w14:textId="77777777" w:rsidTr="00573C70">
        <w:tc>
          <w:tcPr>
            <w:tcW w:w="1732" w:type="dxa"/>
            <w:shd w:val="clear" w:color="auto" w:fill="auto"/>
          </w:tcPr>
          <w:p w14:paraId="7A36AD4A"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MS Mincho" w:hAnsi="Times New Roman" w:cs="Times New Roman"/>
                <w:i/>
              </w:rPr>
              <w:t>SB</w:t>
            </w:r>
            <w:r w:rsidRPr="00D46683">
              <w:rPr>
                <w:rFonts w:ascii="Times New Roman" w:eastAsia="MS Mincho" w:hAnsi="Times New Roman" w:cs="Times New Roman"/>
                <w:i/>
                <w:vertAlign w:val="subscript"/>
              </w:rPr>
              <w:t>latest</w:t>
            </w:r>
            <w:r w:rsidRPr="00D46683" w:rsidDel="00300F08">
              <w:rPr>
                <w:rFonts w:ascii="Times New Roman" w:eastAsia="Times New Roman" w:hAnsi="Times New Roman" w:cs="Times New Roman"/>
                <w:i/>
                <w:lang w:eastAsia="ja-JP"/>
              </w:rPr>
              <w:t xml:space="preserve"> </w:t>
            </w:r>
            <w:r w:rsidRPr="00D46683">
              <w:rPr>
                <w:rFonts w:ascii="Times New Roman" w:eastAsia="Times New Roman" w:hAnsi="Times New Roman" w:cs="Times New Roman"/>
                <w:i/>
                <w:lang w:eastAsia="ja-JP"/>
              </w:rPr>
              <w:t>/SB</w:t>
            </w:r>
            <w:r w:rsidRPr="00D46683">
              <w:rPr>
                <w:rFonts w:ascii="Times New Roman" w:eastAsia="Times New Roman" w:hAnsi="Times New Roman" w:cs="Times New Roman"/>
                <w:i/>
                <w:vertAlign w:val="subscript"/>
                <w:lang w:eastAsia="ja-JP"/>
              </w:rPr>
              <w:t>F=0</w:t>
            </w:r>
          </w:p>
        </w:tc>
        <w:tc>
          <w:tcPr>
            <w:tcW w:w="1264" w:type="dxa"/>
            <w:shd w:val="clear" w:color="auto" w:fill="auto"/>
            <w:vAlign w:val="center"/>
          </w:tcPr>
          <w:p w14:paraId="1EA2E885"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0.35</w:t>
            </w:r>
          </w:p>
        </w:tc>
        <w:tc>
          <w:tcPr>
            <w:tcW w:w="1265" w:type="dxa"/>
            <w:shd w:val="clear" w:color="auto" w:fill="auto"/>
            <w:vAlign w:val="center"/>
          </w:tcPr>
          <w:p w14:paraId="6ABEFAE0"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0.35</w:t>
            </w:r>
          </w:p>
        </w:tc>
        <w:tc>
          <w:tcPr>
            <w:tcW w:w="1265" w:type="dxa"/>
            <w:shd w:val="clear" w:color="auto" w:fill="auto"/>
            <w:vAlign w:val="center"/>
          </w:tcPr>
          <w:p w14:paraId="3BAB44EF"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0.26</w:t>
            </w:r>
          </w:p>
        </w:tc>
        <w:tc>
          <w:tcPr>
            <w:tcW w:w="1265" w:type="dxa"/>
            <w:shd w:val="clear" w:color="auto" w:fill="auto"/>
            <w:vAlign w:val="center"/>
          </w:tcPr>
          <w:p w14:paraId="34804B55"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0.27</w:t>
            </w:r>
          </w:p>
        </w:tc>
        <w:tc>
          <w:tcPr>
            <w:tcW w:w="1265" w:type="dxa"/>
            <w:shd w:val="clear" w:color="auto" w:fill="auto"/>
            <w:vAlign w:val="center"/>
          </w:tcPr>
          <w:p w14:paraId="38D6D2CC"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0.44</w:t>
            </w:r>
          </w:p>
        </w:tc>
        <w:tc>
          <w:tcPr>
            <w:tcW w:w="1265" w:type="dxa"/>
            <w:shd w:val="clear" w:color="auto" w:fill="auto"/>
            <w:vAlign w:val="center"/>
          </w:tcPr>
          <w:p w14:paraId="2461AA90"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0.49</w:t>
            </w:r>
          </w:p>
        </w:tc>
      </w:tr>
      <w:tr w:rsidR="00F44783" w:rsidRPr="00D46683" w14:paraId="0E0C0C12" w14:textId="77777777" w:rsidTr="00573C70">
        <w:tc>
          <w:tcPr>
            <w:tcW w:w="1732" w:type="dxa"/>
            <w:shd w:val="clear" w:color="auto" w:fill="auto"/>
          </w:tcPr>
          <w:p w14:paraId="0F5EF04A"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MS Mincho" w:hAnsi="Times New Roman" w:cs="Times New Roman"/>
                <w:i/>
              </w:rPr>
              <w:t>SB</w:t>
            </w:r>
            <w:r w:rsidRPr="00D46683">
              <w:rPr>
                <w:rFonts w:ascii="Times New Roman" w:eastAsia="MS Mincho" w:hAnsi="Times New Roman" w:cs="Times New Roman"/>
                <w:i/>
                <w:vertAlign w:val="subscript"/>
              </w:rPr>
              <w:t>latest</w:t>
            </w:r>
            <w:r w:rsidRPr="00D46683" w:rsidDel="00300F08">
              <w:rPr>
                <w:rFonts w:ascii="Times New Roman" w:eastAsia="Times New Roman" w:hAnsi="Times New Roman" w:cs="Times New Roman"/>
                <w:i/>
                <w:lang w:eastAsia="ja-JP"/>
              </w:rPr>
              <w:t xml:space="preserve"> </w:t>
            </w:r>
            <w:r w:rsidRPr="00D46683">
              <w:rPr>
                <w:rFonts w:ascii="Times New Roman" w:eastAsia="Times New Roman" w:hAnsi="Times New Roman" w:cs="Times New Roman"/>
                <w:i/>
                <w:lang w:eastAsia="ja-JP"/>
              </w:rPr>
              <w:t>/SB</w:t>
            </w:r>
            <w:r w:rsidRPr="00D46683">
              <w:rPr>
                <w:rFonts w:ascii="Times New Roman" w:hAnsi="Times New Roman" w:cs="Times New Roman"/>
                <w:vertAlign w:val="subscript"/>
                <w:lang w:val="en-AU"/>
              </w:rPr>
              <w:t>MSY</w:t>
            </w:r>
          </w:p>
        </w:tc>
        <w:tc>
          <w:tcPr>
            <w:tcW w:w="1264" w:type="dxa"/>
            <w:shd w:val="clear" w:color="auto" w:fill="auto"/>
            <w:vAlign w:val="center"/>
          </w:tcPr>
          <w:p w14:paraId="48350287"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1.85</w:t>
            </w:r>
          </w:p>
        </w:tc>
        <w:tc>
          <w:tcPr>
            <w:tcW w:w="1265" w:type="dxa"/>
            <w:shd w:val="clear" w:color="auto" w:fill="auto"/>
            <w:vAlign w:val="center"/>
          </w:tcPr>
          <w:p w14:paraId="34AEBF00"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1.61</w:t>
            </w:r>
          </w:p>
        </w:tc>
        <w:tc>
          <w:tcPr>
            <w:tcW w:w="1265" w:type="dxa"/>
            <w:shd w:val="clear" w:color="auto" w:fill="auto"/>
            <w:vAlign w:val="center"/>
          </w:tcPr>
          <w:p w14:paraId="2EE22131"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0.85</w:t>
            </w:r>
          </w:p>
        </w:tc>
        <w:tc>
          <w:tcPr>
            <w:tcW w:w="1265" w:type="dxa"/>
            <w:shd w:val="clear" w:color="auto" w:fill="auto"/>
            <w:vAlign w:val="center"/>
          </w:tcPr>
          <w:p w14:paraId="34202580"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0.99</w:t>
            </w:r>
          </w:p>
        </w:tc>
        <w:tc>
          <w:tcPr>
            <w:tcW w:w="1265" w:type="dxa"/>
            <w:shd w:val="clear" w:color="auto" w:fill="auto"/>
            <w:vAlign w:val="center"/>
          </w:tcPr>
          <w:p w14:paraId="504B6B07"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3.14</w:t>
            </w:r>
          </w:p>
        </w:tc>
        <w:tc>
          <w:tcPr>
            <w:tcW w:w="1265" w:type="dxa"/>
            <w:shd w:val="clear" w:color="auto" w:fill="auto"/>
            <w:vAlign w:val="center"/>
          </w:tcPr>
          <w:p w14:paraId="7855C8FA"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4.05</w:t>
            </w:r>
          </w:p>
        </w:tc>
      </w:tr>
      <w:tr w:rsidR="00F44783" w:rsidRPr="00D46683" w14:paraId="140A1C02" w14:textId="77777777" w:rsidTr="00573C70">
        <w:tc>
          <w:tcPr>
            <w:tcW w:w="1732" w:type="dxa"/>
            <w:shd w:val="clear" w:color="auto" w:fill="auto"/>
          </w:tcPr>
          <w:p w14:paraId="7F37BBB8"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SB</w:t>
            </w:r>
            <w:r w:rsidRPr="00D46683">
              <w:rPr>
                <w:rFonts w:ascii="Times New Roman" w:eastAsia="Times New Roman" w:hAnsi="Times New Roman" w:cs="Times New Roman"/>
                <w:i/>
                <w:vertAlign w:val="subscript"/>
                <w:lang w:eastAsia="ja-JP"/>
              </w:rPr>
              <w:t>recent</w:t>
            </w:r>
            <w:r w:rsidRPr="00D46683">
              <w:rPr>
                <w:rFonts w:ascii="Times New Roman" w:eastAsia="Times New Roman" w:hAnsi="Times New Roman" w:cs="Times New Roman"/>
                <w:i/>
                <w:lang w:eastAsia="ja-JP"/>
              </w:rPr>
              <w:t>/SB</w:t>
            </w:r>
            <w:r w:rsidRPr="00D46683">
              <w:rPr>
                <w:rFonts w:ascii="Times New Roman" w:eastAsia="Times New Roman" w:hAnsi="Times New Roman" w:cs="Times New Roman"/>
                <w:i/>
                <w:vertAlign w:val="subscript"/>
                <w:lang w:eastAsia="ja-JP"/>
              </w:rPr>
              <w:t>F=0</w:t>
            </w:r>
          </w:p>
        </w:tc>
        <w:tc>
          <w:tcPr>
            <w:tcW w:w="1264" w:type="dxa"/>
            <w:shd w:val="clear" w:color="auto" w:fill="auto"/>
            <w:vAlign w:val="center"/>
          </w:tcPr>
          <w:p w14:paraId="18296FFE"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0.36</w:t>
            </w:r>
          </w:p>
        </w:tc>
        <w:tc>
          <w:tcPr>
            <w:tcW w:w="1265" w:type="dxa"/>
            <w:shd w:val="clear" w:color="auto" w:fill="auto"/>
            <w:vAlign w:val="center"/>
          </w:tcPr>
          <w:p w14:paraId="08BA175A"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0.35</w:t>
            </w:r>
          </w:p>
        </w:tc>
        <w:tc>
          <w:tcPr>
            <w:tcW w:w="1265" w:type="dxa"/>
            <w:shd w:val="clear" w:color="auto" w:fill="auto"/>
            <w:vAlign w:val="center"/>
          </w:tcPr>
          <w:p w14:paraId="661E9463"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0.27</w:t>
            </w:r>
          </w:p>
        </w:tc>
        <w:tc>
          <w:tcPr>
            <w:tcW w:w="1265" w:type="dxa"/>
            <w:shd w:val="clear" w:color="auto" w:fill="auto"/>
            <w:vAlign w:val="center"/>
          </w:tcPr>
          <w:p w14:paraId="3E2F78C0"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0.29</w:t>
            </w:r>
          </w:p>
        </w:tc>
        <w:tc>
          <w:tcPr>
            <w:tcW w:w="1265" w:type="dxa"/>
            <w:shd w:val="clear" w:color="auto" w:fill="auto"/>
            <w:vAlign w:val="center"/>
          </w:tcPr>
          <w:p w14:paraId="3E382EF9"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0.43</w:t>
            </w:r>
          </w:p>
        </w:tc>
        <w:tc>
          <w:tcPr>
            <w:tcW w:w="1265" w:type="dxa"/>
            <w:shd w:val="clear" w:color="auto" w:fill="auto"/>
            <w:vAlign w:val="center"/>
          </w:tcPr>
          <w:p w14:paraId="0C6EDC67"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0.48</w:t>
            </w:r>
          </w:p>
        </w:tc>
      </w:tr>
      <w:tr w:rsidR="00F44783" w:rsidRPr="00D46683" w14:paraId="1BAE486F" w14:textId="77777777" w:rsidTr="00573C70">
        <w:tc>
          <w:tcPr>
            <w:tcW w:w="1732" w:type="dxa"/>
            <w:shd w:val="clear" w:color="auto" w:fill="auto"/>
          </w:tcPr>
          <w:p w14:paraId="62E1423B" w14:textId="77777777" w:rsidR="00F44783" w:rsidRPr="00D46683" w:rsidRDefault="00F44783" w:rsidP="00F44783">
            <w:pPr>
              <w:adjustRightInd w:val="0"/>
              <w:spacing w:after="0" w:line="240" w:lineRule="auto"/>
              <w:rPr>
                <w:rFonts w:ascii="Times New Roman" w:eastAsia="Times New Roman" w:hAnsi="Times New Roman" w:cs="Times New Roman"/>
                <w:i/>
                <w:lang w:eastAsia="ja-JP"/>
              </w:rPr>
            </w:pPr>
            <w:r w:rsidRPr="00D46683">
              <w:rPr>
                <w:rFonts w:ascii="Times New Roman" w:eastAsia="Times New Roman" w:hAnsi="Times New Roman" w:cs="Times New Roman"/>
                <w:i/>
                <w:lang w:eastAsia="ja-JP"/>
              </w:rPr>
              <w:t>SB</w:t>
            </w:r>
            <w:r w:rsidRPr="00D46683">
              <w:rPr>
                <w:rFonts w:ascii="Times New Roman" w:eastAsia="Times New Roman" w:hAnsi="Times New Roman" w:cs="Times New Roman"/>
                <w:i/>
                <w:vertAlign w:val="subscript"/>
                <w:lang w:eastAsia="ja-JP"/>
              </w:rPr>
              <w:t>recent</w:t>
            </w:r>
            <w:r w:rsidRPr="00D46683">
              <w:rPr>
                <w:rFonts w:ascii="Times New Roman" w:eastAsia="Times New Roman" w:hAnsi="Times New Roman" w:cs="Times New Roman"/>
                <w:i/>
                <w:lang w:eastAsia="ja-JP"/>
              </w:rPr>
              <w:t>/SB</w:t>
            </w:r>
            <w:r w:rsidRPr="00D46683">
              <w:rPr>
                <w:rFonts w:ascii="Times New Roman" w:hAnsi="Times New Roman" w:cs="Times New Roman"/>
                <w:vertAlign w:val="subscript"/>
                <w:lang w:val="en-AU"/>
              </w:rPr>
              <w:t>MSY</w:t>
            </w:r>
          </w:p>
        </w:tc>
        <w:tc>
          <w:tcPr>
            <w:tcW w:w="1264" w:type="dxa"/>
            <w:shd w:val="clear" w:color="auto" w:fill="auto"/>
            <w:vAlign w:val="center"/>
          </w:tcPr>
          <w:p w14:paraId="76B6B28A"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1.86</w:t>
            </w:r>
          </w:p>
        </w:tc>
        <w:tc>
          <w:tcPr>
            <w:tcW w:w="1265" w:type="dxa"/>
            <w:shd w:val="clear" w:color="auto" w:fill="auto"/>
            <w:vAlign w:val="center"/>
          </w:tcPr>
          <w:p w14:paraId="59EC418E"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1.58</w:t>
            </w:r>
          </w:p>
        </w:tc>
        <w:tc>
          <w:tcPr>
            <w:tcW w:w="1265" w:type="dxa"/>
            <w:shd w:val="clear" w:color="auto" w:fill="auto"/>
            <w:vAlign w:val="center"/>
          </w:tcPr>
          <w:p w14:paraId="579BD44E"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0.88</w:t>
            </w:r>
          </w:p>
        </w:tc>
        <w:tc>
          <w:tcPr>
            <w:tcW w:w="1265" w:type="dxa"/>
            <w:shd w:val="clear" w:color="auto" w:fill="auto"/>
            <w:vAlign w:val="center"/>
          </w:tcPr>
          <w:p w14:paraId="102C8782"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1.02</w:t>
            </w:r>
          </w:p>
        </w:tc>
        <w:tc>
          <w:tcPr>
            <w:tcW w:w="1265" w:type="dxa"/>
            <w:shd w:val="clear" w:color="auto" w:fill="auto"/>
            <w:vAlign w:val="center"/>
          </w:tcPr>
          <w:p w14:paraId="17575188"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3.10</w:t>
            </w:r>
          </w:p>
        </w:tc>
        <w:tc>
          <w:tcPr>
            <w:tcW w:w="1265" w:type="dxa"/>
            <w:shd w:val="clear" w:color="auto" w:fill="auto"/>
            <w:vAlign w:val="center"/>
          </w:tcPr>
          <w:p w14:paraId="0BDF96F1" w14:textId="77777777" w:rsidR="00F44783" w:rsidRPr="00D46683" w:rsidRDefault="00F44783" w:rsidP="00F44783">
            <w:pPr>
              <w:adjustRightInd w:val="0"/>
              <w:spacing w:after="0" w:line="240" w:lineRule="auto"/>
              <w:jc w:val="center"/>
              <w:rPr>
                <w:rFonts w:ascii="Times New Roman" w:eastAsia="Times New Roman" w:hAnsi="Times New Roman" w:cs="Times New Roman"/>
                <w:lang w:eastAsia="ja-JP"/>
              </w:rPr>
            </w:pPr>
            <w:r w:rsidRPr="00D46683">
              <w:rPr>
                <w:rFonts w:ascii="Times New Roman" w:eastAsia="Times New Roman" w:hAnsi="Times New Roman" w:cs="Times New Roman"/>
                <w:lang w:eastAsia="ja-JP"/>
              </w:rPr>
              <w:t>3.96</w:t>
            </w:r>
          </w:p>
        </w:tc>
      </w:tr>
    </w:tbl>
    <w:p w14:paraId="081D9C99" w14:textId="77777777" w:rsidR="00F44783" w:rsidRPr="00D46683" w:rsidRDefault="00F44783" w:rsidP="00F44783">
      <w:pPr>
        <w:autoSpaceDE w:val="0"/>
        <w:autoSpaceDN w:val="0"/>
        <w:adjustRightInd w:val="0"/>
        <w:spacing w:after="0" w:line="240" w:lineRule="auto"/>
        <w:rPr>
          <w:rFonts w:ascii="Times New Roman" w:hAnsi="Times New Roman" w:cs="Times New Roman"/>
          <w:b/>
          <w:lang w:val="en-AU"/>
        </w:rPr>
      </w:pPr>
    </w:p>
    <w:p w14:paraId="730D5DFD" w14:textId="77777777"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hAnsi="Times New Roman" w:cs="Times New Roman"/>
          <w:bCs/>
          <w:lang w:val="en-AU"/>
        </w:rPr>
      </w:pPr>
      <w:r w:rsidRPr="00D46683">
        <w:rPr>
          <w:rFonts w:ascii="Times New Roman" w:hAnsi="Times New Roman" w:cs="Times New Roman"/>
          <w:bCs/>
          <w:lang w:val="en-AU"/>
        </w:rPr>
        <w:t>SC13 noted that the central tendency of relative recent spawning biomass was median (SB</w:t>
      </w:r>
      <w:r w:rsidRPr="00D46683">
        <w:rPr>
          <w:rFonts w:ascii="Times New Roman" w:hAnsi="Times New Roman" w:cs="Times New Roman"/>
          <w:bCs/>
          <w:vertAlign w:val="subscript"/>
          <w:lang w:val="en-AU"/>
        </w:rPr>
        <w:t>recent</w:t>
      </w:r>
      <w:r w:rsidRPr="00D46683">
        <w:rPr>
          <w:rFonts w:ascii="Times New Roman" w:hAnsi="Times New Roman" w:cs="Times New Roman"/>
          <w:bCs/>
          <w:lang w:val="en-AU"/>
        </w:rPr>
        <w:t>/SB</w:t>
      </w:r>
      <w:r w:rsidRPr="00D46683">
        <w:rPr>
          <w:rFonts w:ascii="Times New Roman" w:hAnsi="Times New Roman" w:cs="Times New Roman"/>
          <w:bCs/>
          <w:vertAlign w:val="subscript"/>
          <w:lang w:val="en-AU"/>
        </w:rPr>
        <w:t>F=0</w:t>
      </w:r>
      <w:r w:rsidRPr="00D46683">
        <w:rPr>
          <w:rFonts w:ascii="Times New Roman" w:hAnsi="Times New Roman" w:cs="Times New Roman"/>
          <w:bCs/>
          <w:lang w:val="en-AU"/>
        </w:rPr>
        <w:t>) = 0.35 with a probable range of 0.29 to 0.43 (80% probability interval). The median estimate (0.35) is below that estimated from the 2014 assessment grid((SB</w:t>
      </w:r>
      <w:r w:rsidRPr="00D46683">
        <w:rPr>
          <w:rFonts w:ascii="Times New Roman" w:hAnsi="Times New Roman" w:cs="Times New Roman"/>
          <w:bCs/>
          <w:vertAlign w:val="subscript"/>
          <w:lang w:val="en-AU"/>
        </w:rPr>
        <w:t>current</w:t>
      </w:r>
      <w:r w:rsidRPr="00D46683">
        <w:rPr>
          <w:rFonts w:ascii="Times New Roman" w:hAnsi="Times New Roman" w:cs="Times New Roman"/>
          <w:bCs/>
          <w:lang w:val="en-AU"/>
        </w:rPr>
        <w:t>/SB</w:t>
      </w:r>
      <w:r w:rsidRPr="00D46683">
        <w:rPr>
          <w:rFonts w:ascii="Times New Roman" w:hAnsi="Times New Roman" w:cs="Times New Roman"/>
          <w:bCs/>
          <w:vertAlign w:val="subscript"/>
          <w:lang w:val="en-AU"/>
        </w:rPr>
        <w:t>F=0</w:t>
      </w:r>
      <w:r w:rsidRPr="00D46683">
        <w:rPr>
          <w:rFonts w:ascii="Times New Roman" w:hAnsi="Times New Roman" w:cs="Times New Roman"/>
          <w:bCs/>
          <w:lang w:val="en-AU"/>
        </w:rPr>
        <w:t xml:space="preserve">) = 0.49, see SC9-SA-WP-05), noting the differences in grid uncertainty axes used in that assessment, due to the inclusion of two representations of growth and maturity. SC13 also noted that in the previous assessment this central </w:t>
      </w:r>
      <w:r w:rsidRPr="00D46683">
        <w:rPr>
          <w:rFonts w:ascii="Times New Roman" w:hAnsi="Times New Roman" w:cs="Times New Roman"/>
          <w:bCs/>
          <w:lang w:val="en-AU"/>
        </w:rPr>
        <w:lastRenderedPageBreak/>
        <w:t>tendency was not considered for the provision of management advice given the uncertainties in growth assumptions. The median estimate for SB</w:t>
      </w:r>
      <w:r w:rsidRPr="00D46683">
        <w:rPr>
          <w:rFonts w:ascii="Times New Roman" w:hAnsi="Times New Roman" w:cs="Times New Roman"/>
          <w:bCs/>
          <w:vertAlign w:val="subscript"/>
          <w:lang w:val="en-AU"/>
        </w:rPr>
        <w:t>recent</w:t>
      </w:r>
      <w:r w:rsidRPr="00D46683">
        <w:rPr>
          <w:rFonts w:ascii="Times New Roman" w:hAnsi="Times New Roman" w:cs="Times New Roman"/>
          <w:bCs/>
          <w:lang w:val="en-AU"/>
        </w:rPr>
        <w:t>/SB</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xml:space="preserve"> is 1.23, which is below that estimated from the 2014 assessment grid ((SB</w:t>
      </w:r>
      <w:r w:rsidRPr="00D46683">
        <w:rPr>
          <w:rFonts w:ascii="Times New Roman" w:hAnsi="Times New Roman" w:cs="Times New Roman"/>
          <w:bCs/>
          <w:vertAlign w:val="subscript"/>
          <w:lang w:val="en-AU"/>
        </w:rPr>
        <w:t>current</w:t>
      </w:r>
      <w:r w:rsidRPr="00D46683">
        <w:rPr>
          <w:rFonts w:ascii="Times New Roman" w:hAnsi="Times New Roman" w:cs="Times New Roman"/>
          <w:bCs/>
          <w:lang w:val="en-AU"/>
        </w:rPr>
        <w:t>/SB</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xml:space="preserve">) = 2.07, see SC9-SA-WP-05). </w:t>
      </w:r>
    </w:p>
    <w:p w14:paraId="62DBACE4" w14:textId="77777777" w:rsidR="00F44783" w:rsidRPr="00D46683" w:rsidRDefault="00F44783" w:rsidP="00F44783">
      <w:pPr>
        <w:autoSpaceDE w:val="0"/>
        <w:autoSpaceDN w:val="0"/>
        <w:adjustRightInd w:val="0"/>
        <w:spacing w:after="0" w:line="240" w:lineRule="auto"/>
        <w:rPr>
          <w:rFonts w:ascii="Times New Roman" w:hAnsi="Times New Roman" w:cs="Times New Roman"/>
          <w:bCs/>
          <w:lang w:val="en-AU"/>
        </w:rPr>
      </w:pPr>
    </w:p>
    <w:p w14:paraId="20849BF1" w14:textId="77777777"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hAnsi="Times New Roman" w:cs="Times New Roman"/>
          <w:bCs/>
          <w:lang w:val="en-AU"/>
        </w:rPr>
      </w:pPr>
      <w:r w:rsidRPr="00D46683">
        <w:rPr>
          <w:rFonts w:ascii="Times New Roman" w:hAnsi="Times New Roman" w:cs="Times New Roman"/>
          <w:bCs/>
          <w:lang w:val="en-AU"/>
        </w:rPr>
        <w:t>SC13 noted that the central tendency of relative recent fishing mortality was median (F</w:t>
      </w:r>
      <w:r w:rsidRPr="00D46683">
        <w:rPr>
          <w:rFonts w:ascii="Times New Roman" w:hAnsi="Times New Roman" w:cs="Times New Roman"/>
          <w:bCs/>
          <w:vertAlign w:val="subscript"/>
          <w:lang w:val="en-AU"/>
        </w:rPr>
        <w:t>recent</w:t>
      </w:r>
      <w:r w:rsidRPr="00D46683">
        <w:rPr>
          <w:rFonts w:ascii="Times New Roman" w:hAnsi="Times New Roman" w:cs="Times New Roman"/>
          <w:bCs/>
          <w:lang w:val="en-AU"/>
        </w:rPr>
        <w:t>/F</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 0.86 with an 80% probability interval of 0.51 to 1.23. While this suggested that there was likely a buffer between recent fishing mortality and F</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it also showed that there was some probability that recent fishing mortality was above F</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xml:space="preserve">. </w:t>
      </w:r>
    </w:p>
    <w:p w14:paraId="1A5F42B9" w14:textId="77777777" w:rsidR="00F44783" w:rsidRPr="00D46683" w:rsidRDefault="00F44783" w:rsidP="00F44783">
      <w:pPr>
        <w:pStyle w:val="ListParagraph"/>
        <w:adjustRightInd w:val="0"/>
        <w:contextualSpacing w:val="0"/>
        <w:rPr>
          <w:rFonts w:ascii="Times New Roman" w:hAnsi="Times New Roman"/>
          <w:bCs/>
          <w:lang w:val="en-AU"/>
        </w:rPr>
      </w:pPr>
    </w:p>
    <w:p w14:paraId="538F6256" w14:textId="77777777"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hAnsi="Times New Roman" w:cs="Times New Roman"/>
          <w:bCs/>
          <w:lang w:val="en-AU"/>
        </w:rPr>
      </w:pPr>
      <w:r w:rsidRPr="00D46683">
        <w:rPr>
          <w:rFonts w:ascii="Times New Roman" w:hAnsi="Times New Roman" w:cs="Times New Roman"/>
          <w:bCs/>
          <w:lang w:val="en-AU"/>
        </w:rPr>
        <w:t>SC13 also noted that there was a roughly 32% probability (23 out of 72 models) that the recent fishing mortality was above F</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xml:space="preserve"> with Prob((F</w:t>
      </w:r>
      <w:r w:rsidRPr="00D46683">
        <w:rPr>
          <w:rFonts w:ascii="Times New Roman" w:hAnsi="Times New Roman" w:cs="Times New Roman"/>
          <w:bCs/>
          <w:vertAlign w:val="subscript"/>
          <w:lang w:val="en-AU"/>
        </w:rPr>
        <w:t>recent</w:t>
      </w:r>
      <w:r w:rsidRPr="00D46683">
        <w:rPr>
          <w:rFonts w:ascii="Times New Roman" w:hAnsi="Times New Roman" w:cs="Times New Roman"/>
          <w:bCs/>
          <w:lang w:val="en-AU"/>
        </w:rPr>
        <w:t>/F</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)&gt;1) = 0.32. The median estimate (0.86) is above that estimated from the 2014 assessment grid (F</w:t>
      </w:r>
      <w:r w:rsidRPr="00D46683">
        <w:rPr>
          <w:rFonts w:ascii="Times New Roman" w:hAnsi="Times New Roman" w:cs="Times New Roman"/>
          <w:bCs/>
          <w:vertAlign w:val="subscript"/>
          <w:lang w:val="en-AU"/>
        </w:rPr>
        <w:t>current</w:t>
      </w:r>
      <w:r w:rsidRPr="00D46683">
        <w:rPr>
          <w:rFonts w:ascii="Times New Roman" w:hAnsi="Times New Roman" w:cs="Times New Roman"/>
          <w:bCs/>
          <w:lang w:val="en-AU"/>
        </w:rPr>
        <w:t>/F</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xml:space="preserve"> = 0.74, see SC9-SA-WP-05). </w:t>
      </w:r>
    </w:p>
    <w:p w14:paraId="3EBC60BF" w14:textId="77777777" w:rsidR="00F44783" w:rsidRPr="00D46683" w:rsidRDefault="00F44783" w:rsidP="00F44783">
      <w:pPr>
        <w:pStyle w:val="ListParagraph"/>
        <w:adjustRightInd w:val="0"/>
        <w:contextualSpacing w:val="0"/>
        <w:rPr>
          <w:rFonts w:ascii="Times New Roman" w:hAnsi="Times New Roman"/>
          <w:bCs/>
          <w:lang w:val="en-AU"/>
        </w:rPr>
      </w:pPr>
    </w:p>
    <w:p w14:paraId="5BD8619E" w14:textId="77777777"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hAnsi="Times New Roman" w:cs="Times New Roman"/>
          <w:bCs/>
          <w:lang w:val="en-AU"/>
        </w:rPr>
      </w:pPr>
      <w:r w:rsidRPr="00D46683">
        <w:rPr>
          <w:rFonts w:ascii="Times New Roman" w:hAnsi="Times New Roman" w:cs="Times New Roman"/>
          <w:bCs/>
          <w:lang w:val="en-AU"/>
        </w:rPr>
        <w:t xml:space="preserve">Fishing mortality rate increased notably from the mid-1990s in both model regions, on maturing swordfish aged 4-6 fish in particular. </w:t>
      </w:r>
    </w:p>
    <w:p w14:paraId="1725C943" w14:textId="77777777" w:rsidR="00F44783" w:rsidRPr="00D46683" w:rsidRDefault="00F44783" w:rsidP="00F44783">
      <w:pPr>
        <w:pStyle w:val="ListParagraph"/>
        <w:adjustRightInd w:val="0"/>
        <w:contextualSpacing w:val="0"/>
        <w:rPr>
          <w:rFonts w:ascii="Times New Roman" w:hAnsi="Times New Roman"/>
          <w:bCs/>
          <w:lang w:val="en-AU"/>
        </w:rPr>
      </w:pPr>
    </w:p>
    <w:p w14:paraId="1FA6C12B" w14:textId="77777777"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hAnsi="Times New Roman" w:cs="Times New Roman"/>
          <w:bCs/>
          <w:lang w:val="en-AU"/>
        </w:rPr>
      </w:pPr>
      <w:r w:rsidRPr="00D46683">
        <w:rPr>
          <w:rFonts w:ascii="Times New Roman" w:hAnsi="Times New Roman" w:cs="Times New Roman"/>
          <w:bCs/>
          <w:lang w:val="en-AU"/>
        </w:rPr>
        <w:t xml:space="preserve">Across all models in the uncertainty grid the spawning biomass declines steeply between the late 1990s and 2010 but since then the rate of decline has been less.  Those declines are found in both model regions, but are higher in the eastern Region 2 (equator to 50°S, 165°E to 130°W). </w:t>
      </w:r>
    </w:p>
    <w:p w14:paraId="5B4D6071" w14:textId="77777777" w:rsidR="00F44783" w:rsidRPr="00D46683" w:rsidRDefault="00F44783" w:rsidP="00F44783">
      <w:pPr>
        <w:pStyle w:val="ListParagraph"/>
        <w:adjustRightInd w:val="0"/>
        <w:contextualSpacing w:val="0"/>
        <w:rPr>
          <w:rFonts w:ascii="Times New Roman" w:hAnsi="Times New Roman"/>
          <w:bCs/>
          <w:lang w:val="en-AU"/>
        </w:rPr>
      </w:pPr>
    </w:p>
    <w:p w14:paraId="4279B661" w14:textId="77777777"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hAnsi="Times New Roman" w:cs="Times New Roman"/>
          <w:bCs/>
          <w:lang w:val="en-AU"/>
        </w:rPr>
      </w:pPr>
      <w:r w:rsidRPr="00D46683">
        <w:rPr>
          <w:rFonts w:ascii="Times New Roman" w:hAnsi="Times New Roman" w:cs="Times New Roman"/>
          <w:bCs/>
          <w:lang w:val="en-AU"/>
        </w:rPr>
        <w:t xml:space="preserve">SC13 noted that in comparison with the bigeye and yellowfin assessments, evidence for an increase in recent recruitment for southwest Pacific swordfish was not found in either the CPUE time series or estimates of recruitment. SC13 noted that the longline only nature of the fishery catching mainly larger, older swordfish, is not strongly informative with regards to recruitment dynamics.  </w:t>
      </w:r>
    </w:p>
    <w:p w14:paraId="52566D38" w14:textId="77777777" w:rsidR="00F44783" w:rsidRPr="00D46683" w:rsidRDefault="00F44783" w:rsidP="00F44783">
      <w:pPr>
        <w:pStyle w:val="ListParagraph"/>
        <w:adjustRightInd w:val="0"/>
        <w:contextualSpacing w:val="0"/>
        <w:rPr>
          <w:rFonts w:ascii="Times New Roman" w:hAnsi="Times New Roman"/>
          <w:bCs/>
          <w:lang w:val="en-AU"/>
        </w:rPr>
      </w:pPr>
    </w:p>
    <w:p w14:paraId="58A8F035" w14:textId="77777777" w:rsidR="00F44783" w:rsidRPr="00D46683" w:rsidRDefault="00F44783" w:rsidP="00F44783">
      <w:pPr>
        <w:pStyle w:val="ListParagraph"/>
        <w:numPr>
          <w:ilvl w:val="0"/>
          <w:numId w:val="11"/>
        </w:numPr>
        <w:autoSpaceDE w:val="0"/>
        <w:autoSpaceDN w:val="0"/>
        <w:adjustRightInd w:val="0"/>
        <w:ind w:left="0" w:firstLine="0"/>
        <w:contextualSpacing w:val="0"/>
        <w:rPr>
          <w:rFonts w:ascii="Times New Roman" w:eastAsia="MS Mincho" w:hAnsi="Times New Roman"/>
          <w:b/>
          <w:lang w:val="en-US" w:eastAsia="ja-JP"/>
        </w:rPr>
      </w:pPr>
      <w:r w:rsidRPr="00D46683">
        <w:rPr>
          <w:rFonts w:ascii="Times New Roman" w:eastAsia="Times New Roman" w:hAnsi="Times New Roman"/>
          <w:b/>
          <w:lang w:eastAsia="en-NZ"/>
        </w:rPr>
        <w:t>Management advice and implications</w:t>
      </w:r>
      <w:r w:rsidRPr="00D46683">
        <w:rPr>
          <w:rFonts w:ascii="Times New Roman" w:eastAsia="Times New Roman" w:hAnsi="Times New Roman"/>
          <w:b/>
          <w:lang w:eastAsia="en-NZ"/>
        </w:rPr>
        <w:tab/>
      </w:r>
      <w:r w:rsidRPr="00D46683">
        <w:rPr>
          <w:rFonts w:ascii="Times New Roman" w:eastAsia="MS Mincho" w:hAnsi="Times New Roman"/>
          <w:b/>
          <w:lang w:val="en-US" w:eastAsia="ja-JP"/>
        </w:rPr>
        <w:tab/>
      </w:r>
    </w:p>
    <w:p w14:paraId="64140C8D" w14:textId="77777777" w:rsidR="00F44783" w:rsidRPr="00D46683" w:rsidRDefault="00F44783" w:rsidP="00F44783">
      <w:pPr>
        <w:pStyle w:val="ListParagraph"/>
        <w:autoSpaceDE w:val="0"/>
        <w:autoSpaceDN w:val="0"/>
        <w:adjustRightInd w:val="0"/>
        <w:ind w:firstLine="0"/>
        <w:contextualSpacing w:val="0"/>
        <w:rPr>
          <w:rFonts w:ascii="Times New Roman" w:eastAsia="MS Mincho" w:hAnsi="Times New Roman"/>
          <w:bCs/>
          <w:lang w:val="en-US" w:eastAsia="ja-JP"/>
        </w:rPr>
      </w:pPr>
    </w:p>
    <w:p w14:paraId="70325B41" w14:textId="77777777"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hAnsi="Times New Roman" w:cs="Times New Roman"/>
          <w:bCs/>
          <w:lang w:val="en-AU"/>
        </w:rPr>
      </w:pPr>
      <w:r w:rsidRPr="00D46683">
        <w:rPr>
          <w:rFonts w:ascii="Times New Roman" w:hAnsi="Times New Roman" w:cs="Times New Roman"/>
          <w:bCs/>
          <w:lang w:val="en-AU"/>
        </w:rPr>
        <w:t>Based on the uncertainty grid adopted by SC13, the south west Pacific swordfish spawning biomass is likely above the 20%SB</w:t>
      </w:r>
      <w:r w:rsidRPr="00D46683">
        <w:rPr>
          <w:rFonts w:ascii="Times New Roman" w:hAnsi="Times New Roman" w:cs="Times New Roman"/>
          <w:bCs/>
          <w:vertAlign w:val="subscript"/>
          <w:lang w:val="en-AU"/>
        </w:rPr>
        <w:t>F=0</w:t>
      </w:r>
      <w:r w:rsidRPr="00D46683">
        <w:rPr>
          <w:rFonts w:ascii="Times New Roman" w:hAnsi="Times New Roman" w:cs="Times New Roman"/>
          <w:bCs/>
          <w:lang w:val="en-AU"/>
        </w:rPr>
        <w:t>, biomass LRP adopted for tunas and the SB</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xml:space="preserve"> level (noting that the Commission has yet to adopted an LRP for south Pacific swordfish) and it is highly likely that the stock is not in an overfished condition (0% probability). Recent F is likely below F</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xml:space="preserve">, and it appears that the stock is not experiencing overfishing (32% probability of overfishing).  </w:t>
      </w:r>
    </w:p>
    <w:p w14:paraId="56E3CB3E" w14:textId="77777777" w:rsidR="00F44783" w:rsidRPr="00D46683" w:rsidRDefault="00F44783" w:rsidP="00F44783">
      <w:pPr>
        <w:autoSpaceDE w:val="0"/>
        <w:autoSpaceDN w:val="0"/>
        <w:adjustRightInd w:val="0"/>
        <w:spacing w:after="0" w:line="240" w:lineRule="auto"/>
        <w:rPr>
          <w:rFonts w:ascii="Times New Roman" w:hAnsi="Times New Roman" w:cs="Times New Roman"/>
          <w:bCs/>
          <w:lang w:val="en-AU"/>
        </w:rPr>
      </w:pPr>
    </w:p>
    <w:p w14:paraId="7BF8E276" w14:textId="77777777"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hAnsi="Times New Roman" w:cs="Times New Roman"/>
          <w:bCs/>
          <w:lang w:val="en-AU"/>
        </w:rPr>
      </w:pPr>
      <w:r w:rsidRPr="00D46683">
        <w:rPr>
          <w:rFonts w:ascii="Times New Roman" w:hAnsi="Times New Roman" w:cs="Times New Roman"/>
          <w:bCs/>
          <w:lang w:val="en-AU"/>
        </w:rPr>
        <w:t>SC13 noted that there has been an increase in fishing mortality notably from the mid-1990s, and that the biomass relative to unfished levels is estimated to have declined rapidly during the period late-1990s to 2010 followed by a more gradual but continued decline after 2010, across the uncertainty grid. It was noted the fishing mortality was likely below F</w:t>
      </w:r>
      <w:r w:rsidRPr="00D46683">
        <w:rPr>
          <w:rFonts w:ascii="Times New Roman" w:hAnsi="Times New Roman" w:cs="Times New Roman"/>
          <w:bCs/>
          <w:vertAlign w:val="subscript"/>
          <w:lang w:val="en-AU" w:eastAsia="ko-KR"/>
        </w:rPr>
        <w:t>MSY</w:t>
      </w:r>
      <w:r w:rsidRPr="00D46683">
        <w:rPr>
          <w:rFonts w:ascii="Times New Roman" w:hAnsi="Times New Roman" w:cs="Times New Roman"/>
          <w:bCs/>
          <w:lang w:val="en-AU"/>
        </w:rPr>
        <w:t xml:space="preserve">. </w:t>
      </w:r>
    </w:p>
    <w:p w14:paraId="1614BA03" w14:textId="77777777" w:rsidR="00F44783" w:rsidRPr="00D46683" w:rsidRDefault="00F44783" w:rsidP="00F44783">
      <w:pPr>
        <w:pStyle w:val="ListParagraph"/>
        <w:adjustRightInd w:val="0"/>
        <w:contextualSpacing w:val="0"/>
        <w:rPr>
          <w:rFonts w:ascii="Times New Roman" w:hAnsi="Times New Roman"/>
          <w:bCs/>
          <w:lang w:val="en-AU"/>
        </w:rPr>
      </w:pPr>
    </w:p>
    <w:p w14:paraId="3430C35B" w14:textId="77777777"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hAnsi="Times New Roman" w:cs="Times New Roman"/>
          <w:bCs/>
          <w:lang w:val="en-AU"/>
        </w:rPr>
      </w:pPr>
      <w:r w:rsidRPr="00D46683">
        <w:rPr>
          <w:rFonts w:ascii="Times New Roman" w:hAnsi="Times New Roman" w:cs="Times New Roman"/>
          <w:bCs/>
          <w:lang w:val="en-AU"/>
        </w:rPr>
        <w:t>Consistent with its previous advice (from SC9), SC13 recommends that the Commission consider developing appropriate management measures for the area north of 20°S to the equator which is not covered by CMM 2009-03, noting that:</w:t>
      </w:r>
    </w:p>
    <w:p w14:paraId="4DC351B9" w14:textId="77777777" w:rsidR="00F44783" w:rsidRPr="00D46683" w:rsidRDefault="00F44783" w:rsidP="00F44783">
      <w:pPr>
        <w:numPr>
          <w:ilvl w:val="0"/>
          <w:numId w:val="10"/>
        </w:numPr>
        <w:adjustRightInd w:val="0"/>
        <w:spacing w:after="0" w:line="240" w:lineRule="auto"/>
        <w:jc w:val="both"/>
        <w:rPr>
          <w:rFonts w:ascii="Times New Roman" w:eastAsia="Times New Roman" w:hAnsi="Times New Roman" w:cs="Times New Roman"/>
          <w:bCs/>
          <w:lang w:eastAsia="ja-JP"/>
        </w:rPr>
      </w:pPr>
      <w:r w:rsidRPr="00D46683">
        <w:rPr>
          <w:rFonts w:ascii="Times New Roman" w:eastAsia="Times New Roman" w:hAnsi="Times New Roman" w:cs="Times New Roman"/>
          <w:bCs/>
          <w:lang w:eastAsia="ja-JP"/>
        </w:rPr>
        <w:t xml:space="preserve">recent catches between the equator and 20°S continue to represent the largest component of the catch in Region 2 (equator to 50°S, 165°E to 130°W) and represent half the total catches from the stock, and, </w:t>
      </w:r>
    </w:p>
    <w:p w14:paraId="592313FA" w14:textId="77777777" w:rsidR="00F44783" w:rsidRPr="00D46683" w:rsidRDefault="00F44783" w:rsidP="00F44783">
      <w:pPr>
        <w:numPr>
          <w:ilvl w:val="0"/>
          <w:numId w:val="10"/>
        </w:numPr>
        <w:adjustRightInd w:val="0"/>
        <w:spacing w:after="0" w:line="240" w:lineRule="auto"/>
        <w:ind w:left="1077" w:hanging="357"/>
        <w:jc w:val="both"/>
        <w:rPr>
          <w:rFonts w:ascii="Times New Roman" w:eastAsia="Times New Roman" w:hAnsi="Times New Roman" w:cs="Times New Roman"/>
          <w:bCs/>
          <w:lang w:eastAsia="ja-JP"/>
        </w:rPr>
      </w:pPr>
      <w:r w:rsidRPr="00D46683">
        <w:rPr>
          <w:rFonts w:ascii="Times New Roman" w:eastAsia="Times New Roman" w:hAnsi="Times New Roman" w:cs="Times New Roman"/>
          <w:bCs/>
          <w:lang w:eastAsia="ja-JP"/>
        </w:rPr>
        <w:t xml:space="preserve">catches in that area contribute substantially to fishing mortality and spawning biomass depletion levels in eastern Region 2 that are substantially higher than in the western region (Region 1). </w:t>
      </w:r>
    </w:p>
    <w:p w14:paraId="31C23BA2" w14:textId="77777777" w:rsidR="00F44783" w:rsidRPr="00D46683" w:rsidRDefault="00F44783" w:rsidP="00F44783">
      <w:pPr>
        <w:autoSpaceDE w:val="0"/>
        <w:autoSpaceDN w:val="0"/>
        <w:adjustRightInd w:val="0"/>
        <w:spacing w:after="0" w:line="240" w:lineRule="auto"/>
        <w:rPr>
          <w:rFonts w:ascii="Times New Roman" w:hAnsi="Times New Roman" w:cs="Times New Roman"/>
          <w:bCs/>
          <w:lang w:val="en-AU"/>
        </w:rPr>
      </w:pPr>
    </w:p>
    <w:p w14:paraId="03767937" w14:textId="77777777" w:rsidR="00F44783" w:rsidRPr="00D46683" w:rsidRDefault="00F44783" w:rsidP="00F44783">
      <w:pPr>
        <w:numPr>
          <w:ilvl w:val="0"/>
          <w:numId w:val="2"/>
        </w:numPr>
        <w:autoSpaceDE w:val="0"/>
        <w:autoSpaceDN w:val="0"/>
        <w:adjustRightInd w:val="0"/>
        <w:spacing w:after="0" w:line="240" w:lineRule="auto"/>
        <w:ind w:left="0" w:firstLine="0"/>
        <w:jc w:val="both"/>
        <w:rPr>
          <w:rFonts w:ascii="Times New Roman" w:hAnsi="Times New Roman" w:cs="Times New Roman"/>
          <w:bCs/>
          <w:lang w:val="en-AU"/>
        </w:rPr>
      </w:pPr>
      <w:r w:rsidRPr="00D46683">
        <w:rPr>
          <w:rFonts w:ascii="Times New Roman" w:hAnsi="Times New Roman" w:cs="Times New Roman"/>
          <w:bCs/>
          <w:lang w:val="en-AU"/>
        </w:rPr>
        <w:t xml:space="preserve">Further, SC13 recommends that current restrictions on catches south of 20°S also be maintained. </w:t>
      </w:r>
    </w:p>
    <w:p w14:paraId="01EB65AD" w14:textId="77777777" w:rsidR="00F44783" w:rsidRPr="00D46683" w:rsidRDefault="00F44783" w:rsidP="00F44783">
      <w:pPr>
        <w:adjustRightInd w:val="0"/>
        <w:spacing w:after="0" w:line="240" w:lineRule="auto"/>
        <w:rPr>
          <w:rFonts w:ascii="Times New Roman" w:eastAsia="MS Mincho" w:hAnsi="Times New Roman" w:cs="Times New Roman"/>
          <w:color w:val="2F5496" w:themeColor="accent1" w:themeShade="BF"/>
          <w:sz w:val="32"/>
          <w:szCs w:val="32"/>
          <w:lang w:val="en-NZ" w:eastAsia="en-NZ"/>
        </w:rPr>
      </w:pPr>
      <w:r w:rsidRPr="00D46683">
        <w:rPr>
          <w:rFonts w:ascii="Times New Roman" w:eastAsia="MS Mincho" w:hAnsi="Times New Roman" w:cs="Times New Roman"/>
          <w:lang w:val="en-NZ" w:eastAsia="en-NZ"/>
        </w:rPr>
        <w:br w:type="page"/>
      </w:r>
    </w:p>
    <w:p w14:paraId="6CF37916" w14:textId="014CFF51" w:rsidR="005C7178" w:rsidRPr="00D46683" w:rsidRDefault="005C7178" w:rsidP="00F44783">
      <w:pPr>
        <w:pStyle w:val="Heading1"/>
        <w:adjustRightInd w:val="0"/>
        <w:spacing w:before="0" w:line="240" w:lineRule="auto"/>
        <w:rPr>
          <w:rFonts w:ascii="Times New Roman" w:eastAsia="MS Mincho" w:hAnsi="Times New Roman" w:cs="Times New Roman"/>
          <w:b/>
          <w:caps/>
          <w:sz w:val="28"/>
          <w:szCs w:val="28"/>
          <w:lang w:val="en-NZ" w:eastAsia="en-NZ"/>
        </w:rPr>
      </w:pPr>
      <w:bookmarkStart w:id="6" w:name="_Toc24985155"/>
      <w:r w:rsidRPr="00D46683">
        <w:rPr>
          <w:rFonts w:ascii="Times New Roman" w:eastAsia="MS Mincho" w:hAnsi="Times New Roman" w:cs="Times New Roman"/>
          <w:b/>
          <w:caps/>
          <w:sz w:val="28"/>
          <w:szCs w:val="28"/>
          <w:lang w:val="en-NZ" w:eastAsia="en-NZ"/>
        </w:rPr>
        <w:lastRenderedPageBreak/>
        <w:t>Useful References</w:t>
      </w:r>
      <w:bookmarkEnd w:id="5"/>
      <w:bookmarkEnd w:id="6"/>
    </w:p>
    <w:p w14:paraId="53792326" w14:textId="77777777" w:rsidR="00416473" w:rsidRPr="00D46683" w:rsidRDefault="00416473" w:rsidP="00F44783">
      <w:pPr>
        <w:adjustRightInd w:val="0"/>
        <w:spacing w:after="0" w:line="240" w:lineRule="auto"/>
        <w:rPr>
          <w:rFonts w:ascii="Times New Roman" w:hAnsi="Times New Roman" w:cs="Times New Roman"/>
          <w:b/>
        </w:rPr>
      </w:pPr>
    </w:p>
    <w:p w14:paraId="694640D8" w14:textId="77777777" w:rsidR="005C7178" w:rsidRPr="00D46683" w:rsidRDefault="00DC50D2"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r w:rsidRPr="00D46683">
        <w:rPr>
          <w:rFonts w:ascii="Times New Roman" w:eastAsia="MS Mincho" w:hAnsi="Times New Roman" w:cs="Times New Roman"/>
          <w:color w:val="000000"/>
          <w:lang w:val="en-NZ" w:eastAsia="en-NZ"/>
        </w:rPr>
        <w:t>SC13</w:t>
      </w:r>
      <w:r w:rsidR="005C7178" w:rsidRPr="00D46683">
        <w:rPr>
          <w:rFonts w:ascii="Times New Roman" w:eastAsia="MS Mincho" w:hAnsi="Times New Roman" w:cs="Times New Roman"/>
          <w:color w:val="000000"/>
          <w:lang w:val="en-NZ" w:eastAsia="en-NZ"/>
        </w:rPr>
        <w:t>-SA-WP</w:t>
      </w:r>
      <w:r w:rsidR="004F5329" w:rsidRPr="00D46683">
        <w:rPr>
          <w:rFonts w:ascii="Times New Roman" w:eastAsia="MS Mincho" w:hAnsi="Times New Roman" w:cs="Times New Roman"/>
          <w:color w:val="000000"/>
          <w:lang w:val="en-NZ" w:eastAsia="en-NZ"/>
        </w:rPr>
        <w:t>-</w:t>
      </w:r>
      <w:r w:rsidR="005C7178" w:rsidRPr="00D46683">
        <w:rPr>
          <w:rFonts w:ascii="Times New Roman" w:eastAsia="MS Mincho" w:hAnsi="Times New Roman" w:cs="Times New Roman"/>
          <w:color w:val="000000"/>
          <w:lang w:val="en-NZ" w:eastAsia="en-NZ"/>
        </w:rPr>
        <w:t xml:space="preserve">13 </w:t>
      </w:r>
      <w:r w:rsidR="004F5329" w:rsidRPr="00D46683">
        <w:rPr>
          <w:rFonts w:ascii="Times New Roman" w:hAnsi="Times New Roman" w:cs="Times New Roman"/>
          <w:lang w:val="en"/>
        </w:rPr>
        <w:t>Stock assessment of swordfish in the SW Pacific</w:t>
      </w:r>
      <w:r w:rsidR="005C7178" w:rsidRPr="00D46683">
        <w:rPr>
          <w:rFonts w:ascii="Times New Roman" w:hAnsi="Times New Roman" w:cs="Times New Roman"/>
          <w:lang w:val="en"/>
        </w:rPr>
        <w:t xml:space="preserve">. </w:t>
      </w:r>
      <w:r w:rsidR="004F5329" w:rsidRPr="00D46683">
        <w:rPr>
          <w:rFonts w:ascii="Times New Roman" w:hAnsi="Times New Roman" w:cs="Times New Roman"/>
          <w:lang w:val="en"/>
        </w:rPr>
        <w:t>Takeuchi Y, G. Pilling and J. Hampton. (SPC-OFP)</w:t>
      </w:r>
    </w:p>
    <w:p w14:paraId="473288B8" w14:textId="77777777" w:rsidR="005C7178" w:rsidRPr="00D46683" w:rsidRDefault="00132F38"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hyperlink r:id="rId24" w:history="1">
        <w:r w:rsidR="004F5329" w:rsidRPr="00D46683">
          <w:rPr>
            <w:rStyle w:val="Hyperlink"/>
            <w:rFonts w:ascii="Times New Roman" w:hAnsi="Times New Roman" w:cs="Times New Roman"/>
          </w:rPr>
          <w:t>https://www.wcpfc.int/node/29526</w:t>
        </w:r>
      </w:hyperlink>
      <w:r w:rsidR="004F5329" w:rsidRPr="00D46683">
        <w:rPr>
          <w:rFonts w:ascii="Times New Roman" w:hAnsi="Times New Roman" w:cs="Times New Roman"/>
        </w:rPr>
        <w:t xml:space="preserve"> </w:t>
      </w:r>
    </w:p>
    <w:p w14:paraId="78B3C40C" w14:textId="77777777" w:rsidR="005C7178" w:rsidRPr="00D46683" w:rsidRDefault="005C7178"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p>
    <w:p w14:paraId="2374EBF5" w14:textId="77777777" w:rsidR="00E15B3B" w:rsidRPr="00D46683" w:rsidRDefault="00E15B3B"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r w:rsidRPr="00D46683">
        <w:rPr>
          <w:rFonts w:ascii="Times New Roman" w:eastAsia="MS Mincho" w:hAnsi="Times New Roman" w:cs="Times New Roman"/>
          <w:color w:val="000000"/>
          <w:lang w:val="en-NZ" w:eastAsia="en-NZ"/>
        </w:rPr>
        <w:t xml:space="preserve">SC12-SA-WP-11 </w:t>
      </w:r>
      <w:r w:rsidRPr="00D46683">
        <w:rPr>
          <w:rFonts w:ascii="Times New Roman" w:hAnsi="Times New Roman" w:cs="Times New Roman"/>
          <w:lang w:val="en"/>
        </w:rPr>
        <w:t xml:space="preserve">Determination of swordfish growth and maturity relevant to the southwest Pacific stock. Farley J., N. Clear, D. </w:t>
      </w:r>
      <w:proofErr w:type="spellStart"/>
      <w:r w:rsidRPr="00D46683">
        <w:rPr>
          <w:rFonts w:ascii="Times New Roman" w:hAnsi="Times New Roman" w:cs="Times New Roman"/>
          <w:lang w:val="en"/>
        </w:rPr>
        <w:t>Kolody</w:t>
      </w:r>
      <w:proofErr w:type="spellEnd"/>
      <w:r w:rsidRPr="00D46683">
        <w:rPr>
          <w:rFonts w:ascii="Times New Roman" w:hAnsi="Times New Roman" w:cs="Times New Roman"/>
          <w:lang w:val="en"/>
        </w:rPr>
        <w:t xml:space="preserve">, K. </w:t>
      </w:r>
      <w:proofErr w:type="spellStart"/>
      <w:r w:rsidRPr="00D46683">
        <w:rPr>
          <w:rFonts w:ascii="Times New Roman" w:hAnsi="Times New Roman" w:cs="Times New Roman"/>
          <w:lang w:val="en"/>
        </w:rPr>
        <w:t>Krusic</w:t>
      </w:r>
      <w:proofErr w:type="spellEnd"/>
      <w:r w:rsidRPr="00D46683">
        <w:rPr>
          <w:rFonts w:ascii="Times New Roman" w:hAnsi="Times New Roman" w:cs="Times New Roman"/>
          <w:lang w:val="en"/>
        </w:rPr>
        <w:t xml:space="preserve">-Golub, P. </w:t>
      </w:r>
      <w:proofErr w:type="spellStart"/>
      <w:r w:rsidRPr="00D46683">
        <w:rPr>
          <w:rFonts w:ascii="Times New Roman" w:hAnsi="Times New Roman" w:cs="Times New Roman"/>
          <w:lang w:val="en"/>
        </w:rPr>
        <w:t>Eveson</w:t>
      </w:r>
      <w:proofErr w:type="spellEnd"/>
      <w:r w:rsidRPr="00D46683">
        <w:rPr>
          <w:rFonts w:ascii="Times New Roman" w:hAnsi="Times New Roman" w:cs="Times New Roman"/>
          <w:lang w:val="en"/>
        </w:rPr>
        <w:t xml:space="preserve"> and J. Young. (AFMA)</w:t>
      </w:r>
    </w:p>
    <w:p w14:paraId="578CE98C" w14:textId="77777777" w:rsidR="00E15B3B" w:rsidRPr="00D46683" w:rsidRDefault="00132F38"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hyperlink r:id="rId25" w:history="1">
        <w:r w:rsidR="00E15B3B" w:rsidRPr="00D46683">
          <w:rPr>
            <w:rStyle w:val="Hyperlink"/>
            <w:rFonts w:ascii="Times New Roman" w:hAnsi="Times New Roman" w:cs="Times New Roman"/>
          </w:rPr>
          <w:t>https://www.wcpfc.int/node/27447</w:t>
        </w:r>
      </w:hyperlink>
      <w:r w:rsidR="00E15B3B" w:rsidRPr="00D46683">
        <w:rPr>
          <w:rFonts w:ascii="Times New Roman" w:hAnsi="Times New Roman" w:cs="Times New Roman"/>
        </w:rPr>
        <w:t xml:space="preserve">  </w:t>
      </w:r>
    </w:p>
    <w:p w14:paraId="53E88E01" w14:textId="77777777" w:rsidR="005C7178" w:rsidRPr="00D46683" w:rsidRDefault="005C7178" w:rsidP="00F44783">
      <w:pPr>
        <w:autoSpaceDE w:val="0"/>
        <w:autoSpaceDN w:val="0"/>
        <w:adjustRightInd w:val="0"/>
        <w:spacing w:after="0" w:line="240" w:lineRule="auto"/>
        <w:jc w:val="both"/>
        <w:rPr>
          <w:rFonts w:ascii="Times New Roman" w:hAnsi="Times New Roman" w:cs="Times New Roman"/>
          <w:b/>
          <w:lang w:val="en-AU"/>
        </w:rPr>
      </w:pPr>
    </w:p>
    <w:p w14:paraId="1B9C96A8" w14:textId="77777777" w:rsidR="00E15B3B" w:rsidRPr="00D46683" w:rsidRDefault="00E15B3B"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r w:rsidRPr="00D46683">
        <w:rPr>
          <w:rFonts w:ascii="Times New Roman" w:eastAsia="MS Mincho" w:hAnsi="Times New Roman" w:cs="Times New Roman"/>
          <w:color w:val="000000"/>
          <w:lang w:val="en-NZ" w:eastAsia="en-NZ"/>
        </w:rPr>
        <w:t xml:space="preserve">SC9-SA-WP-01 </w:t>
      </w:r>
      <w:r w:rsidRPr="00D46683">
        <w:rPr>
          <w:rFonts w:ascii="Times New Roman" w:hAnsi="Times New Roman" w:cs="Times New Roman"/>
          <w:lang w:val="en"/>
        </w:rPr>
        <w:t>Stock assessment of swordfish (Xiphias gladius) in the southwest Pacific Ocean. Davies, N., G. Pilling, S. Harley, and J. Hampton. (SPC-OFP)</w:t>
      </w:r>
    </w:p>
    <w:p w14:paraId="614C59C9" w14:textId="77777777" w:rsidR="00E15B3B" w:rsidRPr="00D46683" w:rsidRDefault="00132F38" w:rsidP="00F44783">
      <w:pPr>
        <w:autoSpaceDE w:val="0"/>
        <w:autoSpaceDN w:val="0"/>
        <w:adjustRightInd w:val="0"/>
        <w:spacing w:after="0" w:line="240" w:lineRule="auto"/>
        <w:jc w:val="both"/>
        <w:rPr>
          <w:rFonts w:ascii="Times New Roman" w:hAnsi="Times New Roman" w:cs="Times New Roman"/>
          <w:b/>
          <w:lang w:val="en-AU"/>
        </w:rPr>
      </w:pPr>
      <w:hyperlink r:id="rId26" w:history="1">
        <w:r w:rsidR="00E15B3B" w:rsidRPr="00D46683">
          <w:rPr>
            <w:rStyle w:val="Hyperlink"/>
            <w:rFonts w:ascii="Times New Roman" w:hAnsi="Times New Roman" w:cs="Times New Roman"/>
          </w:rPr>
          <w:t>https://www.wcpfc.int/node/3683</w:t>
        </w:r>
      </w:hyperlink>
      <w:r w:rsidR="00E15B3B" w:rsidRPr="00D46683">
        <w:rPr>
          <w:rFonts w:ascii="Times New Roman" w:hAnsi="Times New Roman" w:cs="Times New Roman"/>
        </w:rPr>
        <w:t xml:space="preserve"> </w:t>
      </w:r>
    </w:p>
    <w:p w14:paraId="491D5B0C" w14:textId="77777777" w:rsidR="00E15B3B" w:rsidRPr="00D46683" w:rsidRDefault="00E15B3B" w:rsidP="00F44783">
      <w:pPr>
        <w:autoSpaceDE w:val="0"/>
        <w:autoSpaceDN w:val="0"/>
        <w:adjustRightInd w:val="0"/>
        <w:spacing w:after="0" w:line="240" w:lineRule="auto"/>
        <w:jc w:val="both"/>
        <w:rPr>
          <w:rFonts w:ascii="Times New Roman" w:hAnsi="Times New Roman" w:cs="Times New Roman"/>
          <w:b/>
          <w:lang w:val="en-AU"/>
        </w:rPr>
      </w:pPr>
    </w:p>
    <w:p w14:paraId="063AABD6" w14:textId="77777777" w:rsidR="00FC5EB1" w:rsidRPr="00D46683" w:rsidRDefault="00FC5EB1" w:rsidP="00F44783">
      <w:pPr>
        <w:pStyle w:val="Heading1"/>
        <w:adjustRightInd w:val="0"/>
        <w:spacing w:before="0" w:line="240" w:lineRule="auto"/>
        <w:rPr>
          <w:rFonts w:ascii="Times New Roman" w:eastAsia="MS Mincho" w:hAnsi="Times New Roman" w:cs="Times New Roman"/>
          <w:b/>
          <w:caps/>
          <w:sz w:val="28"/>
          <w:szCs w:val="28"/>
          <w:lang w:val="en-NZ" w:eastAsia="en-NZ"/>
        </w:rPr>
      </w:pPr>
      <w:bookmarkStart w:id="7" w:name="_Toc24985156"/>
      <w:r w:rsidRPr="00D46683">
        <w:rPr>
          <w:rFonts w:ascii="Times New Roman" w:eastAsia="MS Mincho" w:hAnsi="Times New Roman" w:cs="Times New Roman"/>
          <w:b/>
          <w:caps/>
          <w:sz w:val="28"/>
          <w:szCs w:val="28"/>
          <w:lang w:val="en-NZ" w:eastAsia="en-NZ"/>
        </w:rPr>
        <w:t>Previous Assessments</w:t>
      </w:r>
      <w:bookmarkEnd w:id="7"/>
    </w:p>
    <w:p w14:paraId="13DEE75E" w14:textId="77777777" w:rsidR="005C7178" w:rsidRPr="00D46683" w:rsidRDefault="005C7178"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p>
    <w:p w14:paraId="695EC495" w14:textId="77777777" w:rsidR="00FC5EB1" w:rsidRPr="00D46683" w:rsidRDefault="00FC5EB1" w:rsidP="00F44783">
      <w:pPr>
        <w:autoSpaceDE w:val="0"/>
        <w:autoSpaceDN w:val="0"/>
        <w:adjustRightInd w:val="0"/>
        <w:spacing w:after="0" w:line="240" w:lineRule="auto"/>
        <w:jc w:val="both"/>
        <w:rPr>
          <w:rFonts w:ascii="Times New Roman" w:hAnsi="Times New Roman" w:cs="Times New Roman"/>
          <w:lang w:val="en"/>
        </w:rPr>
      </w:pPr>
      <w:r w:rsidRPr="00D46683">
        <w:rPr>
          <w:rFonts w:ascii="Times New Roman" w:eastAsia="MS Mincho" w:hAnsi="Times New Roman" w:cs="Times New Roman"/>
          <w:color w:val="000000"/>
          <w:lang w:val="en-NZ" w:eastAsia="en-NZ"/>
        </w:rPr>
        <w:t xml:space="preserve">SC9-SA-WP-05 </w:t>
      </w:r>
      <w:r w:rsidRPr="00D46683">
        <w:rPr>
          <w:rFonts w:ascii="Times New Roman" w:hAnsi="Times New Roman" w:cs="Times New Roman"/>
          <w:lang w:val="en"/>
        </w:rPr>
        <w:t xml:space="preserve">Stock assessment of swordfish (Xiphias gladius) in the southwest Pacific Ocean. </w:t>
      </w:r>
      <w:hyperlink r:id="rId27" w:history="1">
        <w:r w:rsidRPr="00D46683">
          <w:rPr>
            <w:rStyle w:val="Hyperlink"/>
            <w:rFonts w:ascii="Times New Roman" w:hAnsi="Times New Roman" w:cs="Times New Roman"/>
            <w:lang w:val="en"/>
          </w:rPr>
          <w:t>https://wcpfc.int/node/3683</w:t>
        </w:r>
      </w:hyperlink>
      <w:r w:rsidRPr="00D46683">
        <w:rPr>
          <w:rFonts w:ascii="Times New Roman" w:hAnsi="Times New Roman" w:cs="Times New Roman"/>
          <w:lang w:val="en"/>
        </w:rPr>
        <w:t xml:space="preserve"> </w:t>
      </w:r>
    </w:p>
    <w:p w14:paraId="73A8743F" w14:textId="77777777" w:rsidR="00654B42" w:rsidRPr="00D46683" w:rsidRDefault="00654B42"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p>
    <w:p w14:paraId="20809936" w14:textId="77777777" w:rsidR="00654B42" w:rsidRPr="00D46683" w:rsidRDefault="00654B42"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r w:rsidRPr="00D46683">
        <w:rPr>
          <w:rFonts w:ascii="Times New Roman" w:eastAsia="MS Mincho" w:hAnsi="Times New Roman" w:cs="Times New Roman"/>
          <w:color w:val="000000"/>
          <w:lang w:val="en-NZ" w:eastAsia="en-NZ"/>
        </w:rPr>
        <w:t xml:space="preserve">SC4-SA-WP-06 </w:t>
      </w:r>
      <w:proofErr w:type="spellStart"/>
      <w:r w:rsidRPr="00D46683">
        <w:rPr>
          <w:rFonts w:ascii="Times New Roman" w:eastAsia="MS Mincho" w:hAnsi="Times New Roman" w:cs="Times New Roman"/>
          <w:color w:val="000000"/>
          <w:lang w:val="en-NZ" w:eastAsia="en-NZ"/>
        </w:rPr>
        <w:t>Multifan</w:t>
      </w:r>
      <w:proofErr w:type="spellEnd"/>
      <w:r w:rsidRPr="00D46683">
        <w:rPr>
          <w:rFonts w:ascii="Times New Roman" w:eastAsia="MS Mincho" w:hAnsi="Times New Roman" w:cs="Times New Roman"/>
          <w:color w:val="000000"/>
          <w:lang w:val="en-NZ" w:eastAsia="en-NZ"/>
        </w:rPr>
        <w:t xml:space="preserve">-CL Stock Assessment of Southern Western-Central Pacific Swordfish 1952-2007. </w:t>
      </w:r>
      <w:hyperlink r:id="rId28" w:history="1">
        <w:r w:rsidRPr="00D46683">
          <w:rPr>
            <w:rStyle w:val="Hyperlink"/>
            <w:rFonts w:ascii="Times New Roman" w:eastAsia="MS Mincho" w:hAnsi="Times New Roman" w:cs="Times New Roman"/>
            <w:lang w:val="en-NZ" w:eastAsia="en-NZ"/>
          </w:rPr>
          <w:t>https://wcpfc.int/node/1223</w:t>
        </w:r>
      </w:hyperlink>
      <w:r w:rsidRPr="00D46683">
        <w:rPr>
          <w:rFonts w:ascii="Times New Roman" w:eastAsia="MS Mincho" w:hAnsi="Times New Roman" w:cs="Times New Roman"/>
          <w:color w:val="000000"/>
          <w:lang w:val="en-NZ" w:eastAsia="en-NZ"/>
        </w:rPr>
        <w:t xml:space="preserve"> </w:t>
      </w:r>
    </w:p>
    <w:p w14:paraId="00827E12" w14:textId="77777777" w:rsidR="00310A4B" w:rsidRPr="00D46683" w:rsidRDefault="00310A4B"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p>
    <w:p w14:paraId="292B16A9" w14:textId="77777777" w:rsidR="00310A4B" w:rsidRPr="00D46683" w:rsidRDefault="00310A4B"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r w:rsidRPr="00D46683">
        <w:rPr>
          <w:rFonts w:ascii="Times New Roman" w:eastAsia="MS Mincho" w:hAnsi="Times New Roman" w:cs="Times New Roman"/>
          <w:color w:val="000000"/>
          <w:lang w:val="en-NZ" w:eastAsia="en-NZ"/>
        </w:rPr>
        <w:t xml:space="preserve">SC2-SA-WP-07 </w:t>
      </w:r>
      <w:r w:rsidR="00106AD8" w:rsidRPr="00D46683">
        <w:rPr>
          <w:rFonts w:ascii="Times New Roman" w:eastAsia="MS Mincho" w:hAnsi="Times New Roman" w:cs="Times New Roman"/>
          <w:color w:val="000000"/>
          <w:lang w:val="en-NZ" w:eastAsia="en-NZ"/>
        </w:rPr>
        <w:t xml:space="preserve">SW Pacific Swordfish Stock Status Summary from multiple assessment models. </w:t>
      </w:r>
      <w:hyperlink r:id="rId29" w:history="1">
        <w:r w:rsidR="00C31081" w:rsidRPr="00D46683">
          <w:rPr>
            <w:rStyle w:val="Hyperlink"/>
            <w:rFonts w:ascii="Times New Roman" w:eastAsia="MS Mincho" w:hAnsi="Times New Roman" w:cs="Times New Roman"/>
            <w:lang w:val="en-NZ" w:eastAsia="en-NZ"/>
          </w:rPr>
          <w:t>https://wcpfc.int/node/1752</w:t>
        </w:r>
      </w:hyperlink>
      <w:r w:rsidR="00C31081" w:rsidRPr="00D46683">
        <w:rPr>
          <w:rFonts w:ascii="Times New Roman" w:eastAsia="MS Mincho" w:hAnsi="Times New Roman" w:cs="Times New Roman"/>
          <w:color w:val="000000"/>
          <w:lang w:val="en-NZ" w:eastAsia="en-NZ"/>
        </w:rPr>
        <w:t xml:space="preserve"> </w:t>
      </w:r>
    </w:p>
    <w:p w14:paraId="75112BFB" w14:textId="77777777" w:rsidR="00AB0794" w:rsidRPr="00D46683" w:rsidRDefault="00AB0794"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p>
    <w:p w14:paraId="2ED138AE" w14:textId="77777777" w:rsidR="00AB0794" w:rsidRPr="00D46683" w:rsidRDefault="00AB0794"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r w:rsidRPr="00D46683">
        <w:rPr>
          <w:rFonts w:ascii="Times New Roman" w:eastAsia="MS Mincho" w:hAnsi="Times New Roman" w:cs="Times New Roman"/>
          <w:color w:val="000000"/>
          <w:lang w:val="en-NZ" w:eastAsia="en-NZ"/>
        </w:rPr>
        <w:t xml:space="preserve">SC1-SA-WP-07 Southwest Pacific swordfish assessment: 2005-6 objectives and preliminary results. </w:t>
      </w:r>
      <w:hyperlink r:id="rId30" w:history="1">
        <w:r w:rsidRPr="00D46683">
          <w:rPr>
            <w:rStyle w:val="Hyperlink"/>
            <w:rFonts w:ascii="Times New Roman" w:eastAsia="MS Mincho" w:hAnsi="Times New Roman" w:cs="Times New Roman"/>
            <w:lang w:val="en-NZ" w:eastAsia="en-NZ"/>
          </w:rPr>
          <w:t>https://wcpfc.int/node/1891</w:t>
        </w:r>
      </w:hyperlink>
      <w:r w:rsidRPr="00D46683">
        <w:rPr>
          <w:rFonts w:ascii="Times New Roman" w:eastAsia="MS Mincho" w:hAnsi="Times New Roman" w:cs="Times New Roman"/>
          <w:color w:val="000000"/>
          <w:lang w:val="en-NZ" w:eastAsia="en-NZ"/>
        </w:rPr>
        <w:t xml:space="preserve"> </w:t>
      </w:r>
    </w:p>
    <w:p w14:paraId="2B782A14" w14:textId="77777777" w:rsidR="00C31081" w:rsidRPr="00D46683" w:rsidRDefault="00C31081"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p>
    <w:p w14:paraId="3BF303F4" w14:textId="77777777" w:rsidR="00C31081" w:rsidRPr="00D46683" w:rsidRDefault="00C31081" w:rsidP="00F44783">
      <w:pPr>
        <w:autoSpaceDE w:val="0"/>
        <w:autoSpaceDN w:val="0"/>
        <w:adjustRightInd w:val="0"/>
        <w:spacing w:after="0" w:line="240" w:lineRule="auto"/>
        <w:jc w:val="both"/>
        <w:rPr>
          <w:rFonts w:ascii="Times New Roman" w:eastAsia="MS Mincho" w:hAnsi="Times New Roman" w:cs="Times New Roman"/>
          <w:color w:val="000000"/>
          <w:lang w:val="en-NZ" w:eastAsia="en-NZ"/>
        </w:rPr>
      </w:pPr>
    </w:p>
    <w:sectPr w:rsidR="00C31081" w:rsidRPr="00D46683" w:rsidSect="00400113">
      <w:footerReference w:type="default" r:id="rId31"/>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F1B91" w14:textId="77777777" w:rsidR="00132F38" w:rsidRDefault="00132F38" w:rsidP="005C2B8D">
      <w:pPr>
        <w:spacing w:after="0" w:line="240" w:lineRule="auto"/>
      </w:pPr>
      <w:r>
        <w:separator/>
      </w:r>
    </w:p>
  </w:endnote>
  <w:endnote w:type="continuationSeparator" w:id="0">
    <w:p w14:paraId="22443EAB" w14:textId="77777777" w:rsidR="00132F38" w:rsidRDefault="00132F38"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MS PMincho">
    <w:altName w:val="MS Gothic"/>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14:paraId="0083F475" w14:textId="77777777" w:rsidR="00550074" w:rsidRDefault="00550074">
        <w:pPr>
          <w:pStyle w:val="Footer"/>
          <w:jc w:val="center"/>
        </w:pPr>
        <w:r>
          <w:fldChar w:fldCharType="begin"/>
        </w:r>
        <w:r>
          <w:instrText xml:space="preserve"> PAGE   \* MERGEFORMAT </w:instrText>
        </w:r>
        <w:r>
          <w:fldChar w:fldCharType="separate"/>
        </w:r>
        <w:r w:rsidR="00B50E07">
          <w:rPr>
            <w:noProof/>
          </w:rPr>
          <w:t>12</w:t>
        </w:r>
        <w:r>
          <w:rPr>
            <w:noProof/>
          </w:rPr>
          <w:fldChar w:fldCharType="end"/>
        </w:r>
      </w:p>
    </w:sdtContent>
  </w:sdt>
  <w:p w14:paraId="6145D51D" w14:textId="77777777"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65738" w14:textId="77777777" w:rsidR="00132F38" w:rsidRDefault="00132F38" w:rsidP="005C2B8D">
      <w:pPr>
        <w:spacing w:after="0" w:line="240" w:lineRule="auto"/>
      </w:pPr>
      <w:r>
        <w:separator/>
      </w:r>
    </w:p>
  </w:footnote>
  <w:footnote w:type="continuationSeparator" w:id="0">
    <w:p w14:paraId="6474FE5D" w14:textId="77777777" w:rsidR="00132F38" w:rsidRDefault="00132F38"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AA48EC"/>
    <w:multiLevelType w:val="hybridMultilevel"/>
    <w:tmpl w:val="BE124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9250E"/>
    <w:multiLevelType w:val="hybridMultilevel"/>
    <w:tmpl w:val="22768CA2"/>
    <w:lvl w:ilvl="0" w:tplc="A3069A0A">
      <w:start w:val="1"/>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A0F1288"/>
    <w:multiLevelType w:val="hybridMultilevel"/>
    <w:tmpl w:val="405A1C40"/>
    <w:lvl w:ilvl="0" w:tplc="E668A59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12"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4512A"/>
    <w:multiLevelType w:val="hybridMultilevel"/>
    <w:tmpl w:val="AF4EDF56"/>
    <w:lvl w:ilvl="0" w:tplc="7D7A123A">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B7ECE1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7"/>
  </w:num>
  <w:num w:numId="5">
    <w:abstractNumId w:val="0"/>
  </w:num>
  <w:num w:numId="6">
    <w:abstractNumId w:val="4"/>
    <w:lvlOverride w:ilvl="0">
      <w:startOverride w:val="393"/>
    </w:lvlOverride>
  </w:num>
  <w:num w:numId="7">
    <w:abstractNumId w:val="8"/>
  </w:num>
  <w:num w:numId="8">
    <w:abstractNumId w:val="10"/>
  </w:num>
  <w:num w:numId="9">
    <w:abstractNumId w:val="11"/>
  </w:num>
  <w:num w:numId="10">
    <w:abstractNumId w:val="6"/>
  </w:num>
  <w:num w:numId="11">
    <w:abstractNumId w:val="12"/>
  </w:num>
  <w:num w:numId="12">
    <w:abstractNumId w:val="4"/>
  </w:num>
  <w:num w:numId="13">
    <w:abstractNumId w:val="13"/>
  </w:num>
  <w:num w:numId="14">
    <w:abstractNumId w:val="5"/>
  </w:num>
  <w:num w:numId="15">
    <w:abstractNumId w:val="4"/>
    <w:lvlOverride w:ilvl="0">
      <w:startOverride w:val="1"/>
    </w:lvlOverride>
  </w:num>
  <w:num w:numId="16">
    <w:abstractNumId w:val="3"/>
  </w:num>
  <w:num w:numId="17">
    <w:abstractNumId w:val="2"/>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661B4"/>
    <w:rsid w:val="00106AD8"/>
    <w:rsid w:val="00132F38"/>
    <w:rsid w:val="00271913"/>
    <w:rsid w:val="002D086C"/>
    <w:rsid w:val="003060E3"/>
    <w:rsid w:val="00310A4B"/>
    <w:rsid w:val="00335F8E"/>
    <w:rsid w:val="0038238E"/>
    <w:rsid w:val="00390CC3"/>
    <w:rsid w:val="003F50D6"/>
    <w:rsid w:val="00400113"/>
    <w:rsid w:val="00416473"/>
    <w:rsid w:val="00487880"/>
    <w:rsid w:val="004B05DF"/>
    <w:rsid w:val="004B2C1D"/>
    <w:rsid w:val="004C0F6A"/>
    <w:rsid w:val="004C1EE5"/>
    <w:rsid w:val="004C4F3D"/>
    <w:rsid w:val="004F5329"/>
    <w:rsid w:val="0051538C"/>
    <w:rsid w:val="005374AB"/>
    <w:rsid w:val="00550074"/>
    <w:rsid w:val="005A5AA1"/>
    <w:rsid w:val="005B1A1E"/>
    <w:rsid w:val="005B3B5D"/>
    <w:rsid w:val="005C2B8D"/>
    <w:rsid w:val="005C7178"/>
    <w:rsid w:val="00632E02"/>
    <w:rsid w:val="006515DB"/>
    <w:rsid w:val="00654B42"/>
    <w:rsid w:val="006A51C4"/>
    <w:rsid w:val="006F1084"/>
    <w:rsid w:val="00705049"/>
    <w:rsid w:val="0073054D"/>
    <w:rsid w:val="007766EA"/>
    <w:rsid w:val="007B6CCE"/>
    <w:rsid w:val="007F084A"/>
    <w:rsid w:val="007F71A5"/>
    <w:rsid w:val="00867480"/>
    <w:rsid w:val="00927C45"/>
    <w:rsid w:val="009C1672"/>
    <w:rsid w:val="00A52AAC"/>
    <w:rsid w:val="00AB0794"/>
    <w:rsid w:val="00AC71A5"/>
    <w:rsid w:val="00B50E07"/>
    <w:rsid w:val="00BD56FE"/>
    <w:rsid w:val="00C01084"/>
    <w:rsid w:val="00C31081"/>
    <w:rsid w:val="00C64AF4"/>
    <w:rsid w:val="00CC3DC6"/>
    <w:rsid w:val="00CC59BE"/>
    <w:rsid w:val="00CF0B93"/>
    <w:rsid w:val="00D4373F"/>
    <w:rsid w:val="00D46683"/>
    <w:rsid w:val="00DC1CE4"/>
    <w:rsid w:val="00DC50D2"/>
    <w:rsid w:val="00E10994"/>
    <w:rsid w:val="00E15B3B"/>
    <w:rsid w:val="00F130C8"/>
    <w:rsid w:val="00F44783"/>
    <w:rsid w:val="00F528D9"/>
    <w:rsid w:val="00F535CC"/>
    <w:rsid w:val="00FB657D"/>
    <w:rsid w:val="00FC5E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97462"/>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7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NAFO PR List Paragraph,ADB paragraph numbering,Liste 1,Bullets,List Paragraph nowy,References,ANNEX"/>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NAFO PR List Paragraph Char,ADB paragraph numbering Char"/>
    <w:link w:val="ListParagraph"/>
    <w:uiPriority w:val="34"/>
    <w:qFormat/>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SCa">
    <w:name w:val="SC a"/>
    <w:basedOn w:val="ListParagraph"/>
    <w:link w:val="SCaChar"/>
    <w:qFormat/>
    <w:rsid w:val="00F44783"/>
    <w:pPr>
      <w:tabs>
        <w:tab w:val="left" w:pos="1080"/>
      </w:tabs>
      <w:adjustRightInd w:val="0"/>
      <w:snapToGrid w:val="0"/>
      <w:spacing w:after="240"/>
      <w:ind w:left="1080" w:firstLine="0"/>
      <w:contextualSpacing w:val="0"/>
    </w:pPr>
    <w:rPr>
      <w:rFonts w:ascii="Times New Roman" w:eastAsia="Batang" w:hAnsi="Times New Roman"/>
      <w:b/>
      <w:lang w:eastAsia="ko-KR"/>
    </w:rPr>
  </w:style>
  <w:style w:type="character" w:customStyle="1" w:styleId="SCaChar">
    <w:name w:val="SC a Char"/>
    <w:basedOn w:val="ListParagraphChar"/>
    <w:link w:val="SCa"/>
    <w:rsid w:val="00F44783"/>
    <w:rPr>
      <w:rFonts w:ascii="Times New Roman" w:eastAsia="Batang" w:hAnsi="Times New Roman" w:cs="Times New Roman"/>
      <w:b/>
      <w:lang w:val="en-NZ" w:eastAsia="ko-KR"/>
    </w:rPr>
  </w:style>
  <w:style w:type="character" w:customStyle="1" w:styleId="Heading3Char">
    <w:name w:val="Heading 3 Char"/>
    <w:basedOn w:val="DefaultParagraphFont"/>
    <w:link w:val="Heading3"/>
    <w:uiPriority w:val="9"/>
    <w:semiHidden/>
    <w:rsid w:val="00F447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wcpfc.int/node/3683"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hyperlink" Target="https://www.wcpfc.int/node/27447"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cpfc.int/node/17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cpfc.int/node/29904" TargetMode="External"/><Relationship Id="rId24" Type="http://schemas.openxmlformats.org/officeDocument/2006/relationships/hyperlink" Target="https://www.wcpfc.int/node/2952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hyperlink" Target="https://wcpfc.int/node/1223" TargetMode="External"/><Relationship Id="rId10" Type="http://schemas.openxmlformats.org/officeDocument/2006/relationships/hyperlink" Target="https://www.wcpfc.int/node/29904" TargetMode="Externa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cpfc.int/node/29904" TargetMode="External"/><Relationship Id="rId14" Type="http://schemas.openxmlformats.org/officeDocument/2006/relationships/image" Target="media/image4.png"/><Relationship Id="rId22" Type="http://schemas.openxmlformats.org/officeDocument/2006/relationships/image" Target="media/image12.emf"/><Relationship Id="rId27" Type="http://schemas.openxmlformats.org/officeDocument/2006/relationships/hyperlink" Target="https://wcpfc.int/node/3683" TargetMode="External"/><Relationship Id="rId30" Type="http://schemas.openxmlformats.org/officeDocument/2006/relationships/hyperlink" Target="https://wcpfc.int/node/18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2F50-D146-4934-B184-AC2E1C1C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2116</Words>
  <Characters>12065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SungKwon Soh</cp:lastModifiedBy>
  <cp:revision>3</cp:revision>
  <cp:lastPrinted>2018-05-22T03:28:00Z</cp:lastPrinted>
  <dcterms:created xsi:type="dcterms:W3CDTF">2019-11-18T04:46:00Z</dcterms:created>
  <dcterms:modified xsi:type="dcterms:W3CDTF">2019-11-18T05:01:00Z</dcterms:modified>
</cp:coreProperties>
</file>