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CE9D8" w14:textId="77777777" w:rsidR="00F44783" w:rsidRPr="00D46683" w:rsidRDefault="00F44783" w:rsidP="00F44783">
      <w:pPr>
        <w:autoSpaceDE w:val="0"/>
        <w:autoSpaceDN w:val="0"/>
        <w:adjustRightInd w:val="0"/>
        <w:snapToGrid w:val="0"/>
        <w:spacing w:after="0" w:line="240" w:lineRule="auto"/>
        <w:jc w:val="center"/>
        <w:rPr>
          <w:rFonts w:ascii="Times New Roman" w:hAnsi="Times New Roman" w:cs="Times New Roman"/>
          <w:b/>
          <w:bCs/>
          <w:lang w:val="en-AU" w:eastAsia="en-NZ"/>
        </w:rPr>
      </w:pPr>
    </w:p>
    <w:p w14:paraId="6413EB8B" w14:textId="77777777" w:rsidR="00F44783" w:rsidRPr="00D46683" w:rsidRDefault="00F44783" w:rsidP="00F44783">
      <w:pPr>
        <w:autoSpaceDE w:val="0"/>
        <w:autoSpaceDN w:val="0"/>
        <w:adjustRightInd w:val="0"/>
        <w:snapToGrid w:val="0"/>
        <w:spacing w:after="0" w:line="240" w:lineRule="auto"/>
        <w:jc w:val="center"/>
        <w:rPr>
          <w:rFonts w:ascii="Times New Roman" w:hAnsi="Times New Roman" w:cs="Times New Roman"/>
          <w:b/>
          <w:bCs/>
          <w:lang w:val="en-AU" w:eastAsia="en-NZ"/>
        </w:rPr>
      </w:pPr>
    </w:p>
    <w:p w14:paraId="6B4018CC" w14:textId="77777777" w:rsidR="00F44783" w:rsidRPr="00D46683" w:rsidRDefault="00F44783" w:rsidP="00F44783">
      <w:pPr>
        <w:autoSpaceDE w:val="0"/>
        <w:autoSpaceDN w:val="0"/>
        <w:adjustRightInd w:val="0"/>
        <w:snapToGrid w:val="0"/>
        <w:spacing w:after="0" w:line="240" w:lineRule="auto"/>
        <w:jc w:val="center"/>
        <w:rPr>
          <w:rFonts w:ascii="Times New Roman" w:hAnsi="Times New Roman" w:cs="Times New Roman"/>
          <w:b/>
          <w:bCs/>
          <w:lang w:val="en-AU" w:eastAsia="en-NZ"/>
        </w:rPr>
      </w:pPr>
      <w:r w:rsidRPr="00D46683">
        <w:rPr>
          <w:rFonts w:ascii="Times New Roman" w:hAnsi="Times New Roman" w:cs="Times New Roman"/>
          <w:noProof/>
          <w:lang w:eastAsia="zh-CN" w:bidi="mn-Mong-CN"/>
        </w:rPr>
        <w:drawing>
          <wp:inline distT="0" distB="0" distL="0" distR="0" wp14:anchorId="4599FCBC" wp14:editId="3F818AB8">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15043A21" w14:textId="77777777" w:rsidR="00F44783" w:rsidRPr="00D46683" w:rsidRDefault="00F44783" w:rsidP="00F44783">
      <w:pPr>
        <w:autoSpaceDE w:val="0"/>
        <w:autoSpaceDN w:val="0"/>
        <w:adjustRightInd w:val="0"/>
        <w:snapToGrid w:val="0"/>
        <w:spacing w:after="0" w:line="240" w:lineRule="auto"/>
        <w:jc w:val="center"/>
        <w:rPr>
          <w:rFonts w:ascii="Times New Roman" w:hAnsi="Times New Roman" w:cs="Times New Roman"/>
          <w:b/>
          <w:bCs/>
          <w:lang w:val="en-AU" w:eastAsia="en-NZ"/>
        </w:rPr>
      </w:pPr>
    </w:p>
    <w:p w14:paraId="5E36CCBE" w14:textId="77777777" w:rsidR="00F44783" w:rsidRPr="00D46683" w:rsidRDefault="00F44783" w:rsidP="00F44783">
      <w:pPr>
        <w:autoSpaceDE w:val="0"/>
        <w:autoSpaceDN w:val="0"/>
        <w:adjustRightInd w:val="0"/>
        <w:snapToGrid w:val="0"/>
        <w:spacing w:after="0" w:line="240" w:lineRule="auto"/>
        <w:jc w:val="center"/>
        <w:rPr>
          <w:rFonts w:ascii="Times New Roman" w:hAnsi="Times New Roman" w:cs="Times New Roman"/>
          <w:b/>
          <w:bCs/>
          <w:lang w:val="en-AU" w:eastAsia="en-NZ"/>
        </w:rPr>
      </w:pPr>
    </w:p>
    <w:p w14:paraId="77597D2C" w14:textId="77777777" w:rsidR="00F44783" w:rsidRPr="00D46683" w:rsidRDefault="00F44783" w:rsidP="00F44783">
      <w:pPr>
        <w:adjustRightInd w:val="0"/>
        <w:snapToGrid w:val="0"/>
        <w:spacing w:after="0" w:line="240" w:lineRule="auto"/>
        <w:jc w:val="center"/>
        <w:rPr>
          <w:rFonts w:ascii="Times New Roman" w:hAnsi="Times New Roman" w:cs="Times New Roman"/>
          <w:b/>
          <w:lang w:val="en-NZ"/>
        </w:rPr>
      </w:pPr>
      <w:r w:rsidRPr="00D46683">
        <w:rPr>
          <w:rFonts w:ascii="Times New Roman" w:hAnsi="Times New Roman" w:cs="Times New Roman"/>
          <w:b/>
          <w:lang w:val="en-NZ"/>
        </w:rPr>
        <w:t xml:space="preserve">The Commission for the Conservation and Management of </w:t>
      </w:r>
    </w:p>
    <w:p w14:paraId="3F23ED42" w14:textId="77777777" w:rsidR="00F44783" w:rsidRPr="00D46683" w:rsidRDefault="00F44783" w:rsidP="00F44783">
      <w:pPr>
        <w:adjustRightInd w:val="0"/>
        <w:snapToGrid w:val="0"/>
        <w:spacing w:after="0" w:line="240" w:lineRule="auto"/>
        <w:jc w:val="center"/>
        <w:rPr>
          <w:rFonts w:ascii="Times New Roman" w:hAnsi="Times New Roman" w:cs="Times New Roman"/>
          <w:b/>
          <w:lang w:val="en-NZ"/>
        </w:rPr>
      </w:pPr>
      <w:r w:rsidRPr="00D46683">
        <w:rPr>
          <w:rFonts w:ascii="Times New Roman" w:hAnsi="Times New Roman" w:cs="Times New Roman"/>
          <w:b/>
          <w:lang w:val="en-NZ"/>
        </w:rPr>
        <w:t xml:space="preserve">Highly Migratory Fish Stocks in the Western and Central Pacific Ocean </w:t>
      </w:r>
    </w:p>
    <w:p w14:paraId="6051C295" w14:textId="77777777" w:rsidR="00F44783" w:rsidRPr="00D46683" w:rsidRDefault="00F44783" w:rsidP="00F44783">
      <w:pPr>
        <w:adjustRightInd w:val="0"/>
        <w:snapToGrid w:val="0"/>
        <w:spacing w:after="0" w:line="240" w:lineRule="auto"/>
        <w:jc w:val="center"/>
        <w:rPr>
          <w:rFonts w:ascii="Times New Roman" w:hAnsi="Times New Roman" w:cs="Times New Roman"/>
          <w:b/>
          <w:lang w:val="en-NZ"/>
        </w:rPr>
      </w:pPr>
    </w:p>
    <w:p w14:paraId="3BA2C484" w14:textId="77777777" w:rsidR="00F44783" w:rsidRPr="00D46683" w:rsidRDefault="00F44783" w:rsidP="00F44783">
      <w:pPr>
        <w:adjustRightInd w:val="0"/>
        <w:snapToGrid w:val="0"/>
        <w:spacing w:after="0" w:line="240" w:lineRule="auto"/>
        <w:jc w:val="center"/>
        <w:rPr>
          <w:rFonts w:ascii="Times New Roman" w:hAnsi="Times New Roman" w:cs="Times New Roman"/>
          <w:b/>
          <w:lang w:val="en-NZ"/>
        </w:rPr>
      </w:pPr>
    </w:p>
    <w:p w14:paraId="6E59D57D" w14:textId="77777777" w:rsidR="00F44783" w:rsidRPr="00D46683" w:rsidRDefault="00F44783" w:rsidP="00F44783">
      <w:pPr>
        <w:adjustRightInd w:val="0"/>
        <w:snapToGrid w:val="0"/>
        <w:spacing w:after="0" w:line="240" w:lineRule="auto"/>
        <w:jc w:val="center"/>
        <w:rPr>
          <w:rFonts w:ascii="Times New Roman" w:hAnsi="Times New Roman" w:cs="Times New Roman"/>
          <w:b/>
          <w:lang w:val="en-NZ"/>
        </w:rPr>
      </w:pPr>
    </w:p>
    <w:p w14:paraId="07601EF0" w14:textId="77777777" w:rsidR="00F44783" w:rsidRPr="00D46683" w:rsidRDefault="00F44783" w:rsidP="00F44783">
      <w:pPr>
        <w:adjustRightInd w:val="0"/>
        <w:snapToGrid w:val="0"/>
        <w:spacing w:after="0" w:line="240" w:lineRule="auto"/>
        <w:jc w:val="center"/>
        <w:rPr>
          <w:rFonts w:ascii="Times New Roman" w:hAnsi="Times New Roman" w:cs="Times New Roman"/>
          <w:b/>
          <w:caps/>
          <w:lang w:val="en-NZ"/>
        </w:rPr>
      </w:pPr>
      <w:r w:rsidRPr="00D46683">
        <w:rPr>
          <w:rFonts w:ascii="Times New Roman" w:hAnsi="Times New Roman" w:cs="Times New Roman"/>
          <w:b/>
          <w:caps/>
          <w:lang w:val="en-NZ"/>
        </w:rPr>
        <w:t>Scientific Committee</w:t>
      </w:r>
    </w:p>
    <w:p w14:paraId="0D8FA0DA" w14:textId="20774C1F" w:rsidR="00F44783" w:rsidRDefault="00F44783" w:rsidP="00F44783">
      <w:pPr>
        <w:adjustRightInd w:val="0"/>
        <w:snapToGrid w:val="0"/>
        <w:spacing w:after="0" w:line="240" w:lineRule="auto"/>
        <w:jc w:val="center"/>
        <w:rPr>
          <w:rFonts w:ascii="Times New Roman" w:hAnsi="Times New Roman" w:cs="Times New Roman"/>
          <w:b/>
          <w:lang w:val="en-NZ"/>
        </w:rPr>
      </w:pPr>
    </w:p>
    <w:p w14:paraId="1BAFF9C3" w14:textId="77777777" w:rsidR="00D46683" w:rsidRPr="00D46683" w:rsidRDefault="00D46683" w:rsidP="00F44783">
      <w:pPr>
        <w:adjustRightInd w:val="0"/>
        <w:snapToGrid w:val="0"/>
        <w:spacing w:after="0" w:line="240" w:lineRule="auto"/>
        <w:jc w:val="center"/>
        <w:rPr>
          <w:rFonts w:ascii="Times New Roman" w:hAnsi="Times New Roman" w:cs="Times New Roman"/>
          <w:b/>
          <w:lang w:val="en-NZ"/>
        </w:rPr>
      </w:pPr>
    </w:p>
    <w:p w14:paraId="5A1A7F7E" w14:textId="77777777" w:rsidR="00F44783" w:rsidRPr="00D46683" w:rsidRDefault="00F44783" w:rsidP="00F44783">
      <w:pPr>
        <w:adjustRightInd w:val="0"/>
        <w:snapToGrid w:val="0"/>
        <w:spacing w:after="0" w:line="240" w:lineRule="auto"/>
        <w:jc w:val="center"/>
        <w:rPr>
          <w:rFonts w:ascii="Times New Roman" w:hAnsi="Times New Roman" w:cs="Times New Roman"/>
          <w:b/>
          <w:caps/>
          <w:lang w:val="en-NZ"/>
        </w:rPr>
      </w:pPr>
    </w:p>
    <w:p w14:paraId="6E7AC49A" w14:textId="7FCE36E6" w:rsidR="004B05DF" w:rsidRPr="00D46683" w:rsidRDefault="00DC50D2" w:rsidP="004B05DF">
      <w:pPr>
        <w:spacing w:after="0" w:line="240" w:lineRule="auto"/>
        <w:jc w:val="center"/>
        <w:rPr>
          <w:rFonts w:ascii="Times New Roman" w:hAnsi="Times New Roman" w:cs="Times New Roman"/>
          <w:b/>
          <w:sz w:val="28"/>
          <w:szCs w:val="28"/>
        </w:rPr>
      </w:pPr>
      <w:r w:rsidRPr="00D46683">
        <w:rPr>
          <w:rFonts w:ascii="Times New Roman Bold" w:hAnsi="Times New Roman Bold" w:cs="Times New Roman"/>
          <w:b/>
          <w:caps/>
          <w:sz w:val="28"/>
          <w:szCs w:val="28"/>
        </w:rPr>
        <w:t>South</w:t>
      </w:r>
      <w:r w:rsidR="00400113" w:rsidRPr="00D46683">
        <w:rPr>
          <w:rFonts w:ascii="Times New Roman Bold" w:hAnsi="Times New Roman Bold" w:cs="Times New Roman"/>
          <w:b/>
          <w:caps/>
          <w:sz w:val="28"/>
          <w:szCs w:val="28"/>
        </w:rPr>
        <w:t xml:space="preserve"> </w:t>
      </w:r>
      <w:r w:rsidR="003F50D6" w:rsidRPr="00D46683">
        <w:rPr>
          <w:rFonts w:ascii="Times New Roman Bold" w:hAnsi="Times New Roman Bold" w:cs="Times New Roman"/>
          <w:b/>
          <w:caps/>
          <w:sz w:val="28"/>
          <w:szCs w:val="28"/>
        </w:rPr>
        <w:t xml:space="preserve">Pacific </w:t>
      </w:r>
      <w:r w:rsidR="00400113" w:rsidRPr="00D46683">
        <w:rPr>
          <w:rFonts w:ascii="Times New Roman Bold" w:hAnsi="Times New Roman Bold" w:cs="Times New Roman"/>
          <w:b/>
          <w:caps/>
          <w:sz w:val="28"/>
          <w:szCs w:val="28"/>
        </w:rPr>
        <w:t>Swordfish</w:t>
      </w:r>
      <w:r w:rsidR="004B05DF" w:rsidRPr="00D46683">
        <w:rPr>
          <w:rFonts w:ascii="Times New Roman" w:hAnsi="Times New Roman" w:cs="Times New Roman"/>
          <w:b/>
          <w:sz w:val="28"/>
          <w:szCs w:val="28"/>
        </w:rPr>
        <w:t xml:space="preserve"> (</w:t>
      </w:r>
      <w:r w:rsidR="00400113" w:rsidRPr="00D46683">
        <w:rPr>
          <w:rFonts w:ascii="Times New Roman" w:hAnsi="Times New Roman" w:cs="Times New Roman"/>
          <w:b/>
          <w:i/>
          <w:sz w:val="28"/>
          <w:szCs w:val="28"/>
        </w:rPr>
        <w:t>Xiphias gladius</w:t>
      </w:r>
      <w:r w:rsidR="004B05DF" w:rsidRPr="00D46683">
        <w:rPr>
          <w:rFonts w:ascii="Times New Roman" w:hAnsi="Times New Roman" w:cs="Times New Roman"/>
          <w:b/>
          <w:sz w:val="28"/>
          <w:szCs w:val="28"/>
        </w:rPr>
        <w:t>)</w:t>
      </w:r>
    </w:p>
    <w:p w14:paraId="53F6CE40" w14:textId="77777777" w:rsidR="00F44783" w:rsidRPr="00D46683" w:rsidRDefault="00F44783" w:rsidP="004B05DF">
      <w:pPr>
        <w:spacing w:after="0" w:line="240" w:lineRule="auto"/>
        <w:jc w:val="center"/>
        <w:rPr>
          <w:rFonts w:ascii="Times New Roman" w:hAnsi="Times New Roman" w:cs="Times New Roman"/>
          <w:b/>
          <w:sz w:val="28"/>
          <w:szCs w:val="28"/>
        </w:rPr>
      </w:pPr>
    </w:p>
    <w:p w14:paraId="76D54200" w14:textId="73AEBAAE" w:rsidR="004B05DF" w:rsidRPr="00D46683" w:rsidRDefault="004B05DF" w:rsidP="004B05DF">
      <w:pPr>
        <w:spacing w:after="0" w:line="240" w:lineRule="auto"/>
        <w:jc w:val="center"/>
        <w:rPr>
          <w:rFonts w:ascii="Times New Roman" w:hAnsi="Times New Roman" w:cs="Times New Roman"/>
          <w:bCs/>
          <w:caps/>
        </w:rPr>
      </w:pPr>
      <w:r w:rsidRPr="00D46683">
        <w:rPr>
          <w:rFonts w:ascii="Times New Roman" w:hAnsi="Times New Roman" w:cs="Times New Roman"/>
          <w:bCs/>
          <w:caps/>
        </w:rPr>
        <w:t xml:space="preserve">Stock Status </w:t>
      </w:r>
      <w:r w:rsidR="00F44783" w:rsidRPr="00D46683">
        <w:rPr>
          <w:rFonts w:ascii="Times New Roman" w:hAnsi="Times New Roman" w:cs="Times New Roman"/>
          <w:bCs/>
          <w:caps/>
        </w:rPr>
        <w:t>AND</w:t>
      </w:r>
      <w:r w:rsidRPr="00D46683">
        <w:rPr>
          <w:rFonts w:ascii="Times New Roman" w:hAnsi="Times New Roman" w:cs="Times New Roman"/>
          <w:bCs/>
          <w:caps/>
        </w:rPr>
        <w:t xml:space="preserve"> Management Advice</w:t>
      </w:r>
    </w:p>
    <w:p w14:paraId="6E51F627" w14:textId="64FDCE8F" w:rsidR="004B05DF" w:rsidRDefault="004B05DF" w:rsidP="004B05DF">
      <w:pPr>
        <w:spacing w:after="0" w:line="240" w:lineRule="auto"/>
        <w:rPr>
          <w:rFonts w:ascii="Times New Roman" w:hAnsi="Times New Roman" w:cs="Times New Roman"/>
          <w:b/>
        </w:rPr>
      </w:pPr>
    </w:p>
    <w:p w14:paraId="77EA2427" w14:textId="6C79F50F" w:rsidR="00D46683" w:rsidRDefault="00D46683" w:rsidP="004B05DF">
      <w:pPr>
        <w:spacing w:after="0" w:line="240" w:lineRule="auto"/>
        <w:rPr>
          <w:rFonts w:ascii="Times New Roman" w:hAnsi="Times New Roman" w:cs="Times New Roman"/>
          <w:b/>
        </w:rPr>
      </w:pPr>
    </w:p>
    <w:p w14:paraId="1DBB3B42" w14:textId="32DD21BA" w:rsidR="00D46683" w:rsidRDefault="00D46683" w:rsidP="004B05DF">
      <w:pPr>
        <w:spacing w:after="0" w:line="240" w:lineRule="auto"/>
        <w:rPr>
          <w:rFonts w:ascii="Times New Roman" w:hAnsi="Times New Roman" w:cs="Times New Roman"/>
          <w:b/>
        </w:rPr>
      </w:pPr>
    </w:p>
    <w:p w14:paraId="6863B2BC" w14:textId="53CCD227" w:rsidR="00D46683" w:rsidRDefault="00D46683" w:rsidP="004B05DF">
      <w:pPr>
        <w:spacing w:after="0" w:line="240" w:lineRule="auto"/>
        <w:rPr>
          <w:rFonts w:ascii="Times New Roman" w:hAnsi="Times New Roman" w:cs="Times New Roman"/>
          <w:b/>
        </w:rPr>
      </w:pPr>
    </w:p>
    <w:p w14:paraId="73A705AB" w14:textId="699179B7" w:rsidR="00D46683" w:rsidRDefault="00D46683" w:rsidP="004B05DF">
      <w:pPr>
        <w:spacing w:after="0" w:line="240" w:lineRule="auto"/>
        <w:rPr>
          <w:rFonts w:ascii="Times New Roman" w:hAnsi="Times New Roman" w:cs="Times New Roman"/>
          <w:b/>
        </w:rPr>
      </w:pPr>
    </w:p>
    <w:p w14:paraId="0CF7406B" w14:textId="046F01AC" w:rsidR="00D46683" w:rsidRDefault="00D46683" w:rsidP="004B05DF">
      <w:pPr>
        <w:spacing w:after="0" w:line="240" w:lineRule="auto"/>
        <w:rPr>
          <w:rFonts w:ascii="Times New Roman" w:hAnsi="Times New Roman" w:cs="Times New Roman"/>
          <w:b/>
        </w:rPr>
      </w:pPr>
    </w:p>
    <w:p w14:paraId="319FCAD3" w14:textId="5A34C1FD" w:rsidR="00D46683" w:rsidRDefault="00D46683" w:rsidP="004B05DF">
      <w:pPr>
        <w:spacing w:after="0" w:line="240" w:lineRule="auto"/>
        <w:rPr>
          <w:rFonts w:ascii="Times New Roman" w:hAnsi="Times New Roman" w:cs="Times New Roman"/>
          <w:b/>
        </w:rPr>
      </w:pPr>
    </w:p>
    <w:p w14:paraId="3502EFBC" w14:textId="4CB3DD8E" w:rsidR="00D46683" w:rsidRDefault="00D46683" w:rsidP="004B05DF">
      <w:pPr>
        <w:spacing w:after="0" w:line="240" w:lineRule="auto"/>
        <w:rPr>
          <w:rFonts w:ascii="Times New Roman" w:hAnsi="Times New Roman" w:cs="Times New Roman"/>
          <w:b/>
        </w:rPr>
      </w:pPr>
    </w:p>
    <w:p w14:paraId="2B477DC2" w14:textId="70B047E7" w:rsidR="00D46683" w:rsidRDefault="00D46683" w:rsidP="004B05DF">
      <w:pPr>
        <w:spacing w:after="0" w:line="240" w:lineRule="auto"/>
        <w:rPr>
          <w:rFonts w:ascii="Times New Roman" w:hAnsi="Times New Roman" w:cs="Times New Roman"/>
          <w:b/>
        </w:rPr>
      </w:pPr>
    </w:p>
    <w:p w14:paraId="35C34D3F" w14:textId="77777777" w:rsidR="00D46683" w:rsidRPr="00D46683" w:rsidRDefault="00D46683" w:rsidP="004B05DF">
      <w:pPr>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595D359F" w14:textId="77777777" w:rsidR="004B05DF" w:rsidRPr="00D46683" w:rsidRDefault="004B05DF" w:rsidP="00D46683">
          <w:pPr>
            <w:pStyle w:val="TOCHeading"/>
            <w:adjustRightInd w:val="0"/>
            <w:snapToGrid w:val="0"/>
            <w:spacing w:before="0" w:after="240" w:line="240" w:lineRule="auto"/>
            <w:rPr>
              <w:rFonts w:ascii="Times New Roman" w:hAnsi="Times New Roman" w:cs="Times New Roman"/>
            </w:rPr>
          </w:pPr>
          <w:r w:rsidRPr="00D46683">
            <w:rPr>
              <w:rFonts w:ascii="Times New Roman" w:hAnsi="Times New Roman" w:cs="Times New Roman"/>
            </w:rPr>
            <w:t>Contents</w:t>
          </w:r>
        </w:p>
        <w:p w14:paraId="6AA6A29C" w14:textId="4ACC7C99" w:rsidR="000B3805" w:rsidRDefault="004B05DF">
          <w:pPr>
            <w:pStyle w:val="TOC1"/>
            <w:tabs>
              <w:tab w:val="right" w:leader="dot" w:pos="9350"/>
            </w:tabs>
            <w:rPr>
              <w:rFonts w:eastAsiaTheme="minorEastAsia"/>
              <w:noProof/>
            </w:rPr>
          </w:pPr>
          <w:r w:rsidRPr="00D46683">
            <w:rPr>
              <w:rFonts w:ascii="Times New Roman" w:hAnsi="Times New Roman" w:cs="Times New Roman"/>
            </w:rPr>
            <w:fldChar w:fldCharType="begin"/>
          </w:r>
          <w:r w:rsidRPr="00D46683">
            <w:rPr>
              <w:rFonts w:ascii="Times New Roman" w:hAnsi="Times New Roman" w:cs="Times New Roman"/>
            </w:rPr>
            <w:instrText xml:space="preserve"> TOC \o "1-3" \h \z \u </w:instrText>
          </w:r>
          <w:r w:rsidRPr="00D46683">
            <w:rPr>
              <w:rFonts w:ascii="Times New Roman" w:hAnsi="Times New Roman" w:cs="Times New Roman"/>
            </w:rPr>
            <w:fldChar w:fldCharType="separate"/>
          </w:r>
          <w:hyperlink w:anchor="_Toc95983119" w:history="1">
            <w:r w:rsidR="000B3805" w:rsidRPr="007779EA">
              <w:rPr>
                <w:rStyle w:val="Hyperlink"/>
                <w:rFonts w:ascii="Times New Roman" w:hAnsi="Times New Roman" w:cs="Times New Roman"/>
                <w:b/>
                <w:bCs/>
                <w:noProof/>
              </w:rPr>
              <w:t>SC17-2021 (STOCK ASSESSMENT CONDUCTED)</w:t>
            </w:r>
            <w:r w:rsidR="000B3805">
              <w:rPr>
                <w:noProof/>
                <w:webHidden/>
              </w:rPr>
              <w:tab/>
            </w:r>
            <w:r w:rsidR="000B3805">
              <w:rPr>
                <w:noProof/>
                <w:webHidden/>
              </w:rPr>
              <w:fldChar w:fldCharType="begin"/>
            </w:r>
            <w:r w:rsidR="000B3805">
              <w:rPr>
                <w:noProof/>
                <w:webHidden/>
              </w:rPr>
              <w:instrText xml:space="preserve"> PAGEREF _Toc95983119 \h </w:instrText>
            </w:r>
            <w:r w:rsidR="000B3805">
              <w:rPr>
                <w:noProof/>
                <w:webHidden/>
              </w:rPr>
            </w:r>
            <w:r w:rsidR="000B3805">
              <w:rPr>
                <w:noProof/>
                <w:webHidden/>
              </w:rPr>
              <w:fldChar w:fldCharType="separate"/>
            </w:r>
            <w:r w:rsidR="000B3805">
              <w:rPr>
                <w:noProof/>
                <w:webHidden/>
              </w:rPr>
              <w:t>2</w:t>
            </w:r>
            <w:r w:rsidR="000B3805">
              <w:rPr>
                <w:noProof/>
                <w:webHidden/>
              </w:rPr>
              <w:fldChar w:fldCharType="end"/>
            </w:r>
          </w:hyperlink>
        </w:p>
        <w:p w14:paraId="15B9193C" w14:textId="7F21A2C6" w:rsidR="000B3805" w:rsidRDefault="00C825DD">
          <w:pPr>
            <w:pStyle w:val="TOC1"/>
            <w:tabs>
              <w:tab w:val="right" w:leader="dot" w:pos="9350"/>
            </w:tabs>
            <w:rPr>
              <w:rFonts w:eastAsiaTheme="minorEastAsia"/>
              <w:noProof/>
            </w:rPr>
          </w:pPr>
          <w:hyperlink w:anchor="_Toc95983120" w:history="1">
            <w:r w:rsidR="000B3805" w:rsidRPr="007779EA">
              <w:rPr>
                <w:rStyle w:val="Hyperlink"/>
                <w:rFonts w:ascii="Times New Roman" w:hAnsi="Times New Roman" w:cs="Times New Roman"/>
                <w:b/>
                <w:bCs/>
                <w:noProof/>
              </w:rPr>
              <w:t>SC16-2020 (NO STOCK ASSESSMENT)</w:t>
            </w:r>
            <w:r w:rsidR="000B3805">
              <w:rPr>
                <w:noProof/>
                <w:webHidden/>
              </w:rPr>
              <w:tab/>
            </w:r>
            <w:r w:rsidR="000B3805">
              <w:rPr>
                <w:noProof/>
                <w:webHidden/>
              </w:rPr>
              <w:fldChar w:fldCharType="begin"/>
            </w:r>
            <w:r w:rsidR="000B3805">
              <w:rPr>
                <w:noProof/>
                <w:webHidden/>
              </w:rPr>
              <w:instrText xml:space="preserve"> PAGEREF _Toc95983120 \h </w:instrText>
            </w:r>
            <w:r w:rsidR="000B3805">
              <w:rPr>
                <w:noProof/>
                <w:webHidden/>
              </w:rPr>
            </w:r>
            <w:r w:rsidR="000B3805">
              <w:rPr>
                <w:noProof/>
                <w:webHidden/>
              </w:rPr>
              <w:fldChar w:fldCharType="separate"/>
            </w:r>
            <w:r w:rsidR="000B3805">
              <w:rPr>
                <w:noProof/>
                <w:webHidden/>
              </w:rPr>
              <w:t>9</w:t>
            </w:r>
            <w:r w:rsidR="000B3805">
              <w:rPr>
                <w:noProof/>
                <w:webHidden/>
              </w:rPr>
              <w:fldChar w:fldCharType="end"/>
            </w:r>
          </w:hyperlink>
        </w:p>
        <w:p w14:paraId="7909CF1C" w14:textId="1D50E77C" w:rsidR="000B3805" w:rsidRDefault="00C825DD">
          <w:pPr>
            <w:pStyle w:val="TOC1"/>
            <w:tabs>
              <w:tab w:val="right" w:leader="dot" w:pos="9350"/>
            </w:tabs>
            <w:rPr>
              <w:rFonts w:eastAsiaTheme="minorEastAsia"/>
              <w:noProof/>
            </w:rPr>
          </w:pPr>
          <w:hyperlink w:anchor="_Toc95983121" w:history="1">
            <w:r w:rsidR="000B3805" w:rsidRPr="007779EA">
              <w:rPr>
                <w:rStyle w:val="Hyperlink"/>
                <w:rFonts w:ascii="Times New Roman" w:hAnsi="Times New Roman" w:cs="Times New Roman"/>
                <w:b/>
                <w:bCs/>
                <w:noProof/>
              </w:rPr>
              <w:t>SC15-2019 (NO STOCK ASSESSMENT)</w:t>
            </w:r>
            <w:r w:rsidR="000B3805">
              <w:rPr>
                <w:noProof/>
                <w:webHidden/>
              </w:rPr>
              <w:tab/>
            </w:r>
            <w:r w:rsidR="000B3805">
              <w:rPr>
                <w:noProof/>
                <w:webHidden/>
              </w:rPr>
              <w:fldChar w:fldCharType="begin"/>
            </w:r>
            <w:r w:rsidR="000B3805">
              <w:rPr>
                <w:noProof/>
                <w:webHidden/>
              </w:rPr>
              <w:instrText xml:space="preserve"> PAGEREF _Toc95983121 \h </w:instrText>
            </w:r>
            <w:r w:rsidR="000B3805">
              <w:rPr>
                <w:noProof/>
                <w:webHidden/>
              </w:rPr>
            </w:r>
            <w:r w:rsidR="000B3805">
              <w:rPr>
                <w:noProof/>
                <w:webHidden/>
              </w:rPr>
              <w:fldChar w:fldCharType="separate"/>
            </w:r>
            <w:r w:rsidR="000B3805">
              <w:rPr>
                <w:noProof/>
                <w:webHidden/>
              </w:rPr>
              <w:t>9</w:t>
            </w:r>
            <w:r w:rsidR="000B3805">
              <w:rPr>
                <w:noProof/>
                <w:webHidden/>
              </w:rPr>
              <w:fldChar w:fldCharType="end"/>
            </w:r>
          </w:hyperlink>
        </w:p>
        <w:p w14:paraId="085B6DD8" w14:textId="57072474" w:rsidR="000B3805" w:rsidRDefault="00C825DD">
          <w:pPr>
            <w:pStyle w:val="TOC1"/>
            <w:tabs>
              <w:tab w:val="right" w:leader="dot" w:pos="9350"/>
            </w:tabs>
            <w:rPr>
              <w:rFonts w:eastAsiaTheme="minorEastAsia"/>
              <w:noProof/>
            </w:rPr>
          </w:pPr>
          <w:hyperlink w:anchor="_Toc95983122" w:history="1">
            <w:r w:rsidR="000B3805" w:rsidRPr="007779EA">
              <w:rPr>
                <w:rStyle w:val="Hyperlink"/>
                <w:rFonts w:ascii="Times New Roman" w:hAnsi="Times New Roman" w:cs="Times New Roman"/>
                <w:b/>
                <w:bCs/>
                <w:noProof/>
              </w:rPr>
              <w:t>SC14-2018 (NO STOCK ASSESSMENT)</w:t>
            </w:r>
            <w:r w:rsidR="000B3805">
              <w:rPr>
                <w:noProof/>
                <w:webHidden/>
              </w:rPr>
              <w:tab/>
            </w:r>
            <w:r w:rsidR="000B3805">
              <w:rPr>
                <w:noProof/>
                <w:webHidden/>
              </w:rPr>
              <w:fldChar w:fldCharType="begin"/>
            </w:r>
            <w:r w:rsidR="000B3805">
              <w:rPr>
                <w:noProof/>
                <w:webHidden/>
              </w:rPr>
              <w:instrText xml:space="preserve"> PAGEREF _Toc95983122 \h </w:instrText>
            </w:r>
            <w:r w:rsidR="000B3805">
              <w:rPr>
                <w:noProof/>
                <w:webHidden/>
              </w:rPr>
            </w:r>
            <w:r w:rsidR="000B3805">
              <w:rPr>
                <w:noProof/>
                <w:webHidden/>
              </w:rPr>
              <w:fldChar w:fldCharType="separate"/>
            </w:r>
            <w:r w:rsidR="000B3805">
              <w:rPr>
                <w:noProof/>
                <w:webHidden/>
              </w:rPr>
              <w:t>10</w:t>
            </w:r>
            <w:r w:rsidR="000B3805">
              <w:rPr>
                <w:noProof/>
                <w:webHidden/>
              </w:rPr>
              <w:fldChar w:fldCharType="end"/>
            </w:r>
          </w:hyperlink>
        </w:p>
        <w:p w14:paraId="3691B6EF" w14:textId="525683EB" w:rsidR="000B3805" w:rsidRDefault="00C825DD">
          <w:pPr>
            <w:pStyle w:val="TOC1"/>
            <w:tabs>
              <w:tab w:val="right" w:leader="dot" w:pos="9350"/>
            </w:tabs>
            <w:rPr>
              <w:rFonts w:eastAsiaTheme="minorEastAsia"/>
              <w:noProof/>
            </w:rPr>
          </w:pPr>
          <w:hyperlink w:anchor="_Toc95983123" w:history="1">
            <w:r w:rsidR="000B3805" w:rsidRPr="007779EA">
              <w:rPr>
                <w:rStyle w:val="Hyperlink"/>
                <w:rFonts w:ascii="Times New Roman Bold" w:hAnsi="Times New Roman Bold" w:cs="Times New Roman"/>
                <w:b/>
                <w:caps/>
                <w:noProof/>
              </w:rPr>
              <w:t>SC13-2017 (Stock Assessment Conducted)</w:t>
            </w:r>
            <w:r w:rsidR="000B3805">
              <w:rPr>
                <w:noProof/>
                <w:webHidden/>
              </w:rPr>
              <w:tab/>
            </w:r>
            <w:r w:rsidR="000B3805">
              <w:rPr>
                <w:noProof/>
                <w:webHidden/>
              </w:rPr>
              <w:fldChar w:fldCharType="begin"/>
            </w:r>
            <w:r w:rsidR="000B3805">
              <w:rPr>
                <w:noProof/>
                <w:webHidden/>
              </w:rPr>
              <w:instrText xml:space="preserve"> PAGEREF _Toc95983123 \h </w:instrText>
            </w:r>
            <w:r w:rsidR="000B3805">
              <w:rPr>
                <w:noProof/>
                <w:webHidden/>
              </w:rPr>
            </w:r>
            <w:r w:rsidR="000B3805">
              <w:rPr>
                <w:noProof/>
                <w:webHidden/>
              </w:rPr>
              <w:fldChar w:fldCharType="separate"/>
            </w:r>
            <w:r w:rsidR="000B3805">
              <w:rPr>
                <w:noProof/>
                <w:webHidden/>
              </w:rPr>
              <w:t>10</w:t>
            </w:r>
            <w:r w:rsidR="000B3805">
              <w:rPr>
                <w:noProof/>
                <w:webHidden/>
              </w:rPr>
              <w:fldChar w:fldCharType="end"/>
            </w:r>
          </w:hyperlink>
        </w:p>
        <w:p w14:paraId="0F23C2E6" w14:textId="4D499D59" w:rsidR="000B3805" w:rsidRDefault="00C825DD">
          <w:pPr>
            <w:pStyle w:val="TOC1"/>
            <w:tabs>
              <w:tab w:val="right" w:leader="dot" w:pos="9350"/>
            </w:tabs>
            <w:rPr>
              <w:rFonts w:eastAsiaTheme="minorEastAsia"/>
              <w:noProof/>
            </w:rPr>
          </w:pPr>
          <w:hyperlink w:anchor="_Toc95983124" w:history="1">
            <w:r w:rsidR="000B3805" w:rsidRPr="007779EA">
              <w:rPr>
                <w:rStyle w:val="Hyperlink"/>
                <w:rFonts w:ascii="Times New Roman" w:eastAsia="MS Mincho" w:hAnsi="Times New Roman" w:cs="Times New Roman"/>
                <w:b/>
                <w:caps/>
                <w:noProof/>
                <w:lang w:val="en-NZ" w:eastAsia="en-NZ"/>
              </w:rPr>
              <w:t>Useful References</w:t>
            </w:r>
            <w:r w:rsidR="000B3805">
              <w:rPr>
                <w:noProof/>
                <w:webHidden/>
              </w:rPr>
              <w:tab/>
            </w:r>
            <w:r w:rsidR="000B3805">
              <w:rPr>
                <w:noProof/>
                <w:webHidden/>
              </w:rPr>
              <w:fldChar w:fldCharType="begin"/>
            </w:r>
            <w:r w:rsidR="000B3805">
              <w:rPr>
                <w:noProof/>
                <w:webHidden/>
              </w:rPr>
              <w:instrText xml:space="preserve"> PAGEREF _Toc95983124 \h </w:instrText>
            </w:r>
            <w:r w:rsidR="000B3805">
              <w:rPr>
                <w:noProof/>
                <w:webHidden/>
              </w:rPr>
            </w:r>
            <w:r w:rsidR="000B3805">
              <w:rPr>
                <w:noProof/>
                <w:webHidden/>
              </w:rPr>
              <w:fldChar w:fldCharType="separate"/>
            </w:r>
            <w:r w:rsidR="000B3805">
              <w:rPr>
                <w:noProof/>
                <w:webHidden/>
              </w:rPr>
              <w:t>17</w:t>
            </w:r>
            <w:r w:rsidR="000B3805">
              <w:rPr>
                <w:noProof/>
                <w:webHidden/>
              </w:rPr>
              <w:fldChar w:fldCharType="end"/>
            </w:r>
          </w:hyperlink>
        </w:p>
        <w:p w14:paraId="69F89D63" w14:textId="3AB8AC5F" w:rsidR="000B3805" w:rsidRDefault="00C825DD">
          <w:pPr>
            <w:pStyle w:val="TOC1"/>
            <w:tabs>
              <w:tab w:val="right" w:leader="dot" w:pos="9350"/>
            </w:tabs>
            <w:rPr>
              <w:rFonts w:eastAsiaTheme="minorEastAsia"/>
              <w:noProof/>
            </w:rPr>
          </w:pPr>
          <w:hyperlink w:anchor="_Toc95983125" w:history="1">
            <w:r w:rsidR="000B3805" w:rsidRPr="007779EA">
              <w:rPr>
                <w:rStyle w:val="Hyperlink"/>
                <w:rFonts w:ascii="Times New Roman" w:eastAsia="MS Mincho" w:hAnsi="Times New Roman" w:cs="Times New Roman"/>
                <w:b/>
                <w:caps/>
                <w:noProof/>
                <w:lang w:val="en-NZ" w:eastAsia="en-NZ"/>
              </w:rPr>
              <w:t>Previous Assessments</w:t>
            </w:r>
            <w:r w:rsidR="000B3805">
              <w:rPr>
                <w:noProof/>
                <w:webHidden/>
              </w:rPr>
              <w:tab/>
            </w:r>
            <w:r w:rsidR="000B3805">
              <w:rPr>
                <w:noProof/>
                <w:webHidden/>
              </w:rPr>
              <w:fldChar w:fldCharType="begin"/>
            </w:r>
            <w:r w:rsidR="000B3805">
              <w:rPr>
                <w:noProof/>
                <w:webHidden/>
              </w:rPr>
              <w:instrText xml:space="preserve"> PAGEREF _Toc95983125 \h </w:instrText>
            </w:r>
            <w:r w:rsidR="000B3805">
              <w:rPr>
                <w:noProof/>
                <w:webHidden/>
              </w:rPr>
            </w:r>
            <w:r w:rsidR="000B3805">
              <w:rPr>
                <w:noProof/>
                <w:webHidden/>
              </w:rPr>
              <w:fldChar w:fldCharType="separate"/>
            </w:r>
            <w:r w:rsidR="000B3805">
              <w:rPr>
                <w:noProof/>
                <w:webHidden/>
              </w:rPr>
              <w:t>17</w:t>
            </w:r>
            <w:r w:rsidR="000B3805">
              <w:rPr>
                <w:noProof/>
                <w:webHidden/>
              </w:rPr>
              <w:fldChar w:fldCharType="end"/>
            </w:r>
          </w:hyperlink>
        </w:p>
        <w:p w14:paraId="52CC2934" w14:textId="01BAC2C6" w:rsidR="004B05DF" w:rsidRPr="00D46683" w:rsidRDefault="004B05DF" w:rsidP="00D46683">
          <w:pPr>
            <w:adjustRightInd w:val="0"/>
            <w:snapToGrid w:val="0"/>
            <w:spacing w:after="240" w:line="240" w:lineRule="auto"/>
            <w:rPr>
              <w:rFonts w:ascii="Times New Roman" w:hAnsi="Times New Roman" w:cs="Times New Roman"/>
            </w:rPr>
          </w:pPr>
          <w:r w:rsidRPr="00D46683">
            <w:rPr>
              <w:rFonts w:ascii="Times New Roman" w:hAnsi="Times New Roman" w:cs="Times New Roman"/>
              <w:b/>
              <w:bCs/>
              <w:noProof/>
            </w:rPr>
            <w:fldChar w:fldCharType="end"/>
          </w:r>
        </w:p>
      </w:sdtContent>
    </w:sdt>
    <w:p w14:paraId="5C470069" w14:textId="77777777" w:rsidR="00F44783" w:rsidRPr="00D46683" w:rsidRDefault="00F44783">
      <w:pPr>
        <w:rPr>
          <w:rFonts w:ascii="Times New Roman" w:eastAsiaTheme="majorEastAsia" w:hAnsi="Times New Roman" w:cs="Times New Roman"/>
          <w:color w:val="2F5496" w:themeColor="accent1" w:themeShade="BF"/>
          <w:sz w:val="32"/>
          <w:szCs w:val="32"/>
        </w:rPr>
      </w:pPr>
      <w:r w:rsidRPr="00D46683">
        <w:rPr>
          <w:rFonts w:ascii="Times New Roman" w:hAnsi="Times New Roman" w:cs="Times New Roman"/>
        </w:rPr>
        <w:br w:type="page"/>
      </w:r>
    </w:p>
    <w:p w14:paraId="764A7F2A" w14:textId="0B8E180E" w:rsidR="00AD090D" w:rsidRDefault="00AD090D" w:rsidP="004B4A19">
      <w:pPr>
        <w:pStyle w:val="Heading1"/>
        <w:adjustRightInd w:val="0"/>
        <w:spacing w:before="0" w:line="240" w:lineRule="auto"/>
        <w:rPr>
          <w:rFonts w:ascii="Times New Roman" w:hAnsi="Times New Roman" w:cs="Times New Roman"/>
          <w:b/>
          <w:bCs/>
          <w:sz w:val="28"/>
          <w:szCs w:val="28"/>
        </w:rPr>
      </w:pPr>
      <w:bookmarkStart w:id="0" w:name="_Toc95983119"/>
      <w:r w:rsidRPr="00D46683">
        <w:rPr>
          <w:rFonts w:ascii="Times New Roman" w:hAnsi="Times New Roman" w:cs="Times New Roman"/>
          <w:b/>
          <w:bCs/>
          <w:sz w:val="28"/>
          <w:szCs w:val="28"/>
        </w:rPr>
        <w:lastRenderedPageBreak/>
        <w:t>SC1</w:t>
      </w:r>
      <w:r>
        <w:rPr>
          <w:rFonts w:ascii="Times New Roman" w:hAnsi="Times New Roman" w:cs="Times New Roman"/>
          <w:b/>
          <w:bCs/>
          <w:sz w:val="28"/>
          <w:szCs w:val="28"/>
        </w:rPr>
        <w:t>7</w:t>
      </w:r>
      <w:r w:rsidR="000B3805">
        <w:rPr>
          <w:rFonts w:ascii="Times New Roman" w:hAnsi="Times New Roman" w:cs="Times New Roman"/>
          <w:b/>
          <w:bCs/>
          <w:sz w:val="28"/>
          <w:szCs w:val="28"/>
        </w:rPr>
        <w:t>-</w:t>
      </w:r>
      <w:r w:rsidRPr="00D46683">
        <w:rPr>
          <w:rFonts w:ascii="Times New Roman" w:hAnsi="Times New Roman" w:cs="Times New Roman"/>
          <w:b/>
          <w:bCs/>
          <w:sz w:val="28"/>
          <w:szCs w:val="28"/>
        </w:rPr>
        <w:t>20</w:t>
      </w:r>
      <w:r>
        <w:rPr>
          <w:rFonts w:ascii="Times New Roman" w:hAnsi="Times New Roman" w:cs="Times New Roman"/>
          <w:b/>
          <w:bCs/>
          <w:sz w:val="28"/>
          <w:szCs w:val="28"/>
        </w:rPr>
        <w:t>21</w:t>
      </w:r>
      <w:r w:rsidRPr="00D46683">
        <w:rPr>
          <w:rFonts w:ascii="Times New Roman" w:hAnsi="Times New Roman" w:cs="Times New Roman"/>
          <w:b/>
          <w:bCs/>
          <w:sz w:val="28"/>
          <w:szCs w:val="28"/>
        </w:rPr>
        <w:t xml:space="preserve"> (STOCK ASSESSMENT</w:t>
      </w:r>
      <w:r>
        <w:rPr>
          <w:rFonts w:ascii="Times New Roman" w:hAnsi="Times New Roman" w:cs="Times New Roman"/>
          <w:b/>
          <w:bCs/>
          <w:sz w:val="28"/>
          <w:szCs w:val="28"/>
        </w:rPr>
        <w:t xml:space="preserve"> CONDUCTED</w:t>
      </w:r>
      <w:r w:rsidRPr="00D46683">
        <w:rPr>
          <w:rFonts w:ascii="Times New Roman" w:hAnsi="Times New Roman" w:cs="Times New Roman"/>
          <w:b/>
          <w:bCs/>
          <w:sz w:val="28"/>
          <w:szCs w:val="28"/>
        </w:rPr>
        <w:t>)</w:t>
      </w:r>
      <w:bookmarkEnd w:id="0"/>
    </w:p>
    <w:p w14:paraId="45487BD6" w14:textId="6BE8ADBE" w:rsidR="00AD090D" w:rsidRPr="000B3805" w:rsidRDefault="00AD090D" w:rsidP="00AD090D">
      <w:pPr>
        <w:spacing w:after="0" w:line="240" w:lineRule="auto"/>
        <w:rPr>
          <w:rFonts w:ascii="Times New Roman" w:hAnsi="Times New Roman" w:cs="Times New Roman"/>
        </w:rPr>
      </w:pPr>
    </w:p>
    <w:p w14:paraId="585E3813" w14:textId="584F1BC9" w:rsidR="00AD090D" w:rsidRPr="000B3805" w:rsidRDefault="00AD090D" w:rsidP="00AD090D">
      <w:pPr>
        <w:pStyle w:val="ListParagraph"/>
        <w:numPr>
          <w:ilvl w:val="0"/>
          <w:numId w:val="19"/>
        </w:numPr>
        <w:rPr>
          <w:rFonts w:ascii="Times New Roman" w:hAnsi="Times New Roman"/>
        </w:rPr>
      </w:pPr>
      <w:r w:rsidRPr="000B3805">
        <w:rPr>
          <w:rFonts w:ascii="Times New Roman" w:hAnsi="Times New Roman"/>
        </w:rPr>
        <w:t xml:space="preserve">SC17 accepted </w:t>
      </w:r>
      <w:r w:rsidRPr="000B3805">
        <w:rPr>
          <w:rFonts w:ascii="Times New Roman" w:hAnsi="Times New Roman"/>
          <w:bCs/>
        </w:rPr>
        <w:t>SC17-SA-WP-04</w:t>
      </w:r>
      <w:r w:rsidRPr="000B3805">
        <w:rPr>
          <w:rFonts w:ascii="Times New Roman" w:hAnsi="Times New Roman"/>
        </w:rPr>
        <w:t xml:space="preserve"> </w:t>
      </w:r>
      <w:r w:rsidRPr="000B3805">
        <w:rPr>
          <w:rFonts w:ascii="Times New Roman" w:hAnsi="Times New Roman"/>
          <w:bCs/>
          <w:iCs/>
        </w:rPr>
        <w:t>(</w:t>
      </w:r>
      <w:r w:rsidRPr="000B3805">
        <w:rPr>
          <w:rFonts w:ascii="Times New Roman" w:hAnsi="Times New Roman"/>
          <w:bCs/>
          <w:i/>
        </w:rPr>
        <w:t>Stock assessment of Southwest Pacific swordfish</w:t>
      </w:r>
      <w:r w:rsidRPr="000B3805">
        <w:rPr>
          <w:rFonts w:ascii="Times New Roman" w:hAnsi="Times New Roman"/>
          <w:bCs/>
          <w:iCs/>
        </w:rPr>
        <w:t>)</w:t>
      </w:r>
      <w:r w:rsidRPr="000B3805">
        <w:rPr>
          <w:rFonts w:ascii="Times New Roman" w:hAnsi="Times New Roman"/>
          <w:bCs/>
        </w:rPr>
        <w:t xml:space="preserve">, </w:t>
      </w:r>
      <w:r w:rsidRPr="000B3805">
        <w:rPr>
          <w:rFonts w:ascii="Times New Roman" w:hAnsi="Times New Roman"/>
        </w:rPr>
        <w:t>providing the best available scientific information for the purpose of stock assessment determination.</w:t>
      </w:r>
    </w:p>
    <w:p w14:paraId="51536BB7" w14:textId="4DB79F04" w:rsidR="00AD090D" w:rsidRPr="000B3805" w:rsidRDefault="00AD090D" w:rsidP="00AD090D">
      <w:pPr>
        <w:spacing w:after="0" w:line="240" w:lineRule="auto"/>
        <w:rPr>
          <w:rFonts w:ascii="Times New Roman" w:hAnsi="Times New Roman" w:cs="Times New Roman"/>
        </w:rPr>
      </w:pPr>
    </w:p>
    <w:p w14:paraId="2FBBC601" w14:textId="789B84E2" w:rsidR="00AD090D" w:rsidRPr="000B3805" w:rsidRDefault="00AD090D" w:rsidP="00307A7F">
      <w:pPr>
        <w:pStyle w:val="ListParagraph"/>
        <w:numPr>
          <w:ilvl w:val="0"/>
          <w:numId w:val="23"/>
        </w:numPr>
        <w:kinsoku w:val="0"/>
        <w:overflowPunct w:val="0"/>
        <w:autoSpaceDE w:val="0"/>
        <w:autoSpaceDN w:val="0"/>
        <w:adjustRightInd w:val="0"/>
        <w:snapToGrid w:val="0"/>
        <w:contextualSpacing w:val="0"/>
        <w:rPr>
          <w:rFonts w:ascii="Times New Roman" w:eastAsia="Batang" w:hAnsi="Times New Roman"/>
          <w:b/>
          <w:bCs/>
          <w:lang w:val="en-AU" w:eastAsia="ko-KR"/>
        </w:rPr>
      </w:pPr>
      <w:r w:rsidRPr="000B3805">
        <w:rPr>
          <w:rFonts w:ascii="Times New Roman" w:eastAsia="Batang" w:hAnsi="Times New Roman"/>
          <w:b/>
          <w:bCs/>
          <w:lang w:val="en-AU" w:eastAsia="ko-KR"/>
        </w:rPr>
        <w:t xml:space="preserve">Stock status and trends </w:t>
      </w:r>
    </w:p>
    <w:p w14:paraId="51A7E296" w14:textId="77777777" w:rsidR="00AD090D" w:rsidRPr="000B3805" w:rsidRDefault="00AD090D" w:rsidP="00307A7F">
      <w:pPr>
        <w:kinsoku w:val="0"/>
        <w:overflowPunct w:val="0"/>
        <w:autoSpaceDE w:val="0"/>
        <w:autoSpaceDN w:val="0"/>
        <w:adjustRightInd w:val="0"/>
        <w:snapToGrid w:val="0"/>
        <w:spacing w:after="0" w:line="240" w:lineRule="auto"/>
        <w:ind w:left="360"/>
        <w:jc w:val="both"/>
        <w:rPr>
          <w:rFonts w:ascii="Times New Roman" w:eastAsia="Batang" w:hAnsi="Times New Roman" w:cs="Times New Roman"/>
          <w:lang w:val="en-AU" w:eastAsia="ko-KR"/>
        </w:rPr>
      </w:pPr>
    </w:p>
    <w:p w14:paraId="30AC869C" w14:textId="77777777" w:rsidR="00AD090D" w:rsidRPr="000B3805" w:rsidRDefault="00AD090D" w:rsidP="00307A7F">
      <w:pPr>
        <w:pStyle w:val="WCPFC"/>
      </w:pPr>
      <w:r w:rsidRPr="000B3805">
        <w:t>The median values of relative latest (2019) spawning potential depletion (SB</w:t>
      </w:r>
      <w:r w:rsidRPr="000B3805">
        <w:rPr>
          <w:vertAlign w:val="subscript"/>
        </w:rPr>
        <w:t>latest</w:t>
      </w:r>
      <w:r w:rsidRPr="000B3805">
        <w:t>/ SB</w:t>
      </w:r>
      <w:r w:rsidRPr="000B3805">
        <w:rPr>
          <w:vertAlign w:val="subscript"/>
        </w:rPr>
        <w:t>F=0</w:t>
      </w:r>
      <w:r w:rsidRPr="000B3805">
        <w:t>), spawning potential relative to MSY (SB</w:t>
      </w:r>
      <w:r w:rsidRPr="000B3805">
        <w:rPr>
          <w:vertAlign w:val="subscript"/>
        </w:rPr>
        <w:t>latest</w:t>
      </w:r>
      <w:r w:rsidRPr="000B3805">
        <w:t>/ SB</w:t>
      </w:r>
      <w:r w:rsidRPr="000B3805">
        <w:rPr>
          <w:vertAlign w:val="subscript"/>
        </w:rPr>
        <w:t>MSY</w:t>
      </w:r>
      <w:r w:rsidRPr="000B3805">
        <w:t>) and relative recent (2015-2018) fishing mortality (F</w:t>
      </w:r>
      <w:r w:rsidRPr="000B3805">
        <w:rPr>
          <w:vertAlign w:val="subscript"/>
        </w:rPr>
        <w:t>recent</w:t>
      </w:r>
      <w:r w:rsidRPr="000B3805">
        <w:t>/F</w:t>
      </w:r>
      <w:r w:rsidRPr="000B3805">
        <w:rPr>
          <w:vertAlign w:val="subscript"/>
        </w:rPr>
        <w:t>MSY</w:t>
      </w:r>
      <w:r w:rsidRPr="000B3805">
        <w:t>) over the 25-model ensemble (Table SWO-03) were used to define Southwest Pacific swordfish stock status. The values of the upper 90</w:t>
      </w:r>
      <w:r w:rsidRPr="000B3805">
        <w:rPr>
          <w:vertAlign w:val="superscript"/>
        </w:rPr>
        <w:t>th</w:t>
      </w:r>
      <w:r w:rsidRPr="000B3805">
        <w:t xml:space="preserve"> and lower 10</w:t>
      </w:r>
      <w:r w:rsidRPr="000B3805">
        <w:rPr>
          <w:vertAlign w:val="superscript"/>
        </w:rPr>
        <w:t>th</w:t>
      </w:r>
      <w:r w:rsidRPr="000B3805">
        <w:t xml:space="preserve"> percentiles of the empirical distributions of relative spawning potential depletion, spawning potential relative to MSY and relative fishing mortality from the uncertainty ensemble (that included both structure and estimation uncertainty) were used to characterize the probable range of stock status.</w:t>
      </w:r>
    </w:p>
    <w:p w14:paraId="6634F32F"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A description of the model ensemble used to characterize uncertainty in the assessment is illustrated in Tables SWO-01 and SWO-02. Table SWO-03 shows reference points for Southwest Pacific swordfish, including the median values of relative ‘latest’ (2019) spawning biomass depletion (SB</w:t>
      </w:r>
      <w:r w:rsidRPr="000B3805">
        <w:rPr>
          <w:color w:val="auto"/>
          <w:sz w:val="22"/>
          <w:szCs w:val="22"/>
          <w:vertAlign w:val="subscript"/>
        </w:rPr>
        <w:t>latest</w:t>
      </w:r>
      <w:r w:rsidRPr="000B3805">
        <w:rPr>
          <w:color w:val="auto"/>
          <w:sz w:val="22"/>
          <w:szCs w:val="22"/>
        </w:rPr>
        <w:t>/SB</w:t>
      </w:r>
      <w:r w:rsidRPr="000B3805">
        <w:rPr>
          <w:color w:val="auto"/>
          <w:sz w:val="22"/>
          <w:szCs w:val="22"/>
          <w:vertAlign w:val="subscript"/>
        </w:rPr>
        <w:t>F=0</w:t>
      </w:r>
      <w:r w:rsidRPr="000B3805">
        <w:rPr>
          <w:color w:val="auto"/>
          <w:sz w:val="22"/>
          <w:szCs w:val="22"/>
        </w:rPr>
        <w:t>), spawning potential relative to spawning potential at MSY (SB</w:t>
      </w:r>
      <w:r w:rsidRPr="000B3805">
        <w:rPr>
          <w:color w:val="auto"/>
          <w:sz w:val="22"/>
          <w:szCs w:val="22"/>
          <w:vertAlign w:val="subscript"/>
        </w:rPr>
        <w:t>latest</w:t>
      </w:r>
      <w:r w:rsidRPr="000B3805">
        <w:rPr>
          <w:color w:val="auto"/>
          <w:sz w:val="22"/>
          <w:szCs w:val="22"/>
        </w:rPr>
        <w:t>/SB</w:t>
      </w:r>
      <w:r w:rsidRPr="000B3805">
        <w:rPr>
          <w:color w:val="auto"/>
          <w:sz w:val="22"/>
          <w:szCs w:val="22"/>
          <w:vertAlign w:val="subscript"/>
        </w:rPr>
        <w:t>MSY</w:t>
      </w:r>
      <w:r w:rsidRPr="000B3805">
        <w:rPr>
          <w:color w:val="auto"/>
          <w:sz w:val="22"/>
          <w:szCs w:val="22"/>
        </w:rPr>
        <w:t>), and relative recent (2015-2018) fishing mortality (F</w:t>
      </w:r>
      <w:r w:rsidRPr="000B3805">
        <w:rPr>
          <w:color w:val="auto"/>
          <w:sz w:val="22"/>
          <w:szCs w:val="22"/>
          <w:vertAlign w:val="subscript"/>
        </w:rPr>
        <w:t>recent</w:t>
      </w:r>
      <w:r w:rsidRPr="000B3805">
        <w:rPr>
          <w:color w:val="auto"/>
          <w:sz w:val="22"/>
          <w:szCs w:val="22"/>
        </w:rPr>
        <w:t>/F</w:t>
      </w:r>
      <w:r w:rsidRPr="000B3805">
        <w:rPr>
          <w:color w:val="auto"/>
          <w:sz w:val="22"/>
          <w:szCs w:val="22"/>
          <w:vertAlign w:val="subscript"/>
        </w:rPr>
        <w:t>MSY</w:t>
      </w:r>
      <w:r w:rsidRPr="000B3805">
        <w:rPr>
          <w:color w:val="auto"/>
          <w:sz w:val="22"/>
          <w:szCs w:val="22"/>
        </w:rPr>
        <w:t>) over the final 25-model ensemble used to define stock status. These values present a more holistic view of uncertainty, accounting for both model (structural) and estimation (statistical) uncertainty.</w:t>
      </w:r>
    </w:p>
    <w:p w14:paraId="18624CF6" w14:textId="77777777" w:rsidR="00AD090D" w:rsidRPr="000B3805" w:rsidRDefault="00AD090D" w:rsidP="00307A7F">
      <w:pPr>
        <w:pStyle w:val="ListParagraph"/>
        <w:adjustRightInd w:val="0"/>
        <w:snapToGrid w:val="0"/>
        <w:rPr>
          <w:rFonts w:ascii="Times New Roman" w:hAnsi="Times New Roman"/>
          <w:lang w:eastAsia="en-NZ"/>
        </w:rPr>
      </w:pPr>
    </w:p>
    <w:p w14:paraId="0E2F28A6"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The spatial structure used in the 2021 stock assessment is shown in Figure SWO-01. Time series of total annual catch by fishing gear over the full assessment period and by regions is shown in Figure SWO-02. Estimated annual average recruitment, spawning potential, and total biomass by model region for the diagnostic case model are shown in Figure SWO-03. Estimated trends in fishing mortality rates by age and region from the diagnostic model are shown in Figure SWO-04. Time-dynamic median and percentiles of depletion (SB</w:t>
      </w:r>
      <w:r w:rsidRPr="000B3805">
        <w:rPr>
          <w:color w:val="auto"/>
          <w:sz w:val="22"/>
          <w:szCs w:val="22"/>
          <w:vertAlign w:val="subscript"/>
        </w:rPr>
        <w:t>t</w:t>
      </w:r>
      <w:r w:rsidRPr="000B3805">
        <w:rPr>
          <w:color w:val="auto"/>
          <w:sz w:val="22"/>
          <w:szCs w:val="22"/>
        </w:rPr>
        <w:t>/SB</w:t>
      </w:r>
      <w:r w:rsidRPr="000B3805">
        <w:rPr>
          <w:color w:val="auto"/>
          <w:sz w:val="22"/>
          <w:szCs w:val="22"/>
          <w:vertAlign w:val="subscript"/>
        </w:rPr>
        <w:t>t,F=0</w:t>
      </w:r>
      <w:r w:rsidRPr="000B3805">
        <w:rPr>
          <w:color w:val="auto"/>
          <w:sz w:val="22"/>
          <w:szCs w:val="22"/>
        </w:rPr>
        <w:t xml:space="preserve">) for the 25 models are shown in Figure SWO-05. Majuro and Kobe plots summarizing the results for each of the 25 models in the ensemble are shown in Figures SWO-06 and SWO-07, respectively.      </w:t>
      </w:r>
    </w:p>
    <w:p w14:paraId="42373362" w14:textId="77777777" w:rsidR="00AD090D" w:rsidRPr="000B3805" w:rsidRDefault="00AD090D" w:rsidP="00307A7F">
      <w:pPr>
        <w:pStyle w:val="ListParagraph"/>
        <w:adjustRightInd w:val="0"/>
        <w:snapToGrid w:val="0"/>
        <w:rPr>
          <w:rFonts w:ascii="Times New Roman" w:hAnsi="Times New Roman"/>
          <w:lang w:eastAsia="en-NZ"/>
        </w:rPr>
      </w:pPr>
    </w:p>
    <w:p w14:paraId="5ABB1097"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Estimated stock status was most impacted by the uncertainties in movement and natural mortality. Low natural mortality and higher rates of movement from Region 1 into Region 2 resulted in more pessimistic stock status.</w:t>
      </w:r>
    </w:p>
    <w:p w14:paraId="55785077" w14:textId="77777777" w:rsidR="00AD090D" w:rsidRPr="000B3805" w:rsidRDefault="00AD090D" w:rsidP="00307A7F">
      <w:pPr>
        <w:pStyle w:val="ListParagraph"/>
        <w:adjustRightInd w:val="0"/>
        <w:snapToGrid w:val="0"/>
        <w:rPr>
          <w:rFonts w:ascii="Times New Roman" w:hAnsi="Times New Roman"/>
          <w:lang w:eastAsia="en-NZ"/>
        </w:rPr>
      </w:pPr>
    </w:p>
    <w:p w14:paraId="03B3B662"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SC17 noted that the stock is estimated to have gradually declined from the 1950s to the mid-1990s before rapidly declining to an overall low point near 2010. Current stock status is estimated to be at a similar level as the overall low with a declining trend in the terminal 4 years of the model.</w:t>
      </w:r>
    </w:p>
    <w:p w14:paraId="20687637" w14:textId="77777777" w:rsidR="00AD090D" w:rsidRPr="000B3805" w:rsidRDefault="00AD090D" w:rsidP="00307A7F">
      <w:pPr>
        <w:pStyle w:val="ListParagraph"/>
        <w:adjustRightInd w:val="0"/>
        <w:snapToGrid w:val="0"/>
        <w:rPr>
          <w:rFonts w:ascii="Times New Roman" w:hAnsi="Times New Roman"/>
          <w:lang w:eastAsia="en-NZ"/>
        </w:rPr>
      </w:pPr>
    </w:p>
    <w:p w14:paraId="628BE0B0"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SC17 noted that latest spawning potential depletion levels estimated by this assessment (SB</w:t>
      </w:r>
      <w:r w:rsidRPr="000B3805">
        <w:rPr>
          <w:color w:val="auto"/>
          <w:sz w:val="22"/>
          <w:szCs w:val="22"/>
          <w:vertAlign w:val="subscript"/>
        </w:rPr>
        <w:t>latest</w:t>
      </w:r>
      <w:r w:rsidRPr="000B3805">
        <w:rPr>
          <w:color w:val="auto"/>
          <w:sz w:val="22"/>
          <w:szCs w:val="22"/>
        </w:rPr>
        <w:t>/SB</w:t>
      </w:r>
      <w:r w:rsidRPr="000B3805">
        <w:rPr>
          <w:color w:val="auto"/>
          <w:sz w:val="22"/>
          <w:szCs w:val="22"/>
          <w:vertAlign w:val="subscript"/>
        </w:rPr>
        <w:t>F=0</w:t>
      </w:r>
      <w:r w:rsidRPr="000B3805">
        <w:rPr>
          <w:color w:val="auto"/>
          <w:sz w:val="22"/>
          <w:szCs w:val="22"/>
        </w:rPr>
        <w:t>)</w:t>
      </w:r>
      <w:r w:rsidRPr="000B3805">
        <w:rPr>
          <w:color w:val="auto"/>
          <w:sz w:val="22"/>
          <w:szCs w:val="22"/>
          <w:vertAlign w:val="subscript"/>
        </w:rPr>
        <w:t xml:space="preserve"> </w:t>
      </w:r>
      <w:r w:rsidRPr="000B3805">
        <w:rPr>
          <w:color w:val="auto"/>
          <w:sz w:val="22"/>
          <w:szCs w:val="22"/>
        </w:rPr>
        <w:t>indicated a median of 0.39 (10</w:t>
      </w:r>
      <w:r w:rsidRPr="000B3805">
        <w:rPr>
          <w:color w:val="auto"/>
          <w:sz w:val="22"/>
          <w:szCs w:val="22"/>
          <w:vertAlign w:val="superscript"/>
        </w:rPr>
        <w:t>th</w:t>
      </w:r>
      <w:r w:rsidRPr="000B3805">
        <w:rPr>
          <w:color w:val="auto"/>
          <w:sz w:val="22"/>
          <w:szCs w:val="22"/>
        </w:rPr>
        <w:t xml:space="preserve"> and 90</w:t>
      </w:r>
      <w:r w:rsidRPr="000B3805">
        <w:rPr>
          <w:color w:val="auto"/>
          <w:sz w:val="22"/>
          <w:szCs w:val="22"/>
          <w:vertAlign w:val="superscript"/>
        </w:rPr>
        <w:t>th</w:t>
      </w:r>
      <w:r w:rsidRPr="000B3805">
        <w:rPr>
          <w:color w:val="auto"/>
          <w:sz w:val="22"/>
          <w:szCs w:val="22"/>
        </w:rPr>
        <w:t xml:space="preserve"> percentiles 0.18 - 0.79).</w:t>
      </w:r>
    </w:p>
    <w:p w14:paraId="2B37AF6F" w14:textId="77777777" w:rsidR="00AD090D" w:rsidRPr="000B3805" w:rsidRDefault="00AD090D" w:rsidP="00307A7F">
      <w:pPr>
        <w:pStyle w:val="ListParagraph"/>
        <w:adjustRightInd w:val="0"/>
        <w:snapToGrid w:val="0"/>
        <w:rPr>
          <w:rFonts w:ascii="Times New Roman" w:hAnsi="Times New Roman"/>
        </w:rPr>
      </w:pPr>
    </w:p>
    <w:p w14:paraId="1251F398"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 xml:space="preserve">SC17 noted that there was 13% risk that the latest (2019) spawning potential was lower than 20% </w:t>
      </w:r>
      <w:bookmarkStart w:id="1" w:name="_Hlk94898558"/>
      <w:r w:rsidRPr="000B3805">
        <w:rPr>
          <w:color w:val="auto"/>
          <w:sz w:val="22"/>
          <w:szCs w:val="22"/>
        </w:rPr>
        <w:t>SB/SB</w:t>
      </w:r>
      <w:r w:rsidRPr="000B3805">
        <w:rPr>
          <w:color w:val="auto"/>
          <w:sz w:val="22"/>
          <w:szCs w:val="22"/>
          <w:vertAlign w:val="subscript"/>
        </w:rPr>
        <w:t>F=0</w:t>
      </w:r>
      <w:bookmarkEnd w:id="1"/>
      <w:r w:rsidRPr="000B3805">
        <w:rPr>
          <w:color w:val="auto"/>
          <w:sz w:val="22"/>
          <w:szCs w:val="22"/>
        </w:rPr>
        <w:t xml:space="preserve"> when considering structural + estimation uncertainty. Omitting the estimation uncertainty as was done in the previous assessment, although this is known to exist, would have resulted in an 8% risk.</w:t>
      </w:r>
    </w:p>
    <w:p w14:paraId="6CFABF85" w14:textId="77777777" w:rsidR="00AD090D" w:rsidRPr="000B3805" w:rsidRDefault="00AD090D" w:rsidP="00307A7F">
      <w:pPr>
        <w:pStyle w:val="ListParagraph"/>
        <w:adjustRightInd w:val="0"/>
        <w:snapToGrid w:val="0"/>
        <w:rPr>
          <w:rFonts w:ascii="Times New Roman" w:hAnsi="Times New Roman"/>
        </w:rPr>
      </w:pPr>
    </w:p>
    <w:p w14:paraId="6A923F16"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SC17 noted that the stock is estimated to have spawning potential above the MSY level (SB</w:t>
      </w:r>
      <w:r w:rsidRPr="000B3805">
        <w:rPr>
          <w:color w:val="auto"/>
          <w:sz w:val="22"/>
          <w:szCs w:val="22"/>
          <w:vertAlign w:val="subscript"/>
        </w:rPr>
        <w:t>latest</w:t>
      </w:r>
      <w:r w:rsidRPr="000B3805">
        <w:rPr>
          <w:color w:val="auto"/>
          <w:sz w:val="22"/>
          <w:szCs w:val="22"/>
        </w:rPr>
        <w:t>/SB</w:t>
      </w:r>
      <w:r w:rsidRPr="000B3805">
        <w:rPr>
          <w:color w:val="auto"/>
          <w:sz w:val="22"/>
          <w:szCs w:val="22"/>
          <w:vertAlign w:val="subscript"/>
        </w:rPr>
        <w:t>MSY</w:t>
      </w:r>
      <w:r w:rsidRPr="000B3805">
        <w:rPr>
          <w:color w:val="auto"/>
          <w:sz w:val="22"/>
          <w:szCs w:val="22"/>
        </w:rPr>
        <w:t xml:space="preserve"> median 2.95; 10</w:t>
      </w:r>
      <w:r w:rsidRPr="000B3805">
        <w:rPr>
          <w:color w:val="auto"/>
          <w:sz w:val="22"/>
          <w:szCs w:val="22"/>
          <w:vertAlign w:val="superscript"/>
        </w:rPr>
        <w:t>th</w:t>
      </w:r>
      <w:r w:rsidRPr="000B3805">
        <w:rPr>
          <w:color w:val="auto"/>
          <w:sz w:val="22"/>
          <w:szCs w:val="22"/>
        </w:rPr>
        <w:t xml:space="preserve"> and 90</w:t>
      </w:r>
      <w:r w:rsidRPr="000B3805">
        <w:rPr>
          <w:color w:val="auto"/>
          <w:sz w:val="22"/>
          <w:szCs w:val="22"/>
          <w:vertAlign w:val="superscript"/>
        </w:rPr>
        <w:t>th</w:t>
      </w:r>
      <w:r w:rsidRPr="000B3805">
        <w:rPr>
          <w:color w:val="auto"/>
          <w:sz w:val="22"/>
          <w:szCs w:val="22"/>
        </w:rPr>
        <w:t xml:space="preserve"> percentiles 0.99 – 6.78) and SB</w:t>
      </w:r>
      <w:r w:rsidRPr="000B3805">
        <w:rPr>
          <w:color w:val="auto"/>
          <w:sz w:val="22"/>
          <w:szCs w:val="22"/>
          <w:vertAlign w:val="subscript"/>
        </w:rPr>
        <w:t>recent</w:t>
      </w:r>
      <w:r w:rsidRPr="000B3805">
        <w:rPr>
          <w:color w:val="auto"/>
          <w:sz w:val="22"/>
          <w:szCs w:val="22"/>
        </w:rPr>
        <w:t>/SB</w:t>
      </w:r>
      <w:r w:rsidRPr="000B3805">
        <w:rPr>
          <w:color w:val="auto"/>
          <w:sz w:val="22"/>
          <w:szCs w:val="22"/>
          <w:vertAlign w:val="subscript"/>
        </w:rPr>
        <w:t>MSY</w:t>
      </w:r>
      <w:r w:rsidRPr="000B3805">
        <w:rPr>
          <w:color w:val="auto"/>
          <w:sz w:val="22"/>
          <w:szCs w:val="22"/>
        </w:rPr>
        <w:t xml:space="preserve"> has a median value of 3.61, 10</w:t>
      </w:r>
      <w:r w:rsidRPr="000B3805">
        <w:rPr>
          <w:color w:val="auto"/>
          <w:sz w:val="22"/>
          <w:szCs w:val="22"/>
          <w:vertAlign w:val="superscript"/>
        </w:rPr>
        <w:t>th</w:t>
      </w:r>
      <w:r w:rsidRPr="000B3805">
        <w:rPr>
          <w:color w:val="auto"/>
          <w:sz w:val="22"/>
          <w:szCs w:val="22"/>
        </w:rPr>
        <w:t xml:space="preserve"> and 90</w:t>
      </w:r>
      <w:r w:rsidRPr="000B3805">
        <w:rPr>
          <w:color w:val="auto"/>
          <w:sz w:val="22"/>
          <w:szCs w:val="22"/>
          <w:vertAlign w:val="superscript"/>
        </w:rPr>
        <w:t>th</w:t>
      </w:r>
      <w:r w:rsidRPr="000B3805">
        <w:rPr>
          <w:color w:val="auto"/>
          <w:sz w:val="22"/>
          <w:szCs w:val="22"/>
        </w:rPr>
        <w:t xml:space="preserve"> percentiles 1.23–7.39.</w:t>
      </w:r>
    </w:p>
    <w:p w14:paraId="078B0CE2" w14:textId="77777777" w:rsidR="00AD090D" w:rsidRPr="000B3805" w:rsidRDefault="00AD090D" w:rsidP="00307A7F">
      <w:pPr>
        <w:pStyle w:val="ListParagraph"/>
        <w:adjustRightInd w:val="0"/>
        <w:snapToGrid w:val="0"/>
        <w:rPr>
          <w:rFonts w:ascii="Times New Roman" w:hAnsi="Times New Roman"/>
        </w:rPr>
      </w:pPr>
    </w:p>
    <w:p w14:paraId="7C79DE10"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 xml:space="preserve">SC17 noted that there was 10% risk that </w:t>
      </w:r>
      <w:bookmarkStart w:id="2" w:name="_Hlk94898607"/>
      <w:r w:rsidRPr="000B3805">
        <w:rPr>
          <w:color w:val="auto"/>
          <w:sz w:val="22"/>
          <w:szCs w:val="22"/>
        </w:rPr>
        <w:t>SB</w:t>
      </w:r>
      <w:r w:rsidRPr="000B3805">
        <w:rPr>
          <w:color w:val="auto"/>
          <w:sz w:val="22"/>
          <w:szCs w:val="22"/>
          <w:vertAlign w:val="subscript"/>
        </w:rPr>
        <w:t>latest</w:t>
      </w:r>
      <w:r w:rsidRPr="000B3805">
        <w:rPr>
          <w:color w:val="auto"/>
          <w:sz w:val="22"/>
          <w:szCs w:val="22"/>
        </w:rPr>
        <w:t>/SB</w:t>
      </w:r>
      <w:r w:rsidRPr="000B3805">
        <w:rPr>
          <w:color w:val="auto"/>
          <w:sz w:val="22"/>
          <w:szCs w:val="22"/>
          <w:vertAlign w:val="subscript"/>
        </w:rPr>
        <w:t>MSY</w:t>
      </w:r>
      <w:r w:rsidRPr="000B3805">
        <w:rPr>
          <w:color w:val="auto"/>
          <w:sz w:val="22"/>
          <w:szCs w:val="22"/>
        </w:rPr>
        <w:t xml:space="preserve"> &lt; 1</w:t>
      </w:r>
      <w:bookmarkEnd w:id="2"/>
      <w:r w:rsidRPr="000B3805">
        <w:rPr>
          <w:color w:val="auto"/>
          <w:sz w:val="22"/>
          <w:szCs w:val="22"/>
        </w:rPr>
        <w:t xml:space="preserve"> when considering model and estimation uncertainty. Using only model-based uncertainty would have resulted in an 4% risk.</w:t>
      </w:r>
    </w:p>
    <w:p w14:paraId="6A491335" w14:textId="77777777" w:rsidR="00AD090D" w:rsidRPr="000B3805" w:rsidRDefault="00AD090D" w:rsidP="00307A7F">
      <w:pPr>
        <w:pStyle w:val="ListParagraph"/>
        <w:adjustRightInd w:val="0"/>
        <w:snapToGrid w:val="0"/>
        <w:rPr>
          <w:rFonts w:ascii="Times New Roman" w:hAnsi="Times New Roman"/>
        </w:rPr>
      </w:pPr>
    </w:p>
    <w:p w14:paraId="1072BACA"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SC17 noted that fishing mortality is predicted to have increased gradually across the assessment region through the mid-1990s. Fishing mortality is estimated to have sharply increased in the early-2000s and appears to have stabilized at high levels in the last decade.</w:t>
      </w:r>
    </w:p>
    <w:p w14:paraId="1C748564" w14:textId="77777777" w:rsidR="00AD090D" w:rsidRPr="000B3805" w:rsidRDefault="00AD090D" w:rsidP="00307A7F">
      <w:pPr>
        <w:pStyle w:val="ListParagraph"/>
        <w:adjustRightInd w:val="0"/>
        <w:snapToGrid w:val="0"/>
        <w:rPr>
          <w:rFonts w:ascii="Times New Roman" w:hAnsi="Times New Roman"/>
        </w:rPr>
      </w:pPr>
    </w:p>
    <w:p w14:paraId="3D2E1509"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SC17 noted that the median of relative recent fishing mortality for Southwest Pacific swordfish F</w:t>
      </w:r>
      <w:r w:rsidRPr="000B3805">
        <w:rPr>
          <w:color w:val="auto"/>
          <w:sz w:val="22"/>
          <w:szCs w:val="22"/>
          <w:vertAlign w:val="subscript"/>
        </w:rPr>
        <w:t>recent</w:t>
      </w:r>
      <w:r w:rsidRPr="000B3805">
        <w:rPr>
          <w:color w:val="auto"/>
          <w:sz w:val="22"/>
          <w:szCs w:val="22"/>
        </w:rPr>
        <w:t>/F</w:t>
      </w:r>
      <w:r w:rsidRPr="000B3805">
        <w:rPr>
          <w:color w:val="auto"/>
          <w:sz w:val="22"/>
          <w:szCs w:val="22"/>
          <w:vertAlign w:val="subscript"/>
        </w:rPr>
        <w:t>MSY</w:t>
      </w:r>
      <w:r w:rsidRPr="000B3805">
        <w:rPr>
          <w:color w:val="auto"/>
          <w:sz w:val="22"/>
          <w:szCs w:val="22"/>
        </w:rPr>
        <w:t xml:space="preserve"> is 0.47 and 10</w:t>
      </w:r>
      <w:r w:rsidRPr="000B3805">
        <w:rPr>
          <w:color w:val="auto"/>
          <w:sz w:val="22"/>
          <w:szCs w:val="22"/>
          <w:vertAlign w:val="superscript"/>
        </w:rPr>
        <w:t>th</w:t>
      </w:r>
      <w:r w:rsidRPr="000B3805">
        <w:rPr>
          <w:color w:val="auto"/>
          <w:sz w:val="22"/>
          <w:szCs w:val="22"/>
        </w:rPr>
        <w:t xml:space="preserve"> and 90</w:t>
      </w:r>
      <w:r w:rsidRPr="000B3805">
        <w:rPr>
          <w:color w:val="auto"/>
          <w:sz w:val="22"/>
          <w:szCs w:val="22"/>
          <w:vertAlign w:val="superscript"/>
        </w:rPr>
        <w:t>th</w:t>
      </w:r>
      <w:r w:rsidRPr="000B3805">
        <w:rPr>
          <w:color w:val="auto"/>
          <w:sz w:val="22"/>
          <w:szCs w:val="22"/>
        </w:rPr>
        <w:t xml:space="preserve"> percentiles are 0.25 – 1.29. </w:t>
      </w:r>
    </w:p>
    <w:p w14:paraId="2BE9CD97" w14:textId="77777777" w:rsidR="00AD090D" w:rsidRPr="000B3805" w:rsidRDefault="00AD090D" w:rsidP="00307A7F">
      <w:pPr>
        <w:pStyle w:val="ListParagraph"/>
        <w:adjustRightInd w:val="0"/>
        <w:snapToGrid w:val="0"/>
        <w:rPr>
          <w:rFonts w:ascii="Times New Roman" w:hAnsi="Times New Roman"/>
          <w:i/>
          <w:iCs/>
        </w:rPr>
      </w:pPr>
    </w:p>
    <w:p w14:paraId="4380F318"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 xml:space="preserve">SC17 noted that there was </w:t>
      </w:r>
      <w:bookmarkStart w:id="3" w:name="_Hlk94898446"/>
      <w:r w:rsidRPr="000B3805">
        <w:rPr>
          <w:color w:val="auto"/>
          <w:sz w:val="22"/>
          <w:szCs w:val="22"/>
        </w:rPr>
        <w:t>20% risk that F/F</w:t>
      </w:r>
      <w:r w:rsidRPr="000B3805">
        <w:rPr>
          <w:color w:val="auto"/>
          <w:sz w:val="22"/>
          <w:szCs w:val="22"/>
          <w:vertAlign w:val="subscript"/>
        </w:rPr>
        <w:t>MSY</w:t>
      </w:r>
      <w:r w:rsidRPr="000B3805">
        <w:rPr>
          <w:color w:val="auto"/>
          <w:sz w:val="22"/>
          <w:szCs w:val="22"/>
        </w:rPr>
        <w:t xml:space="preserve"> &gt; 1</w:t>
      </w:r>
      <w:bookmarkEnd w:id="3"/>
      <w:r w:rsidRPr="000B3805">
        <w:rPr>
          <w:color w:val="auto"/>
          <w:sz w:val="22"/>
          <w:szCs w:val="22"/>
        </w:rPr>
        <w:t xml:space="preserve"> when considering structural + estimation uncertainty. Omitting the estimation uncertainty, as was done in the previous assessment, although this is known to exit, would not have changed the level of risk. </w:t>
      </w:r>
    </w:p>
    <w:p w14:paraId="44FAC65F" w14:textId="77777777" w:rsidR="00AD090D" w:rsidRPr="000B3805" w:rsidRDefault="00AD090D" w:rsidP="00307A7F">
      <w:pPr>
        <w:kinsoku w:val="0"/>
        <w:overflowPunct w:val="0"/>
        <w:autoSpaceDE w:val="0"/>
        <w:autoSpaceDN w:val="0"/>
        <w:adjustRightInd w:val="0"/>
        <w:snapToGrid w:val="0"/>
        <w:spacing w:after="0" w:line="240" w:lineRule="auto"/>
        <w:ind w:left="360"/>
        <w:jc w:val="both"/>
        <w:rPr>
          <w:rFonts w:ascii="Times New Roman" w:eastAsia="Batang" w:hAnsi="Times New Roman" w:cs="Times New Roman"/>
          <w:lang w:val="en-AU" w:eastAsia="ko-KR"/>
        </w:rPr>
      </w:pPr>
    </w:p>
    <w:p w14:paraId="6398FE81" w14:textId="77777777" w:rsidR="00AD090D" w:rsidRPr="000B3805" w:rsidRDefault="00AD090D" w:rsidP="00307A7F">
      <w:pPr>
        <w:spacing w:after="0" w:line="240" w:lineRule="auto"/>
        <w:rPr>
          <w:rFonts w:ascii="Times New Roman" w:hAnsi="Times New Roman" w:cs="Times New Roman"/>
        </w:rPr>
      </w:pPr>
      <w:r w:rsidRPr="000B3805">
        <w:rPr>
          <w:rFonts w:ascii="Times New Roman" w:hAnsi="Times New Roman" w:cs="Times New Roman"/>
        </w:rPr>
        <w:br w:type="page"/>
      </w:r>
    </w:p>
    <w:p w14:paraId="7F688C73" w14:textId="77777777" w:rsidR="00AD090D" w:rsidRPr="000B3805" w:rsidRDefault="00AD090D" w:rsidP="00307A7F">
      <w:pPr>
        <w:keepNext/>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lastRenderedPageBreak/>
        <w:t>Table SWO-01</w:t>
      </w:r>
      <w:r w:rsidRPr="000B3805">
        <w:rPr>
          <w:rFonts w:ascii="Times New Roman" w:hAnsi="Times New Roman" w:cs="Times New Roman"/>
        </w:rPr>
        <w:t>. Summary of fixed assumptions made in the final model ensemble. The minimum, maximum, median and 10</w:t>
      </w:r>
      <w:r w:rsidRPr="000B3805">
        <w:rPr>
          <w:rFonts w:ascii="Times New Roman" w:hAnsi="Times New Roman" w:cs="Times New Roman"/>
          <w:vertAlign w:val="superscript"/>
        </w:rPr>
        <w:t>th</w:t>
      </w:r>
      <w:r w:rsidRPr="000B3805">
        <w:rPr>
          <w:rFonts w:ascii="Times New Roman" w:hAnsi="Times New Roman" w:cs="Times New Roman"/>
        </w:rPr>
        <w:t xml:space="preserve"> and 90</w:t>
      </w:r>
      <w:r w:rsidRPr="000B3805">
        <w:rPr>
          <w:rFonts w:ascii="Times New Roman" w:hAnsi="Times New Roman" w:cs="Times New Roman"/>
          <w:vertAlign w:val="superscript"/>
        </w:rPr>
        <w:t>th</w:t>
      </w:r>
      <w:r w:rsidRPr="000B3805">
        <w:rPr>
          <w:rFonts w:ascii="Times New Roman" w:hAnsi="Times New Roman" w:cs="Times New Roman"/>
        </w:rPr>
        <w:t xml:space="preserve"> percentiles are given for the ensemble parameters.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59"/>
        <w:gridCol w:w="1250"/>
        <w:gridCol w:w="1250"/>
        <w:gridCol w:w="1250"/>
        <w:gridCol w:w="1250"/>
        <w:gridCol w:w="1250"/>
        <w:gridCol w:w="1251"/>
      </w:tblGrid>
      <w:tr w:rsidR="000B3805" w:rsidRPr="000B3805" w14:paraId="35E557D8" w14:textId="77777777" w:rsidTr="004B6CEE">
        <w:tc>
          <w:tcPr>
            <w:tcW w:w="943" w:type="pct"/>
            <w:tcBorders>
              <w:bottom w:val="single" w:sz="4" w:space="0" w:color="auto"/>
            </w:tcBorders>
            <w:shd w:val="clear" w:color="auto" w:fill="auto"/>
            <w:noWrap/>
            <w:vAlign w:val="bottom"/>
            <w:hideMark/>
          </w:tcPr>
          <w:p w14:paraId="68E1261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 </w:t>
            </w:r>
          </w:p>
        </w:tc>
        <w:tc>
          <w:tcPr>
            <w:tcW w:w="676" w:type="pct"/>
            <w:tcBorders>
              <w:bottom w:val="single" w:sz="4" w:space="0" w:color="auto"/>
            </w:tcBorders>
            <w:shd w:val="clear" w:color="auto" w:fill="D9D9D9" w:themeFill="background1" w:themeFillShade="D9"/>
            <w:noWrap/>
            <w:vAlign w:val="bottom"/>
            <w:hideMark/>
          </w:tcPr>
          <w:p w14:paraId="207E319F" w14:textId="77777777" w:rsidR="00AD090D" w:rsidRPr="000B3805" w:rsidRDefault="00AD090D" w:rsidP="00307A7F">
            <w:pPr>
              <w:adjustRightInd w:val="0"/>
              <w:snapToGrid w:val="0"/>
              <w:spacing w:after="0" w:line="240" w:lineRule="auto"/>
              <w:jc w:val="center"/>
              <w:rPr>
                <w:rFonts w:ascii="Times New Roman" w:hAnsi="Times New Roman" w:cs="Times New Roman"/>
                <w:b/>
                <w:bCs/>
                <w:sz w:val="20"/>
                <w:szCs w:val="20"/>
              </w:rPr>
            </w:pPr>
            <w:r w:rsidRPr="000B3805">
              <w:rPr>
                <w:rFonts w:ascii="Times New Roman" w:hAnsi="Times New Roman" w:cs="Times New Roman"/>
                <w:b/>
                <w:bCs/>
                <w:sz w:val="20"/>
                <w:szCs w:val="20"/>
              </w:rPr>
              <w:t>Mean</w:t>
            </w:r>
          </w:p>
        </w:tc>
        <w:tc>
          <w:tcPr>
            <w:tcW w:w="676" w:type="pct"/>
            <w:tcBorders>
              <w:bottom w:val="single" w:sz="4" w:space="0" w:color="auto"/>
            </w:tcBorders>
            <w:shd w:val="clear" w:color="auto" w:fill="D9D9D9" w:themeFill="background1" w:themeFillShade="D9"/>
            <w:noWrap/>
            <w:vAlign w:val="bottom"/>
            <w:hideMark/>
          </w:tcPr>
          <w:p w14:paraId="24425344" w14:textId="77777777" w:rsidR="00AD090D" w:rsidRPr="000B3805" w:rsidRDefault="00AD090D" w:rsidP="00307A7F">
            <w:pPr>
              <w:adjustRightInd w:val="0"/>
              <w:snapToGrid w:val="0"/>
              <w:spacing w:after="0" w:line="240" w:lineRule="auto"/>
              <w:jc w:val="center"/>
              <w:rPr>
                <w:rFonts w:ascii="Times New Roman" w:hAnsi="Times New Roman" w:cs="Times New Roman"/>
                <w:b/>
                <w:bCs/>
                <w:sz w:val="20"/>
                <w:szCs w:val="20"/>
              </w:rPr>
            </w:pPr>
            <w:r w:rsidRPr="000B3805">
              <w:rPr>
                <w:rFonts w:ascii="Times New Roman" w:hAnsi="Times New Roman" w:cs="Times New Roman"/>
                <w:b/>
                <w:bCs/>
                <w:sz w:val="20"/>
                <w:szCs w:val="20"/>
              </w:rPr>
              <w:t>Median</w:t>
            </w:r>
          </w:p>
        </w:tc>
        <w:tc>
          <w:tcPr>
            <w:tcW w:w="676" w:type="pct"/>
            <w:tcBorders>
              <w:bottom w:val="single" w:sz="4" w:space="0" w:color="auto"/>
            </w:tcBorders>
            <w:shd w:val="clear" w:color="auto" w:fill="D9D9D9" w:themeFill="background1" w:themeFillShade="D9"/>
            <w:noWrap/>
            <w:vAlign w:val="bottom"/>
            <w:hideMark/>
          </w:tcPr>
          <w:p w14:paraId="1F811B84" w14:textId="77777777" w:rsidR="00AD090D" w:rsidRPr="000B3805" w:rsidRDefault="00AD090D" w:rsidP="00307A7F">
            <w:pPr>
              <w:adjustRightInd w:val="0"/>
              <w:snapToGrid w:val="0"/>
              <w:spacing w:after="0" w:line="240" w:lineRule="auto"/>
              <w:jc w:val="center"/>
              <w:rPr>
                <w:rFonts w:ascii="Times New Roman" w:hAnsi="Times New Roman" w:cs="Times New Roman"/>
                <w:b/>
                <w:bCs/>
                <w:sz w:val="20"/>
                <w:szCs w:val="20"/>
              </w:rPr>
            </w:pPr>
            <w:r w:rsidRPr="000B3805">
              <w:rPr>
                <w:rFonts w:ascii="Times New Roman" w:hAnsi="Times New Roman" w:cs="Times New Roman"/>
                <w:b/>
                <w:bCs/>
                <w:sz w:val="20"/>
                <w:szCs w:val="20"/>
              </w:rPr>
              <w:t>Min</w:t>
            </w:r>
          </w:p>
        </w:tc>
        <w:tc>
          <w:tcPr>
            <w:tcW w:w="676" w:type="pct"/>
            <w:tcBorders>
              <w:bottom w:val="single" w:sz="4" w:space="0" w:color="auto"/>
            </w:tcBorders>
            <w:shd w:val="clear" w:color="auto" w:fill="D9D9D9" w:themeFill="background1" w:themeFillShade="D9"/>
            <w:noWrap/>
            <w:vAlign w:val="bottom"/>
            <w:hideMark/>
          </w:tcPr>
          <w:p w14:paraId="37095931" w14:textId="77777777" w:rsidR="00AD090D" w:rsidRPr="000B3805" w:rsidRDefault="00AD090D" w:rsidP="00307A7F">
            <w:pPr>
              <w:adjustRightInd w:val="0"/>
              <w:snapToGrid w:val="0"/>
              <w:spacing w:after="0" w:line="240" w:lineRule="auto"/>
              <w:jc w:val="center"/>
              <w:rPr>
                <w:rFonts w:ascii="Times New Roman" w:hAnsi="Times New Roman" w:cs="Times New Roman"/>
                <w:b/>
                <w:bCs/>
                <w:sz w:val="20"/>
                <w:szCs w:val="20"/>
              </w:rPr>
            </w:pPr>
            <w:r w:rsidRPr="000B3805">
              <w:rPr>
                <w:rFonts w:ascii="Times New Roman" w:hAnsi="Times New Roman" w:cs="Times New Roman"/>
                <w:b/>
                <w:bCs/>
                <w:sz w:val="20"/>
                <w:szCs w:val="20"/>
              </w:rPr>
              <w:t>10</w:t>
            </w:r>
          </w:p>
        </w:tc>
        <w:tc>
          <w:tcPr>
            <w:tcW w:w="676" w:type="pct"/>
            <w:tcBorders>
              <w:bottom w:val="single" w:sz="4" w:space="0" w:color="auto"/>
            </w:tcBorders>
            <w:shd w:val="clear" w:color="auto" w:fill="D9D9D9" w:themeFill="background1" w:themeFillShade="D9"/>
            <w:noWrap/>
            <w:vAlign w:val="bottom"/>
            <w:hideMark/>
          </w:tcPr>
          <w:p w14:paraId="7CAF7627" w14:textId="77777777" w:rsidR="00AD090D" w:rsidRPr="000B3805" w:rsidRDefault="00AD090D" w:rsidP="00307A7F">
            <w:pPr>
              <w:adjustRightInd w:val="0"/>
              <w:snapToGrid w:val="0"/>
              <w:spacing w:after="0" w:line="240" w:lineRule="auto"/>
              <w:jc w:val="center"/>
              <w:rPr>
                <w:rFonts w:ascii="Times New Roman" w:hAnsi="Times New Roman" w:cs="Times New Roman"/>
                <w:b/>
                <w:bCs/>
                <w:sz w:val="20"/>
                <w:szCs w:val="20"/>
              </w:rPr>
            </w:pPr>
            <w:r w:rsidRPr="000B3805">
              <w:rPr>
                <w:rFonts w:ascii="Times New Roman" w:hAnsi="Times New Roman" w:cs="Times New Roman"/>
                <w:b/>
                <w:bCs/>
                <w:sz w:val="20"/>
                <w:szCs w:val="20"/>
              </w:rPr>
              <w:t>90</w:t>
            </w:r>
          </w:p>
        </w:tc>
        <w:tc>
          <w:tcPr>
            <w:tcW w:w="676" w:type="pct"/>
            <w:tcBorders>
              <w:bottom w:val="single" w:sz="4" w:space="0" w:color="auto"/>
            </w:tcBorders>
            <w:shd w:val="clear" w:color="auto" w:fill="D9D9D9" w:themeFill="background1" w:themeFillShade="D9"/>
            <w:noWrap/>
            <w:vAlign w:val="bottom"/>
            <w:hideMark/>
          </w:tcPr>
          <w:p w14:paraId="7254AFB3" w14:textId="77777777" w:rsidR="00AD090D" w:rsidRPr="000B3805" w:rsidRDefault="00AD090D" w:rsidP="00307A7F">
            <w:pPr>
              <w:adjustRightInd w:val="0"/>
              <w:snapToGrid w:val="0"/>
              <w:spacing w:after="0" w:line="240" w:lineRule="auto"/>
              <w:jc w:val="center"/>
              <w:rPr>
                <w:rFonts w:ascii="Times New Roman" w:hAnsi="Times New Roman" w:cs="Times New Roman"/>
                <w:b/>
                <w:bCs/>
                <w:sz w:val="20"/>
                <w:szCs w:val="20"/>
              </w:rPr>
            </w:pPr>
            <w:r w:rsidRPr="000B3805">
              <w:rPr>
                <w:rFonts w:ascii="Times New Roman" w:hAnsi="Times New Roman" w:cs="Times New Roman"/>
                <w:b/>
                <w:bCs/>
                <w:sz w:val="20"/>
                <w:szCs w:val="20"/>
              </w:rPr>
              <w:t>Max</w:t>
            </w:r>
          </w:p>
        </w:tc>
      </w:tr>
      <w:tr w:rsidR="000B3805" w:rsidRPr="000B3805" w14:paraId="167DEB17" w14:textId="77777777" w:rsidTr="004B6CEE">
        <w:tc>
          <w:tcPr>
            <w:tcW w:w="943" w:type="pct"/>
            <w:tcBorders>
              <w:bottom w:val="nil"/>
            </w:tcBorders>
            <w:shd w:val="clear" w:color="auto" w:fill="auto"/>
            <w:noWrap/>
            <w:vAlign w:val="bottom"/>
            <w:hideMark/>
          </w:tcPr>
          <w:p w14:paraId="3A67D003" w14:textId="77777777" w:rsidR="00AD090D" w:rsidRPr="000B3805" w:rsidRDefault="00C825DD" w:rsidP="00307A7F">
            <w:pPr>
              <w:adjustRightInd w:val="0"/>
              <w:snapToGri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Age</m:t>
                    </m:r>
                  </m:sub>
                </m:sSub>
              </m:oMath>
            </m:oMathPara>
          </w:p>
        </w:tc>
        <w:tc>
          <w:tcPr>
            <w:tcW w:w="676" w:type="pct"/>
            <w:tcBorders>
              <w:bottom w:val="nil"/>
            </w:tcBorders>
            <w:shd w:val="clear" w:color="auto" w:fill="auto"/>
            <w:noWrap/>
            <w:vAlign w:val="bottom"/>
            <w:hideMark/>
          </w:tcPr>
          <w:p w14:paraId="3BA3D51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29.51</w:t>
            </w:r>
          </w:p>
        </w:tc>
        <w:tc>
          <w:tcPr>
            <w:tcW w:w="676" w:type="pct"/>
            <w:tcBorders>
              <w:bottom w:val="nil"/>
            </w:tcBorders>
            <w:shd w:val="clear" w:color="auto" w:fill="auto"/>
            <w:noWrap/>
            <w:vAlign w:val="bottom"/>
            <w:hideMark/>
          </w:tcPr>
          <w:p w14:paraId="173195B7"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28.50</w:t>
            </w:r>
          </w:p>
        </w:tc>
        <w:tc>
          <w:tcPr>
            <w:tcW w:w="676" w:type="pct"/>
            <w:tcBorders>
              <w:bottom w:val="nil"/>
            </w:tcBorders>
            <w:shd w:val="clear" w:color="auto" w:fill="auto"/>
            <w:noWrap/>
            <w:vAlign w:val="bottom"/>
            <w:hideMark/>
          </w:tcPr>
          <w:p w14:paraId="64494B38"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25.76</w:t>
            </w:r>
          </w:p>
        </w:tc>
        <w:tc>
          <w:tcPr>
            <w:tcW w:w="676" w:type="pct"/>
            <w:tcBorders>
              <w:bottom w:val="nil"/>
            </w:tcBorders>
            <w:shd w:val="clear" w:color="auto" w:fill="auto"/>
            <w:noWrap/>
            <w:vAlign w:val="bottom"/>
            <w:hideMark/>
          </w:tcPr>
          <w:p w14:paraId="6AD796F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26.13</w:t>
            </w:r>
          </w:p>
        </w:tc>
        <w:tc>
          <w:tcPr>
            <w:tcW w:w="676" w:type="pct"/>
            <w:tcBorders>
              <w:bottom w:val="nil"/>
            </w:tcBorders>
            <w:shd w:val="clear" w:color="auto" w:fill="auto"/>
            <w:noWrap/>
            <w:vAlign w:val="bottom"/>
            <w:hideMark/>
          </w:tcPr>
          <w:p w14:paraId="6BC71941"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34.10</w:t>
            </w:r>
          </w:p>
        </w:tc>
        <w:tc>
          <w:tcPr>
            <w:tcW w:w="676" w:type="pct"/>
            <w:tcBorders>
              <w:bottom w:val="nil"/>
            </w:tcBorders>
            <w:shd w:val="clear" w:color="auto" w:fill="auto"/>
            <w:noWrap/>
            <w:vAlign w:val="bottom"/>
            <w:hideMark/>
          </w:tcPr>
          <w:p w14:paraId="5020D45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40.66</w:t>
            </w:r>
          </w:p>
        </w:tc>
      </w:tr>
      <w:tr w:rsidR="000B3805" w:rsidRPr="000B3805" w14:paraId="2DFB7EF1" w14:textId="77777777" w:rsidTr="004B6CEE">
        <w:tc>
          <w:tcPr>
            <w:tcW w:w="943" w:type="pct"/>
            <w:tcBorders>
              <w:top w:val="nil"/>
              <w:bottom w:val="nil"/>
            </w:tcBorders>
            <w:shd w:val="clear" w:color="auto" w:fill="auto"/>
            <w:noWrap/>
            <w:vAlign w:val="bottom"/>
            <w:hideMark/>
          </w:tcPr>
          <w:p w14:paraId="77B085A7" w14:textId="77777777" w:rsidR="00AD090D" w:rsidRPr="000B3805" w:rsidRDefault="00C825DD" w:rsidP="00307A7F">
            <w:pPr>
              <w:adjustRightInd w:val="0"/>
              <w:snapToGri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Length</m:t>
                    </m:r>
                  </m:sub>
                </m:sSub>
              </m:oMath>
            </m:oMathPara>
          </w:p>
        </w:tc>
        <w:tc>
          <w:tcPr>
            <w:tcW w:w="676" w:type="pct"/>
            <w:tcBorders>
              <w:top w:val="nil"/>
              <w:bottom w:val="nil"/>
            </w:tcBorders>
            <w:shd w:val="clear" w:color="auto" w:fill="auto"/>
            <w:noWrap/>
            <w:vAlign w:val="bottom"/>
            <w:hideMark/>
          </w:tcPr>
          <w:p w14:paraId="4A044FA1"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0.39</w:t>
            </w:r>
          </w:p>
        </w:tc>
        <w:tc>
          <w:tcPr>
            <w:tcW w:w="676" w:type="pct"/>
            <w:tcBorders>
              <w:top w:val="nil"/>
              <w:bottom w:val="nil"/>
            </w:tcBorders>
            <w:shd w:val="clear" w:color="auto" w:fill="auto"/>
            <w:noWrap/>
            <w:vAlign w:val="bottom"/>
            <w:hideMark/>
          </w:tcPr>
          <w:p w14:paraId="226FA5F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0.37</w:t>
            </w:r>
          </w:p>
        </w:tc>
        <w:tc>
          <w:tcPr>
            <w:tcW w:w="676" w:type="pct"/>
            <w:tcBorders>
              <w:top w:val="nil"/>
              <w:bottom w:val="nil"/>
            </w:tcBorders>
            <w:shd w:val="clear" w:color="auto" w:fill="auto"/>
            <w:noWrap/>
            <w:vAlign w:val="bottom"/>
            <w:hideMark/>
          </w:tcPr>
          <w:p w14:paraId="303F8DD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0.18</w:t>
            </w:r>
          </w:p>
        </w:tc>
        <w:tc>
          <w:tcPr>
            <w:tcW w:w="676" w:type="pct"/>
            <w:tcBorders>
              <w:top w:val="nil"/>
              <w:bottom w:val="nil"/>
            </w:tcBorders>
            <w:shd w:val="clear" w:color="auto" w:fill="auto"/>
            <w:noWrap/>
            <w:vAlign w:val="bottom"/>
            <w:hideMark/>
          </w:tcPr>
          <w:p w14:paraId="11321E8C"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0.24</w:t>
            </w:r>
          </w:p>
        </w:tc>
        <w:tc>
          <w:tcPr>
            <w:tcW w:w="676" w:type="pct"/>
            <w:tcBorders>
              <w:top w:val="nil"/>
              <w:bottom w:val="nil"/>
            </w:tcBorders>
            <w:shd w:val="clear" w:color="auto" w:fill="auto"/>
            <w:noWrap/>
            <w:vAlign w:val="bottom"/>
            <w:hideMark/>
          </w:tcPr>
          <w:p w14:paraId="4ACA8A5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0.60</w:t>
            </w:r>
          </w:p>
        </w:tc>
        <w:tc>
          <w:tcPr>
            <w:tcW w:w="676" w:type="pct"/>
            <w:tcBorders>
              <w:top w:val="nil"/>
              <w:bottom w:val="nil"/>
            </w:tcBorders>
            <w:shd w:val="clear" w:color="auto" w:fill="auto"/>
            <w:noWrap/>
            <w:vAlign w:val="bottom"/>
            <w:hideMark/>
          </w:tcPr>
          <w:p w14:paraId="572B2A1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0.85</w:t>
            </w:r>
          </w:p>
        </w:tc>
      </w:tr>
      <w:tr w:rsidR="000B3805" w:rsidRPr="000B3805" w14:paraId="03F0460A" w14:textId="77777777" w:rsidTr="004B6CEE">
        <w:tc>
          <w:tcPr>
            <w:tcW w:w="943" w:type="pct"/>
            <w:tcBorders>
              <w:top w:val="nil"/>
              <w:bottom w:val="nil"/>
            </w:tcBorders>
            <w:shd w:val="clear" w:color="auto" w:fill="auto"/>
            <w:noWrap/>
            <w:vAlign w:val="bottom"/>
            <w:hideMark/>
          </w:tcPr>
          <w:p w14:paraId="2441A65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Steepness</w:t>
            </w:r>
          </w:p>
        </w:tc>
        <w:tc>
          <w:tcPr>
            <w:tcW w:w="676" w:type="pct"/>
            <w:tcBorders>
              <w:top w:val="nil"/>
              <w:bottom w:val="nil"/>
            </w:tcBorders>
            <w:shd w:val="clear" w:color="auto" w:fill="auto"/>
            <w:noWrap/>
            <w:vAlign w:val="bottom"/>
            <w:hideMark/>
          </w:tcPr>
          <w:p w14:paraId="05961ED6"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0.89</w:t>
            </w:r>
          </w:p>
        </w:tc>
        <w:tc>
          <w:tcPr>
            <w:tcW w:w="676" w:type="pct"/>
            <w:tcBorders>
              <w:top w:val="nil"/>
              <w:bottom w:val="nil"/>
            </w:tcBorders>
            <w:shd w:val="clear" w:color="auto" w:fill="auto"/>
            <w:noWrap/>
            <w:vAlign w:val="bottom"/>
            <w:hideMark/>
          </w:tcPr>
          <w:p w14:paraId="6B29AE1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0.90</w:t>
            </w:r>
          </w:p>
        </w:tc>
        <w:tc>
          <w:tcPr>
            <w:tcW w:w="676" w:type="pct"/>
            <w:tcBorders>
              <w:top w:val="nil"/>
              <w:bottom w:val="nil"/>
            </w:tcBorders>
            <w:shd w:val="clear" w:color="auto" w:fill="auto"/>
            <w:noWrap/>
            <w:vAlign w:val="bottom"/>
            <w:hideMark/>
          </w:tcPr>
          <w:p w14:paraId="3907901A"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0.71</w:t>
            </w:r>
          </w:p>
        </w:tc>
        <w:tc>
          <w:tcPr>
            <w:tcW w:w="676" w:type="pct"/>
            <w:tcBorders>
              <w:top w:val="nil"/>
              <w:bottom w:val="nil"/>
            </w:tcBorders>
            <w:shd w:val="clear" w:color="auto" w:fill="auto"/>
            <w:noWrap/>
            <w:vAlign w:val="bottom"/>
            <w:hideMark/>
          </w:tcPr>
          <w:p w14:paraId="72300BA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0.85</w:t>
            </w:r>
          </w:p>
        </w:tc>
        <w:tc>
          <w:tcPr>
            <w:tcW w:w="676" w:type="pct"/>
            <w:tcBorders>
              <w:top w:val="nil"/>
              <w:bottom w:val="nil"/>
            </w:tcBorders>
            <w:shd w:val="clear" w:color="auto" w:fill="auto"/>
            <w:noWrap/>
            <w:vAlign w:val="bottom"/>
            <w:hideMark/>
          </w:tcPr>
          <w:p w14:paraId="383D3B66"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0.94</w:t>
            </w:r>
          </w:p>
        </w:tc>
        <w:tc>
          <w:tcPr>
            <w:tcW w:w="676" w:type="pct"/>
            <w:tcBorders>
              <w:top w:val="nil"/>
              <w:bottom w:val="nil"/>
            </w:tcBorders>
            <w:shd w:val="clear" w:color="auto" w:fill="auto"/>
            <w:noWrap/>
            <w:vAlign w:val="bottom"/>
            <w:hideMark/>
          </w:tcPr>
          <w:p w14:paraId="201C9797"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0.98</w:t>
            </w:r>
          </w:p>
        </w:tc>
      </w:tr>
      <w:tr w:rsidR="000B3805" w:rsidRPr="000B3805" w14:paraId="2C21DE08" w14:textId="77777777" w:rsidTr="004B6CEE">
        <w:tc>
          <w:tcPr>
            <w:tcW w:w="943" w:type="pct"/>
            <w:tcBorders>
              <w:top w:val="nil"/>
              <w:bottom w:val="nil"/>
            </w:tcBorders>
            <w:shd w:val="clear" w:color="auto" w:fill="auto"/>
            <w:noWrap/>
            <w:vAlign w:val="bottom"/>
            <w:hideMark/>
          </w:tcPr>
          <w:p w14:paraId="33BB9A5E" w14:textId="77777777" w:rsidR="00AD090D" w:rsidRPr="000B3805" w:rsidRDefault="00C825DD" w:rsidP="00307A7F">
            <w:pPr>
              <w:adjustRightInd w:val="0"/>
              <w:snapToGri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LW</m:t>
                    </m:r>
                  </m:sub>
                </m:sSub>
              </m:oMath>
            </m:oMathPara>
          </w:p>
        </w:tc>
        <w:tc>
          <w:tcPr>
            <w:tcW w:w="676" w:type="pct"/>
            <w:tcBorders>
              <w:top w:val="nil"/>
              <w:bottom w:val="nil"/>
            </w:tcBorders>
            <w:shd w:val="clear" w:color="auto" w:fill="auto"/>
            <w:noWrap/>
            <w:vAlign w:val="bottom"/>
            <w:hideMark/>
          </w:tcPr>
          <w:p w14:paraId="3F1DCC7C"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0.0000130</w:t>
            </w:r>
          </w:p>
        </w:tc>
        <w:tc>
          <w:tcPr>
            <w:tcW w:w="676" w:type="pct"/>
            <w:tcBorders>
              <w:top w:val="nil"/>
              <w:bottom w:val="nil"/>
            </w:tcBorders>
            <w:shd w:val="clear" w:color="auto" w:fill="auto"/>
            <w:noWrap/>
            <w:vAlign w:val="bottom"/>
            <w:hideMark/>
          </w:tcPr>
          <w:p w14:paraId="753A7DB2"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0.0000131</w:t>
            </w:r>
          </w:p>
        </w:tc>
        <w:tc>
          <w:tcPr>
            <w:tcW w:w="676" w:type="pct"/>
            <w:tcBorders>
              <w:top w:val="nil"/>
              <w:bottom w:val="nil"/>
            </w:tcBorders>
            <w:shd w:val="clear" w:color="auto" w:fill="auto"/>
            <w:noWrap/>
            <w:vAlign w:val="bottom"/>
            <w:hideMark/>
          </w:tcPr>
          <w:p w14:paraId="5FF50EE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0.0000117</w:t>
            </w:r>
          </w:p>
        </w:tc>
        <w:tc>
          <w:tcPr>
            <w:tcW w:w="676" w:type="pct"/>
            <w:tcBorders>
              <w:top w:val="nil"/>
              <w:bottom w:val="nil"/>
            </w:tcBorders>
            <w:shd w:val="clear" w:color="auto" w:fill="auto"/>
            <w:noWrap/>
            <w:vAlign w:val="bottom"/>
            <w:hideMark/>
          </w:tcPr>
          <w:p w14:paraId="5749637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0.0000121</w:t>
            </w:r>
          </w:p>
        </w:tc>
        <w:tc>
          <w:tcPr>
            <w:tcW w:w="676" w:type="pct"/>
            <w:tcBorders>
              <w:top w:val="nil"/>
              <w:bottom w:val="nil"/>
            </w:tcBorders>
            <w:shd w:val="clear" w:color="auto" w:fill="auto"/>
            <w:noWrap/>
            <w:vAlign w:val="bottom"/>
            <w:hideMark/>
          </w:tcPr>
          <w:p w14:paraId="357AE617"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0.0000139</w:t>
            </w:r>
          </w:p>
        </w:tc>
        <w:tc>
          <w:tcPr>
            <w:tcW w:w="676" w:type="pct"/>
            <w:tcBorders>
              <w:top w:val="nil"/>
              <w:bottom w:val="nil"/>
            </w:tcBorders>
            <w:shd w:val="clear" w:color="auto" w:fill="auto"/>
            <w:noWrap/>
            <w:vAlign w:val="bottom"/>
            <w:hideMark/>
          </w:tcPr>
          <w:p w14:paraId="46D9C9DC"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0.0000154</w:t>
            </w:r>
          </w:p>
        </w:tc>
      </w:tr>
      <w:tr w:rsidR="000B3805" w:rsidRPr="000B3805" w14:paraId="3E8B2F31" w14:textId="77777777" w:rsidTr="004B6CEE">
        <w:tc>
          <w:tcPr>
            <w:tcW w:w="943" w:type="pct"/>
            <w:tcBorders>
              <w:top w:val="nil"/>
              <w:bottom w:val="nil"/>
            </w:tcBorders>
            <w:shd w:val="clear" w:color="auto" w:fill="auto"/>
            <w:noWrap/>
            <w:vAlign w:val="bottom"/>
            <w:hideMark/>
          </w:tcPr>
          <w:p w14:paraId="2A4F9BF8" w14:textId="77777777" w:rsidR="00AD090D" w:rsidRPr="000B3805" w:rsidRDefault="00C825DD" w:rsidP="00307A7F">
            <w:pPr>
              <w:adjustRightInd w:val="0"/>
              <w:snapToGri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LW</m:t>
                    </m:r>
                  </m:sub>
                </m:sSub>
              </m:oMath>
            </m:oMathPara>
          </w:p>
        </w:tc>
        <w:tc>
          <w:tcPr>
            <w:tcW w:w="676" w:type="pct"/>
            <w:tcBorders>
              <w:top w:val="nil"/>
              <w:bottom w:val="nil"/>
            </w:tcBorders>
            <w:shd w:val="clear" w:color="auto" w:fill="auto"/>
            <w:noWrap/>
            <w:vAlign w:val="bottom"/>
            <w:hideMark/>
          </w:tcPr>
          <w:p w14:paraId="4B1F426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3.00</w:t>
            </w:r>
          </w:p>
        </w:tc>
        <w:tc>
          <w:tcPr>
            <w:tcW w:w="676" w:type="pct"/>
            <w:tcBorders>
              <w:top w:val="nil"/>
              <w:bottom w:val="nil"/>
            </w:tcBorders>
            <w:shd w:val="clear" w:color="auto" w:fill="auto"/>
            <w:noWrap/>
            <w:vAlign w:val="bottom"/>
            <w:hideMark/>
          </w:tcPr>
          <w:p w14:paraId="0942291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3.00</w:t>
            </w:r>
          </w:p>
        </w:tc>
        <w:tc>
          <w:tcPr>
            <w:tcW w:w="676" w:type="pct"/>
            <w:tcBorders>
              <w:top w:val="nil"/>
              <w:bottom w:val="nil"/>
            </w:tcBorders>
            <w:shd w:val="clear" w:color="auto" w:fill="auto"/>
            <w:noWrap/>
            <w:vAlign w:val="bottom"/>
            <w:hideMark/>
          </w:tcPr>
          <w:p w14:paraId="4A2EB3B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2.97</w:t>
            </w:r>
          </w:p>
        </w:tc>
        <w:tc>
          <w:tcPr>
            <w:tcW w:w="676" w:type="pct"/>
            <w:tcBorders>
              <w:top w:val="nil"/>
              <w:bottom w:val="nil"/>
            </w:tcBorders>
            <w:shd w:val="clear" w:color="auto" w:fill="auto"/>
            <w:noWrap/>
            <w:vAlign w:val="bottom"/>
            <w:hideMark/>
          </w:tcPr>
          <w:p w14:paraId="7CB05574"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2.98</w:t>
            </w:r>
          </w:p>
        </w:tc>
        <w:tc>
          <w:tcPr>
            <w:tcW w:w="676" w:type="pct"/>
            <w:tcBorders>
              <w:top w:val="nil"/>
              <w:bottom w:val="nil"/>
            </w:tcBorders>
            <w:shd w:val="clear" w:color="auto" w:fill="auto"/>
            <w:noWrap/>
            <w:vAlign w:val="bottom"/>
            <w:hideMark/>
          </w:tcPr>
          <w:p w14:paraId="13CB4046"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3.01</w:t>
            </w:r>
          </w:p>
        </w:tc>
        <w:tc>
          <w:tcPr>
            <w:tcW w:w="676" w:type="pct"/>
            <w:tcBorders>
              <w:top w:val="nil"/>
              <w:bottom w:val="nil"/>
            </w:tcBorders>
            <w:shd w:val="clear" w:color="auto" w:fill="auto"/>
            <w:noWrap/>
            <w:vAlign w:val="bottom"/>
            <w:hideMark/>
          </w:tcPr>
          <w:p w14:paraId="776D7E17"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3.02</w:t>
            </w:r>
          </w:p>
        </w:tc>
      </w:tr>
      <w:tr w:rsidR="000B3805" w:rsidRPr="000B3805" w14:paraId="7798A949" w14:textId="77777777" w:rsidTr="004B6CEE">
        <w:tc>
          <w:tcPr>
            <w:tcW w:w="943" w:type="pct"/>
            <w:tcBorders>
              <w:top w:val="nil"/>
              <w:bottom w:val="nil"/>
            </w:tcBorders>
            <w:shd w:val="clear" w:color="auto" w:fill="auto"/>
            <w:noWrap/>
            <w:vAlign w:val="bottom"/>
            <w:hideMark/>
          </w:tcPr>
          <w:p w14:paraId="7C9E47EF" w14:textId="77777777" w:rsidR="00AD090D" w:rsidRPr="000B3805" w:rsidRDefault="00AD090D" w:rsidP="00307A7F">
            <w:pPr>
              <w:adjustRightInd w:val="0"/>
              <w:snapToGrid w:val="0"/>
              <w:spacing w:after="0" w:line="240" w:lineRule="auto"/>
              <w:jc w:val="center"/>
              <w:rPr>
                <w:rFonts w:ascii="Times New Roman" w:hAnsi="Times New Roman" w:cs="Times New Roman"/>
                <w:i/>
                <w:iCs/>
                <w:sz w:val="20"/>
                <w:szCs w:val="20"/>
              </w:rPr>
            </w:pPr>
            <w:r w:rsidRPr="000B3805">
              <w:rPr>
                <w:rFonts w:ascii="Times New Roman" w:hAnsi="Times New Roman" w:cs="Times New Roman"/>
                <w:i/>
                <w:iCs/>
                <w:sz w:val="20"/>
                <w:szCs w:val="20"/>
              </w:rPr>
              <w:t>k</w:t>
            </w:r>
          </w:p>
        </w:tc>
        <w:tc>
          <w:tcPr>
            <w:tcW w:w="676" w:type="pct"/>
            <w:tcBorders>
              <w:top w:val="nil"/>
              <w:bottom w:val="nil"/>
            </w:tcBorders>
            <w:shd w:val="clear" w:color="auto" w:fill="auto"/>
            <w:noWrap/>
            <w:vAlign w:val="bottom"/>
            <w:hideMark/>
          </w:tcPr>
          <w:p w14:paraId="5F3A938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0.20</w:t>
            </w:r>
          </w:p>
        </w:tc>
        <w:tc>
          <w:tcPr>
            <w:tcW w:w="676" w:type="pct"/>
            <w:tcBorders>
              <w:top w:val="nil"/>
              <w:bottom w:val="nil"/>
            </w:tcBorders>
            <w:shd w:val="clear" w:color="auto" w:fill="auto"/>
            <w:noWrap/>
            <w:vAlign w:val="bottom"/>
            <w:hideMark/>
          </w:tcPr>
          <w:p w14:paraId="653BB8FA"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0.19</w:t>
            </w:r>
          </w:p>
        </w:tc>
        <w:tc>
          <w:tcPr>
            <w:tcW w:w="676" w:type="pct"/>
            <w:tcBorders>
              <w:top w:val="nil"/>
              <w:bottom w:val="nil"/>
            </w:tcBorders>
            <w:shd w:val="clear" w:color="auto" w:fill="auto"/>
            <w:noWrap/>
            <w:vAlign w:val="bottom"/>
            <w:hideMark/>
          </w:tcPr>
          <w:p w14:paraId="3F343B77"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0.16</w:t>
            </w:r>
          </w:p>
        </w:tc>
        <w:tc>
          <w:tcPr>
            <w:tcW w:w="676" w:type="pct"/>
            <w:tcBorders>
              <w:top w:val="nil"/>
              <w:bottom w:val="nil"/>
            </w:tcBorders>
            <w:shd w:val="clear" w:color="auto" w:fill="auto"/>
            <w:noWrap/>
            <w:vAlign w:val="bottom"/>
            <w:hideMark/>
          </w:tcPr>
          <w:p w14:paraId="51DA2C9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0.17</w:t>
            </w:r>
          </w:p>
        </w:tc>
        <w:tc>
          <w:tcPr>
            <w:tcW w:w="676" w:type="pct"/>
            <w:tcBorders>
              <w:top w:val="nil"/>
              <w:bottom w:val="nil"/>
            </w:tcBorders>
            <w:shd w:val="clear" w:color="auto" w:fill="auto"/>
            <w:noWrap/>
            <w:vAlign w:val="bottom"/>
            <w:hideMark/>
          </w:tcPr>
          <w:p w14:paraId="39EE111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0.22</w:t>
            </w:r>
          </w:p>
        </w:tc>
        <w:tc>
          <w:tcPr>
            <w:tcW w:w="676" w:type="pct"/>
            <w:tcBorders>
              <w:top w:val="nil"/>
              <w:bottom w:val="nil"/>
            </w:tcBorders>
            <w:shd w:val="clear" w:color="auto" w:fill="auto"/>
            <w:noWrap/>
            <w:vAlign w:val="bottom"/>
            <w:hideMark/>
          </w:tcPr>
          <w:p w14:paraId="7D13B1C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0.26</w:t>
            </w:r>
          </w:p>
        </w:tc>
      </w:tr>
      <w:tr w:rsidR="000B3805" w:rsidRPr="000B3805" w14:paraId="6B47EBB4" w14:textId="77777777" w:rsidTr="004B6CEE">
        <w:tc>
          <w:tcPr>
            <w:tcW w:w="943" w:type="pct"/>
            <w:tcBorders>
              <w:top w:val="nil"/>
              <w:bottom w:val="nil"/>
            </w:tcBorders>
            <w:shd w:val="clear" w:color="auto" w:fill="auto"/>
            <w:noWrap/>
            <w:vAlign w:val="bottom"/>
            <w:hideMark/>
          </w:tcPr>
          <w:p w14:paraId="36A34F21" w14:textId="77777777" w:rsidR="00AD090D" w:rsidRPr="000B3805" w:rsidRDefault="00C825DD" w:rsidP="00307A7F">
            <w:pPr>
              <w:adjustRightInd w:val="0"/>
              <w:snapToGri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m:t>
                    </m:r>
                  </m:sub>
                </m:sSub>
              </m:oMath>
            </m:oMathPara>
          </w:p>
        </w:tc>
        <w:tc>
          <w:tcPr>
            <w:tcW w:w="676" w:type="pct"/>
            <w:tcBorders>
              <w:top w:val="nil"/>
              <w:bottom w:val="nil"/>
            </w:tcBorders>
            <w:shd w:val="clear" w:color="auto" w:fill="auto"/>
            <w:noWrap/>
            <w:vAlign w:val="bottom"/>
            <w:hideMark/>
          </w:tcPr>
          <w:p w14:paraId="321F7756"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241.13</w:t>
            </w:r>
          </w:p>
        </w:tc>
        <w:tc>
          <w:tcPr>
            <w:tcW w:w="676" w:type="pct"/>
            <w:tcBorders>
              <w:top w:val="nil"/>
              <w:bottom w:val="nil"/>
            </w:tcBorders>
            <w:shd w:val="clear" w:color="auto" w:fill="auto"/>
            <w:noWrap/>
            <w:vAlign w:val="bottom"/>
            <w:hideMark/>
          </w:tcPr>
          <w:p w14:paraId="7C31E99E"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242.02</w:t>
            </w:r>
          </w:p>
        </w:tc>
        <w:tc>
          <w:tcPr>
            <w:tcW w:w="676" w:type="pct"/>
            <w:tcBorders>
              <w:top w:val="nil"/>
              <w:bottom w:val="nil"/>
            </w:tcBorders>
            <w:shd w:val="clear" w:color="auto" w:fill="auto"/>
            <w:noWrap/>
            <w:vAlign w:val="bottom"/>
            <w:hideMark/>
          </w:tcPr>
          <w:p w14:paraId="21DC4843"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228.62</w:t>
            </w:r>
          </w:p>
        </w:tc>
        <w:tc>
          <w:tcPr>
            <w:tcW w:w="676" w:type="pct"/>
            <w:tcBorders>
              <w:top w:val="nil"/>
              <w:bottom w:val="nil"/>
            </w:tcBorders>
            <w:shd w:val="clear" w:color="auto" w:fill="auto"/>
            <w:noWrap/>
            <w:vAlign w:val="bottom"/>
            <w:hideMark/>
          </w:tcPr>
          <w:p w14:paraId="1ACD018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235.17</w:t>
            </w:r>
          </w:p>
        </w:tc>
        <w:tc>
          <w:tcPr>
            <w:tcW w:w="676" w:type="pct"/>
            <w:tcBorders>
              <w:top w:val="nil"/>
              <w:bottom w:val="nil"/>
            </w:tcBorders>
            <w:shd w:val="clear" w:color="auto" w:fill="auto"/>
            <w:noWrap/>
            <w:vAlign w:val="bottom"/>
            <w:hideMark/>
          </w:tcPr>
          <w:p w14:paraId="45C0E4B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248.09</w:t>
            </w:r>
          </w:p>
        </w:tc>
        <w:tc>
          <w:tcPr>
            <w:tcW w:w="676" w:type="pct"/>
            <w:tcBorders>
              <w:top w:val="nil"/>
              <w:bottom w:val="nil"/>
            </w:tcBorders>
            <w:shd w:val="clear" w:color="auto" w:fill="auto"/>
            <w:noWrap/>
            <w:vAlign w:val="bottom"/>
            <w:hideMark/>
          </w:tcPr>
          <w:p w14:paraId="1414568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250.59</w:t>
            </w:r>
          </w:p>
        </w:tc>
      </w:tr>
      <w:tr w:rsidR="000B3805" w:rsidRPr="000B3805" w14:paraId="0A6C451B" w14:textId="77777777" w:rsidTr="004B6CEE">
        <w:tc>
          <w:tcPr>
            <w:tcW w:w="943" w:type="pct"/>
            <w:tcBorders>
              <w:top w:val="nil"/>
              <w:bottom w:val="nil"/>
            </w:tcBorders>
            <w:shd w:val="clear" w:color="auto" w:fill="auto"/>
            <w:noWrap/>
            <w:vAlign w:val="bottom"/>
            <w:hideMark/>
          </w:tcPr>
          <w:p w14:paraId="412A4BDB" w14:textId="77777777" w:rsidR="00AD090D" w:rsidRPr="000B3805" w:rsidRDefault="00C825DD" w:rsidP="00307A7F">
            <w:pPr>
              <w:adjustRightInd w:val="0"/>
              <w:snapToGri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0</m:t>
                    </m:r>
                  </m:sub>
                </m:sSub>
              </m:oMath>
            </m:oMathPara>
          </w:p>
        </w:tc>
        <w:tc>
          <w:tcPr>
            <w:tcW w:w="676" w:type="pct"/>
            <w:tcBorders>
              <w:top w:val="nil"/>
              <w:bottom w:val="nil"/>
            </w:tcBorders>
            <w:shd w:val="clear" w:color="auto" w:fill="auto"/>
            <w:noWrap/>
            <w:vAlign w:val="bottom"/>
            <w:hideMark/>
          </w:tcPr>
          <w:p w14:paraId="0EACE6F4"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-2.07</w:t>
            </w:r>
          </w:p>
        </w:tc>
        <w:tc>
          <w:tcPr>
            <w:tcW w:w="676" w:type="pct"/>
            <w:tcBorders>
              <w:top w:val="nil"/>
              <w:bottom w:val="nil"/>
            </w:tcBorders>
            <w:shd w:val="clear" w:color="auto" w:fill="auto"/>
            <w:noWrap/>
            <w:vAlign w:val="bottom"/>
            <w:hideMark/>
          </w:tcPr>
          <w:p w14:paraId="1A24E2AE"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-2.12</w:t>
            </w:r>
          </w:p>
        </w:tc>
        <w:tc>
          <w:tcPr>
            <w:tcW w:w="676" w:type="pct"/>
            <w:tcBorders>
              <w:top w:val="nil"/>
              <w:bottom w:val="nil"/>
            </w:tcBorders>
            <w:shd w:val="clear" w:color="auto" w:fill="auto"/>
            <w:noWrap/>
            <w:vAlign w:val="bottom"/>
            <w:hideMark/>
          </w:tcPr>
          <w:p w14:paraId="1418DDFE"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-2.60</w:t>
            </w:r>
          </w:p>
        </w:tc>
        <w:tc>
          <w:tcPr>
            <w:tcW w:w="676" w:type="pct"/>
            <w:tcBorders>
              <w:top w:val="nil"/>
              <w:bottom w:val="nil"/>
            </w:tcBorders>
            <w:shd w:val="clear" w:color="auto" w:fill="auto"/>
            <w:noWrap/>
            <w:vAlign w:val="bottom"/>
            <w:hideMark/>
          </w:tcPr>
          <w:p w14:paraId="1909164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-2.39</w:t>
            </w:r>
          </w:p>
        </w:tc>
        <w:tc>
          <w:tcPr>
            <w:tcW w:w="676" w:type="pct"/>
            <w:tcBorders>
              <w:top w:val="nil"/>
              <w:bottom w:val="nil"/>
            </w:tcBorders>
            <w:shd w:val="clear" w:color="auto" w:fill="auto"/>
            <w:noWrap/>
            <w:vAlign w:val="bottom"/>
            <w:hideMark/>
          </w:tcPr>
          <w:p w14:paraId="0CA8030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-1.74</w:t>
            </w:r>
          </w:p>
        </w:tc>
        <w:tc>
          <w:tcPr>
            <w:tcW w:w="676" w:type="pct"/>
            <w:tcBorders>
              <w:top w:val="nil"/>
              <w:bottom w:val="nil"/>
            </w:tcBorders>
            <w:shd w:val="clear" w:color="auto" w:fill="auto"/>
            <w:noWrap/>
            <w:vAlign w:val="bottom"/>
            <w:hideMark/>
          </w:tcPr>
          <w:p w14:paraId="2487D7B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-1.15</w:t>
            </w:r>
          </w:p>
        </w:tc>
      </w:tr>
      <w:tr w:rsidR="000B3805" w:rsidRPr="000B3805" w14:paraId="70C15C4D" w14:textId="77777777" w:rsidTr="004B6CEE">
        <w:tc>
          <w:tcPr>
            <w:tcW w:w="943" w:type="pct"/>
            <w:tcBorders>
              <w:top w:val="nil"/>
              <w:bottom w:val="nil"/>
            </w:tcBorders>
            <w:shd w:val="clear" w:color="auto" w:fill="auto"/>
            <w:noWrap/>
            <w:vAlign w:val="bottom"/>
            <w:hideMark/>
          </w:tcPr>
          <w:p w14:paraId="76A3CF4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 xml:space="preserve">Average </w:t>
            </w:r>
            <w:r w:rsidRPr="000B3805">
              <w:rPr>
                <w:rFonts w:ascii="Times New Roman" w:hAnsi="Times New Roman" w:cs="Times New Roman"/>
                <w:i/>
                <w:iCs/>
                <w:sz w:val="20"/>
                <w:szCs w:val="20"/>
              </w:rPr>
              <w:t>M</w:t>
            </w:r>
          </w:p>
        </w:tc>
        <w:tc>
          <w:tcPr>
            <w:tcW w:w="676" w:type="pct"/>
            <w:tcBorders>
              <w:top w:val="nil"/>
              <w:bottom w:val="nil"/>
            </w:tcBorders>
            <w:shd w:val="clear" w:color="auto" w:fill="auto"/>
            <w:noWrap/>
            <w:vAlign w:val="bottom"/>
            <w:hideMark/>
          </w:tcPr>
          <w:p w14:paraId="0554F3E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0.27</w:t>
            </w:r>
          </w:p>
        </w:tc>
        <w:tc>
          <w:tcPr>
            <w:tcW w:w="676" w:type="pct"/>
            <w:tcBorders>
              <w:top w:val="nil"/>
              <w:bottom w:val="nil"/>
            </w:tcBorders>
            <w:shd w:val="clear" w:color="auto" w:fill="auto"/>
            <w:noWrap/>
            <w:vAlign w:val="bottom"/>
            <w:hideMark/>
          </w:tcPr>
          <w:p w14:paraId="271C9AB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0.27</w:t>
            </w:r>
          </w:p>
        </w:tc>
        <w:tc>
          <w:tcPr>
            <w:tcW w:w="676" w:type="pct"/>
            <w:tcBorders>
              <w:top w:val="nil"/>
              <w:bottom w:val="nil"/>
            </w:tcBorders>
            <w:shd w:val="clear" w:color="auto" w:fill="auto"/>
            <w:noWrap/>
            <w:vAlign w:val="bottom"/>
            <w:hideMark/>
          </w:tcPr>
          <w:p w14:paraId="0F672244"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0.11</w:t>
            </w:r>
          </w:p>
        </w:tc>
        <w:tc>
          <w:tcPr>
            <w:tcW w:w="676" w:type="pct"/>
            <w:tcBorders>
              <w:top w:val="nil"/>
              <w:bottom w:val="nil"/>
            </w:tcBorders>
            <w:shd w:val="clear" w:color="auto" w:fill="auto"/>
            <w:noWrap/>
            <w:vAlign w:val="bottom"/>
            <w:hideMark/>
          </w:tcPr>
          <w:p w14:paraId="029A336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0.17</w:t>
            </w:r>
          </w:p>
        </w:tc>
        <w:tc>
          <w:tcPr>
            <w:tcW w:w="676" w:type="pct"/>
            <w:tcBorders>
              <w:top w:val="nil"/>
              <w:bottom w:val="nil"/>
            </w:tcBorders>
            <w:shd w:val="clear" w:color="auto" w:fill="auto"/>
            <w:noWrap/>
            <w:vAlign w:val="bottom"/>
            <w:hideMark/>
          </w:tcPr>
          <w:p w14:paraId="70B24F01"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0.35</w:t>
            </w:r>
          </w:p>
        </w:tc>
        <w:tc>
          <w:tcPr>
            <w:tcW w:w="676" w:type="pct"/>
            <w:tcBorders>
              <w:top w:val="nil"/>
              <w:bottom w:val="nil"/>
            </w:tcBorders>
            <w:shd w:val="clear" w:color="auto" w:fill="auto"/>
            <w:noWrap/>
            <w:vAlign w:val="bottom"/>
            <w:hideMark/>
          </w:tcPr>
          <w:p w14:paraId="038DC4BE"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0.39</w:t>
            </w:r>
          </w:p>
        </w:tc>
      </w:tr>
      <w:tr w:rsidR="000B3805" w:rsidRPr="000B3805" w14:paraId="23EFDECE" w14:textId="77777777" w:rsidTr="004B6CEE">
        <w:tc>
          <w:tcPr>
            <w:tcW w:w="943" w:type="pct"/>
            <w:tcBorders>
              <w:top w:val="nil"/>
              <w:bottom w:val="nil"/>
            </w:tcBorders>
            <w:shd w:val="clear" w:color="auto" w:fill="auto"/>
            <w:noWrap/>
            <w:vAlign w:val="bottom"/>
            <w:hideMark/>
          </w:tcPr>
          <w:p w14:paraId="44FEE76A" w14:textId="77777777" w:rsidR="00AD090D" w:rsidRPr="000B3805" w:rsidRDefault="00C825DD" w:rsidP="00307A7F">
            <w:pPr>
              <w:adjustRightInd w:val="0"/>
              <w:snapToGrid w:val="0"/>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50</m:t>
                  </m:r>
                </m:sub>
              </m:sSub>
            </m:oMath>
            <w:r w:rsidR="00AD090D" w:rsidRPr="000B3805">
              <w:rPr>
                <w:rFonts w:ascii="Times New Roman" w:hAnsi="Times New Roman" w:cs="Times New Roman"/>
                <w:sz w:val="20"/>
                <w:szCs w:val="20"/>
              </w:rPr>
              <w:t xml:space="preserve"> Female maturity</w:t>
            </w:r>
          </w:p>
        </w:tc>
        <w:tc>
          <w:tcPr>
            <w:tcW w:w="676" w:type="pct"/>
            <w:tcBorders>
              <w:top w:val="nil"/>
              <w:bottom w:val="nil"/>
            </w:tcBorders>
            <w:shd w:val="clear" w:color="auto" w:fill="auto"/>
            <w:noWrap/>
            <w:vAlign w:val="bottom"/>
            <w:hideMark/>
          </w:tcPr>
          <w:p w14:paraId="0200A7A7"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179.85</w:t>
            </w:r>
          </w:p>
        </w:tc>
        <w:tc>
          <w:tcPr>
            <w:tcW w:w="676" w:type="pct"/>
            <w:tcBorders>
              <w:top w:val="nil"/>
              <w:bottom w:val="nil"/>
            </w:tcBorders>
            <w:shd w:val="clear" w:color="auto" w:fill="auto"/>
            <w:noWrap/>
            <w:vAlign w:val="bottom"/>
            <w:hideMark/>
          </w:tcPr>
          <w:p w14:paraId="6E2C527C"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179.90</w:t>
            </w:r>
          </w:p>
        </w:tc>
        <w:tc>
          <w:tcPr>
            <w:tcW w:w="676" w:type="pct"/>
            <w:tcBorders>
              <w:top w:val="nil"/>
              <w:bottom w:val="nil"/>
            </w:tcBorders>
            <w:shd w:val="clear" w:color="auto" w:fill="auto"/>
            <w:noWrap/>
            <w:vAlign w:val="bottom"/>
            <w:hideMark/>
          </w:tcPr>
          <w:p w14:paraId="35654E52"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176.78</w:t>
            </w:r>
          </w:p>
        </w:tc>
        <w:tc>
          <w:tcPr>
            <w:tcW w:w="676" w:type="pct"/>
            <w:tcBorders>
              <w:top w:val="nil"/>
              <w:bottom w:val="nil"/>
            </w:tcBorders>
            <w:shd w:val="clear" w:color="auto" w:fill="auto"/>
            <w:noWrap/>
            <w:vAlign w:val="bottom"/>
            <w:hideMark/>
          </w:tcPr>
          <w:p w14:paraId="0A7A6028"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177.81</w:t>
            </w:r>
          </w:p>
        </w:tc>
        <w:tc>
          <w:tcPr>
            <w:tcW w:w="676" w:type="pct"/>
            <w:tcBorders>
              <w:top w:val="nil"/>
              <w:bottom w:val="nil"/>
            </w:tcBorders>
            <w:shd w:val="clear" w:color="auto" w:fill="auto"/>
            <w:noWrap/>
            <w:vAlign w:val="bottom"/>
            <w:hideMark/>
          </w:tcPr>
          <w:p w14:paraId="13C79322"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181.62</w:t>
            </w:r>
          </w:p>
        </w:tc>
        <w:tc>
          <w:tcPr>
            <w:tcW w:w="676" w:type="pct"/>
            <w:tcBorders>
              <w:top w:val="nil"/>
              <w:bottom w:val="nil"/>
            </w:tcBorders>
            <w:shd w:val="clear" w:color="auto" w:fill="auto"/>
            <w:noWrap/>
            <w:vAlign w:val="bottom"/>
            <w:hideMark/>
          </w:tcPr>
          <w:p w14:paraId="6A64467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182.55</w:t>
            </w:r>
          </w:p>
        </w:tc>
      </w:tr>
      <w:tr w:rsidR="000B3805" w:rsidRPr="000B3805" w14:paraId="54484AC0" w14:textId="77777777" w:rsidTr="004B6CEE">
        <w:tc>
          <w:tcPr>
            <w:tcW w:w="943" w:type="pct"/>
            <w:tcBorders>
              <w:top w:val="nil"/>
              <w:bottom w:val="nil"/>
            </w:tcBorders>
            <w:shd w:val="clear" w:color="auto" w:fill="auto"/>
            <w:noWrap/>
            <w:vAlign w:val="bottom"/>
            <w:hideMark/>
          </w:tcPr>
          <w:p w14:paraId="444358AE"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Region 1→ 2</m:t>
                </m:r>
              </m:oMath>
            </m:oMathPara>
          </w:p>
        </w:tc>
        <w:tc>
          <w:tcPr>
            <w:tcW w:w="676" w:type="pct"/>
            <w:tcBorders>
              <w:top w:val="nil"/>
              <w:bottom w:val="nil"/>
            </w:tcBorders>
            <w:shd w:val="clear" w:color="auto" w:fill="auto"/>
            <w:noWrap/>
            <w:vAlign w:val="bottom"/>
            <w:hideMark/>
          </w:tcPr>
          <w:p w14:paraId="66ADEED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0.036</w:t>
            </w:r>
          </w:p>
        </w:tc>
        <w:tc>
          <w:tcPr>
            <w:tcW w:w="676" w:type="pct"/>
            <w:tcBorders>
              <w:top w:val="nil"/>
              <w:bottom w:val="nil"/>
            </w:tcBorders>
            <w:shd w:val="clear" w:color="auto" w:fill="auto"/>
            <w:noWrap/>
            <w:vAlign w:val="bottom"/>
            <w:hideMark/>
          </w:tcPr>
          <w:p w14:paraId="39B18474"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0.036</w:t>
            </w:r>
          </w:p>
        </w:tc>
        <w:tc>
          <w:tcPr>
            <w:tcW w:w="676" w:type="pct"/>
            <w:tcBorders>
              <w:top w:val="nil"/>
              <w:bottom w:val="nil"/>
            </w:tcBorders>
            <w:shd w:val="clear" w:color="auto" w:fill="auto"/>
            <w:noWrap/>
            <w:vAlign w:val="bottom"/>
            <w:hideMark/>
          </w:tcPr>
          <w:p w14:paraId="6A332CC1"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0.008</w:t>
            </w:r>
          </w:p>
        </w:tc>
        <w:tc>
          <w:tcPr>
            <w:tcW w:w="676" w:type="pct"/>
            <w:tcBorders>
              <w:top w:val="nil"/>
              <w:bottom w:val="nil"/>
            </w:tcBorders>
            <w:shd w:val="clear" w:color="auto" w:fill="auto"/>
            <w:noWrap/>
            <w:vAlign w:val="bottom"/>
            <w:hideMark/>
          </w:tcPr>
          <w:p w14:paraId="4848E76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0.011</w:t>
            </w:r>
          </w:p>
        </w:tc>
        <w:tc>
          <w:tcPr>
            <w:tcW w:w="676" w:type="pct"/>
            <w:tcBorders>
              <w:top w:val="nil"/>
              <w:bottom w:val="nil"/>
            </w:tcBorders>
            <w:shd w:val="clear" w:color="auto" w:fill="auto"/>
            <w:noWrap/>
            <w:vAlign w:val="bottom"/>
            <w:hideMark/>
          </w:tcPr>
          <w:p w14:paraId="2FE2BEA7"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0.065</w:t>
            </w:r>
          </w:p>
        </w:tc>
        <w:tc>
          <w:tcPr>
            <w:tcW w:w="676" w:type="pct"/>
            <w:tcBorders>
              <w:top w:val="nil"/>
              <w:bottom w:val="nil"/>
            </w:tcBorders>
            <w:shd w:val="clear" w:color="auto" w:fill="auto"/>
            <w:noWrap/>
            <w:vAlign w:val="bottom"/>
            <w:hideMark/>
          </w:tcPr>
          <w:p w14:paraId="28B8CAC9"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0.096</w:t>
            </w:r>
          </w:p>
        </w:tc>
      </w:tr>
      <w:tr w:rsidR="000B3805" w:rsidRPr="000B3805" w14:paraId="5811B078" w14:textId="77777777" w:rsidTr="004B6CEE">
        <w:tc>
          <w:tcPr>
            <w:tcW w:w="943" w:type="pct"/>
            <w:tcBorders>
              <w:top w:val="nil"/>
              <w:bottom w:val="nil"/>
            </w:tcBorders>
            <w:shd w:val="clear" w:color="auto" w:fill="auto"/>
            <w:noWrap/>
            <w:vAlign w:val="bottom"/>
            <w:hideMark/>
          </w:tcPr>
          <w:p w14:paraId="7468776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Region 2→ 1</m:t>
                </m:r>
              </m:oMath>
            </m:oMathPara>
          </w:p>
        </w:tc>
        <w:tc>
          <w:tcPr>
            <w:tcW w:w="676" w:type="pct"/>
            <w:tcBorders>
              <w:top w:val="nil"/>
              <w:bottom w:val="nil"/>
            </w:tcBorders>
            <w:shd w:val="clear" w:color="auto" w:fill="auto"/>
            <w:noWrap/>
            <w:vAlign w:val="bottom"/>
            <w:hideMark/>
          </w:tcPr>
          <w:p w14:paraId="66B9611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0.017</w:t>
            </w:r>
          </w:p>
        </w:tc>
        <w:tc>
          <w:tcPr>
            <w:tcW w:w="676" w:type="pct"/>
            <w:tcBorders>
              <w:top w:val="nil"/>
              <w:bottom w:val="nil"/>
            </w:tcBorders>
            <w:shd w:val="clear" w:color="auto" w:fill="auto"/>
            <w:noWrap/>
            <w:vAlign w:val="bottom"/>
            <w:hideMark/>
          </w:tcPr>
          <w:p w14:paraId="70CF8673"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0.015</w:t>
            </w:r>
          </w:p>
        </w:tc>
        <w:tc>
          <w:tcPr>
            <w:tcW w:w="676" w:type="pct"/>
            <w:tcBorders>
              <w:top w:val="nil"/>
              <w:bottom w:val="nil"/>
            </w:tcBorders>
            <w:shd w:val="clear" w:color="auto" w:fill="auto"/>
            <w:noWrap/>
            <w:vAlign w:val="bottom"/>
            <w:hideMark/>
          </w:tcPr>
          <w:p w14:paraId="6465DFB6"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0.002</w:t>
            </w:r>
          </w:p>
        </w:tc>
        <w:tc>
          <w:tcPr>
            <w:tcW w:w="676" w:type="pct"/>
            <w:tcBorders>
              <w:top w:val="nil"/>
              <w:bottom w:val="nil"/>
            </w:tcBorders>
            <w:shd w:val="clear" w:color="auto" w:fill="auto"/>
            <w:noWrap/>
            <w:vAlign w:val="bottom"/>
            <w:hideMark/>
          </w:tcPr>
          <w:p w14:paraId="334445B9"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0.006</w:t>
            </w:r>
          </w:p>
        </w:tc>
        <w:tc>
          <w:tcPr>
            <w:tcW w:w="676" w:type="pct"/>
            <w:tcBorders>
              <w:top w:val="nil"/>
              <w:bottom w:val="nil"/>
            </w:tcBorders>
            <w:shd w:val="clear" w:color="auto" w:fill="auto"/>
            <w:noWrap/>
            <w:vAlign w:val="bottom"/>
            <w:hideMark/>
          </w:tcPr>
          <w:p w14:paraId="5D33A6A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0.034</w:t>
            </w:r>
          </w:p>
        </w:tc>
        <w:tc>
          <w:tcPr>
            <w:tcW w:w="676" w:type="pct"/>
            <w:tcBorders>
              <w:top w:val="nil"/>
              <w:bottom w:val="nil"/>
            </w:tcBorders>
            <w:shd w:val="clear" w:color="auto" w:fill="auto"/>
            <w:noWrap/>
            <w:vAlign w:val="bottom"/>
            <w:hideMark/>
          </w:tcPr>
          <w:p w14:paraId="218DCD82"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0.044</w:t>
            </w:r>
          </w:p>
        </w:tc>
      </w:tr>
      <w:tr w:rsidR="000B3805" w:rsidRPr="000B3805" w14:paraId="72AE230C" w14:textId="77777777" w:rsidTr="004B6CEE">
        <w:tc>
          <w:tcPr>
            <w:tcW w:w="943" w:type="pct"/>
            <w:tcBorders>
              <w:top w:val="nil"/>
              <w:bottom w:val="nil"/>
            </w:tcBorders>
            <w:shd w:val="clear" w:color="auto" w:fill="auto"/>
            <w:noWrap/>
            <w:vAlign w:val="bottom"/>
            <w:hideMark/>
          </w:tcPr>
          <w:p w14:paraId="39ABC6E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LF scalar</w:t>
            </w:r>
          </w:p>
        </w:tc>
        <w:tc>
          <w:tcPr>
            <w:tcW w:w="676" w:type="pct"/>
            <w:tcBorders>
              <w:top w:val="nil"/>
              <w:bottom w:val="nil"/>
            </w:tcBorders>
            <w:shd w:val="clear" w:color="auto" w:fill="auto"/>
            <w:noWrap/>
            <w:vAlign w:val="bottom"/>
            <w:hideMark/>
          </w:tcPr>
          <w:p w14:paraId="0DFB826A"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33.04</w:t>
            </w:r>
          </w:p>
        </w:tc>
        <w:tc>
          <w:tcPr>
            <w:tcW w:w="676" w:type="pct"/>
            <w:tcBorders>
              <w:top w:val="nil"/>
              <w:bottom w:val="nil"/>
            </w:tcBorders>
            <w:shd w:val="clear" w:color="auto" w:fill="auto"/>
            <w:noWrap/>
            <w:vAlign w:val="bottom"/>
            <w:hideMark/>
          </w:tcPr>
          <w:p w14:paraId="04C6C9D8"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32.00</w:t>
            </w:r>
          </w:p>
        </w:tc>
        <w:tc>
          <w:tcPr>
            <w:tcW w:w="676" w:type="pct"/>
            <w:tcBorders>
              <w:top w:val="nil"/>
              <w:bottom w:val="nil"/>
            </w:tcBorders>
            <w:shd w:val="clear" w:color="auto" w:fill="auto"/>
            <w:noWrap/>
            <w:vAlign w:val="bottom"/>
            <w:hideMark/>
          </w:tcPr>
          <w:p w14:paraId="593A12D2"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20.00</w:t>
            </w:r>
          </w:p>
        </w:tc>
        <w:tc>
          <w:tcPr>
            <w:tcW w:w="676" w:type="pct"/>
            <w:tcBorders>
              <w:top w:val="nil"/>
              <w:bottom w:val="nil"/>
            </w:tcBorders>
            <w:shd w:val="clear" w:color="auto" w:fill="auto"/>
            <w:noWrap/>
            <w:vAlign w:val="bottom"/>
            <w:hideMark/>
          </w:tcPr>
          <w:p w14:paraId="23F0FAB3"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22.00</w:t>
            </w:r>
          </w:p>
        </w:tc>
        <w:tc>
          <w:tcPr>
            <w:tcW w:w="676" w:type="pct"/>
            <w:tcBorders>
              <w:top w:val="nil"/>
              <w:bottom w:val="nil"/>
            </w:tcBorders>
            <w:shd w:val="clear" w:color="auto" w:fill="auto"/>
            <w:noWrap/>
            <w:vAlign w:val="bottom"/>
            <w:hideMark/>
          </w:tcPr>
          <w:p w14:paraId="6ECE7AE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46.60</w:t>
            </w:r>
          </w:p>
        </w:tc>
        <w:tc>
          <w:tcPr>
            <w:tcW w:w="676" w:type="pct"/>
            <w:tcBorders>
              <w:top w:val="nil"/>
              <w:bottom w:val="nil"/>
            </w:tcBorders>
            <w:shd w:val="clear" w:color="auto" w:fill="auto"/>
            <w:noWrap/>
            <w:vAlign w:val="bottom"/>
            <w:hideMark/>
          </w:tcPr>
          <w:p w14:paraId="024D832E"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49.00</w:t>
            </w:r>
          </w:p>
        </w:tc>
      </w:tr>
      <w:tr w:rsidR="000B3805" w:rsidRPr="000B3805" w14:paraId="6744B5EF" w14:textId="77777777" w:rsidTr="004B6CEE">
        <w:tc>
          <w:tcPr>
            <w:tcW w:w="943" w:type="pct"/>
            <w:tcBorders>
              <w:top w:val="nil"/>
              <w:bottom w:val="nil"/>
            </w:tcBorders>
            <w:shd w:val="clear" w:color="auto" w:fill="auto"/>
            <w:noWrap/>
            <w:vAlign w:val="bottom"/>
            <w:hideMark/>
          </w:tcPr>
          <w:p w14:paraId="1D836B11"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WF scalar</w:t>
            </w:r>
          </w:p>
        </w:tc>
        <w:tc>
          <w:tcPr>
            <w:tcW w:w="676" w:type="pct"/>
            <w:tcBorders>
              <w:top w:val="nil"/>
              <w:bottom w:val="nil"/>
            </w:tcBorders>
            <w:shd w:val="clear" w:color="auto" w:fill="auto"/>
            <w:noWrap/>
            <w:vAlign w:val="bottom"/>
            <w:hideMark/>
          </w:tcPr>
          <w:p w14:paraId="55AF1E5A"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30.24</w:t>
            </w:r>
          </w:p>
        </w:tc>
        <w:tc>
          <w:tcPr>
            <w:tcW w:w="676" w:type="pct"/>
            <w:tcBorders>
              <w:top w:val="nil"/>
              <w:bottom w:val="nil"/>
            </w:tcBorders>
            <w:shd w:val="clear" w:color="auto" w:fill="auto"/>
            <w:noWrap/>
            <w:vAlign w:val="bottom"/>
            <w:hideMark/>
          </w:tcPr>
          <w:p w14:paraId="3A2C3EDC"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30.00</w:t>
            </w:r>
          </w:p>
        </w:tc>
        <w:tc>
          <w:tcPr>
            <w:tcW w:w="676" w:type="pct"/>
            <w:tcBorders>
              <w:top w:val="nil"/>
              <w:bottom w:val="nil"/>
            </w:tcBorders>
            <w:shd w:val="clear" w:color="auto" w:fill="auto"/>
            <w:noWrap/>
            <w:vAlign w:val="bottom"/>
            <w:hideMark/>
          </w:tcPr>
          <w:p w14:paraId="4E74416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11.24</w:t>
            </w:r>
          </w:p>
        </w:tc>
        <w:tc>
          <w:tcPr>
            <w:tcW w:w="676" w:type="pct"/>
            <w:tcBorders>
              <w:top w:val="nil"/>
              <w:bottom w:val="nil"/>
            </w:tcBorders>
            <w:shd w:val="clear" w:color="auto" w:fill="auto"/>
            <w:noWrap/>
            <w:vAlign w:val="bottom"/>
            <w:hideMark/>
          </w:tcPr>
          <w:p w14:paraId="5CFF0C0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13.40</w:t>
            </w:r>
          </w:p>
        </w:tc>
        <w:tc>
          <w:tcPr>
            <w:tcW w:w="676" w:type="pct"/>
            <w:tcBorders>
              <w:top w:val="nil"/>
              <w:bottom w:val="nil"/>
            </w:tcBorders>
            <w:shd w:val="clear" w:color="auto" w:fill="auto"/>
            <w:noWrap/>
            <w:vAlign w:val="bottom"/>
            <w:hideMark/>
          </w:tcPr>
          <w:p w14:paraId="3F7E2890"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45.20</w:t>
            </w:r>
          </w:p>
        </w:tc>
        <w:tc>
          <w:tcPr>
            <w:tcW w:w="676" w:type="pct"/>
            <w:tcBorders>
              <w:top w:val="nil"/>
              <w:bottom w:val="nil"/>
            </w:tcBorders>
            <w:shd w:val="clear" w:color="auto" w:fill="auto"/>
            <w:noWrap/>
            <w:vAlign w:val="bottom"/>
            <w:hideMark/>
          </w:tcPr>
          <w:p w14:paraId="65E6EDF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47.76</w:t>
            </w:r>
          </w:p>
        </w:tc>
      </w:tr>
      <w:tr w:rsidR="000B3805" w:rsidRPr="000B3805" w14:paraId="30AEEE1A" w14:textId="77777777" w:rsidTr="004B6CEE">
        <w:tc>
          <w:tcPr>
            <w:tcW w:w="943" w:type="pct"/>
            <w:tcBorders>
              <w:top w:val="nil"/>
              <w:bottom w:val="nil"/>
            </w:tcBorders>
            <w:shd w:val="clear" w:color="auto" w:fill="auto"/>
            <w:noWrap/>
            <w:vAlign w:val="bottom"/>
            <w:hideMark/>
          </w:tcPr>
          <w:p w14:paraId="52048669"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Recruitment CV</w:t>
            </w:r>
          </w:p>
        </w:tc>
        <w:tc>
          <w:tcPr>
            <w:tcW w:w="676" w:type="pct"/>
            <w:tcBorders>
              <w:top w:val="nil"/>
              <w:bottom w:val="nil"/>
            </w:tcBorders>
            <w:shd w:val="clear" w:color="auto" w:fill="auto"/>
            <w:noWrap/>
            <w:vAlign w:val="bottom"/>
            <w:hideMark/>
          </w:tcPr>
          <w:p w14:paraId="12A55C43"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0.52</w:t>
            </w:r>
          </w:p>
        </w:tc>
        <w:tc>
          <w:tcPr>
            <w:tcW w:w="676" w:type="pct"/>
            <w:tcBorders>
              <w:top w:val="nil"/>
              <w:bottom w:val="nil"/>
            </w:tcBorders>
            <w:shd w:val="clear" w:color="auto" w:fill="auto"/>
            <w:noWrap/>
            <w:vAlign w:val="bottom"/>
            <w:hideMark/>
          </w:tcPr>
          <w:p w14:paraId="6CD14251"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0.50</w:t>
            </w:r>
          </w:p>
        </w:tc>
        <w:tc>
          <w:tcPr>
            <w:tcW w:w="676" w:type="pct"/>
            <w:tcBorders>
              <w:top w:val="nil"/>
              <w:bottom w:val="nil"/>
            </w:tcBorders>
            <w:shd w:val="clear" w:color="auto" w:fill="auto"/>
            <w:noWrap/>
            <w:vAlign w:val="bottom"/>
            <w:hideMark/>
          </w:tcPr>
          <w:p w14:paraId="32E9FE4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0.29</w:t>
            </w:r>
          </w:p>
        </w:tc>
        <w:tc>
          <w:tcPr>
            <w:tcW w:w="676" w:type="pct"/>
            <w:tcBorders>
              <w:top w:val="nil"/>
              <w:bottom w:val="nil"/>
            </w:tcBorders>
            <w:shd w:val="clear" w:color="auto" w:fill="auto"/>
            <w:noWrap/>
            <w:vAlign w:val="bottom"/>
            <w:hideMark/>
          </w:tcPr>
          <w:p w14:paraId="55CDF14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0.29</w:t>
            </w:r>
          </w:p>
        </w:tc>
        <w:tc>
          <w:tcPr>
            <w:tcW w:w="676" w:type="pct"/>
            <w:tcBorders>
              <w:top w:val="nil"/>
              <w:bottom w:val="nil"/>
            </w:tcBorders>
            <w:shd w:val="clear" w:color="auto" w:fill="auto"/>
            <w:noWrap/>
            <w:vAlign w:val="bottom"/>
            <w:hideMark/>
          </w:tcPr>
          <w:p w14:paraId="58AEA6D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0.71</w:t>
            </w:r>
          </w:p>
        </w:tc>
        <w:tc>
          <w:tcPr>
            <w:tcW w:w="676" w:type="pct"/>
            <w:tcBorders>
              <w:top w:val="nil"/>
              <w:bottom w:val="nil"/>
            </w:tcBorders>
            <w:shd w:val="clear" w:color="auto" w:fill="auto"/>
            <w:noWrap/>
            <w:vAlign w:val="bottom"/>
            <w:hideMark/>
          </w:tcPr>
          <w:p w14:paraId="3F440CE1"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0.71</w:t>
            </w:r>
          </w:p>
        </w:tc>
      </w:tr>
      <w:tr w:rsidR="000B3805" w:rsidRPr="000B3805" w14:paraId="53815716" w14:textId="77777777" w:rsidTr="004B6CEE">
        <w:tc>
          <w:tcPr>
            <w:tcW w:w="943" w:type="pct"/>
            <w:tcBorders>
              <w:top w:val="nil"/>
              <w:bottom w:val="nil"/>
            </w:tcBorders>
            <w:shd w:val="clear" w:color="auto" w:fill="auto"/>
            <w:noWrap/>
            <w:vAlign w:val="bottom"/>
            <w:hideMark/>
          </w:tcPr>
          <w:p w14:paraId="41F13788"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AU index CV</w:t>
            </w:r>
          </w:p>
        </w:tc>
        <w:tc>
          <w:tcPr>
            <w:tcW w:w="676" w:type="pct"/>
            <w:tcBorders>
              <w:top w:val="nil"/>
              <w:bottom w:val="nil"/>
            </w:tcBorders>
            <w:shd w:val="clear" w:color="auto" w:fill="auto"/>
            <w:noWrap/>
            <w:vAlign w:val="bottom"/>
            <w:hideMark/>
          </w:tcPr>
          <w:p w14:paraId="5DEC3F4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0.46</w:t>
            </w:r>
          </w:p>
        </w:tc>
        <w:tc>
          <w:tcPr>
            <w:tcW w:w="676" w:type="pct"/>
            <w:tcBorders>
              <w:top w:val="nil"/>
              <w:bottom w:val="nil"/>
            </w:tcBorders>
            <w:shd w:val="clear" w:color="auto" w:fill="auto"/>
            <w:noWrap/>
            <w:vAlign w:val="bottom"/>
            <w:hideMark/>
          </w:tcPr>
          <w:p w14:paraId="4B45B0E9"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0.37</w:t>
            </w:r>
          </w:p>
        </w:tc>
        <w:tc>
          <w:tcPr>
            <w:tcW w:w="676" w:type="pct"/>
            <w:tcBorders>
              <w:top w:val="nil"/>
              <w:bottom w:val="nil"/>
            </w:tcBorders>
            <w:shd w:val="clear" w:color="auto" w:fill="auto"/>
            <w:noWrap/>
            <w:vAlign w:val="bottom"/>
            <w:hideMark/>
          </w:tcPr>
          <w:p w14:paraId="4BA0B41C"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0.11</w:t>
            </w:r>
          </w:p>
        </w:tc>
        <w:tc>
          <w:tcPr>
            <w:tcW w:w="676" w:type="pct"/>
            <w:tcBorders>
              <w:top w:val="nil"/>
              <w:bottom w:val="nil"/>
            </w:tcBorders>
            <w:shd w:val="clear" w:color="auto" w:fill="auto"/>
            <w:noWrap/>
            <w:vAlign w:val="bottom"/>
            <w:hideMark/>
          </w:tcPr>
          <w:p w14:paraId="6F2A6B5D"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0.13</w:t>
            </w:r>
          </w:p>
        </w:tc>
        <w:tc>
          <w:tcPr>
            <w:tcW w:w="676" w:type="pct"/>
            <w:tcBorders>
              <w:top w:val="nil"/>
              <w:bottom w:val="nil"/>
            </w:tcBorders>
            <w:shd w:val="clear" w:color="auto" w:fill="auto"/>
            <w:noWrap/>
            <w:vAlign w:val="bottom"/>
            <w:hideMark/>
          </w:tcPr>
          <w:p w14:paraId="4965BCC8"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0.78</w:t>
            </w:r>
          </w:p>
        </w:tc>
        <w:tc>
          <w:tcPr>
            <w:tcW w:w="676" w:type="pct"/>
            <w:tcBorders>
              <w:top w:val="nil"/>
              <w:bottom w:val="nil"/>
            </w:tcBorders>
            <w:shd w:val="clear" w:color="auto" w:fill="auto"/>
            <w:noWrap/>
            <w:vAlign w:val="bottom"/>
            <w:hideMark/>
          </w:tcPr>
          <w:p w14:paraId="5F081102"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0.80</w:t>
            </w:r>
          </w:p>
        </w:tc>
      </w:tr>
      <w:tr w:rsidR="00AD090D" w:rsidRPr="000B3805" w14:paraId="2659DB31" w14:textId="77777777" w:rsidTr="004B6CEE">
        <w:tc>
          <w:tcPr>
            <w:tcW w:w="943" w:type="pct"/>
            <w:tcBorders>
              <w:top w:val="nil"/>
            </w:tcBorders>
            <w:shd w:val="clear" w:color="auto" w:fill="auto"/>
            <w:noWrap/>
            <w:vAlign w:val="bottom"/>
            <w:hideMark/>
          </w:tcPr>
          <w:p w14:paraId="23F6CD4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NZ index CV</w:t>
            </w:r>
          </w:p>
        </w:tc>
        <w:tc>
          <w:tcPr>
            <w:tcW w:w="676" w:type="pct"/>
            <w:tcBorders>
              <w:top w:val="nil"/>
            </w:tcBorders>
            <w:shd w:val="clear" w:color="auto" w:fill="auto"/>
            <w:noWrap/>
            <w:vAlign w:val="bottom"/>
            <w:hideMark/>
          </w:tcPr>
          <w:p w14:paraId="4E2DA795"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0.43</w:t>
            </w:r>
          </w:p>
        </w:tc>
        <w:tc>
          <w:tcPr>
            <w:tcW w:w="676" w:type="pct"/>
            <w:tcBorders>
              <w:top w:val="nil"/>
            </w:tcBorders>
            <w:shd w:val="clear" w:color="auto" w:fill="auto"/>
            <w:noWrap/>
            <w:vAlign w:val="bottom"/>
            <w:hideMark/>
          </w:tcPr>
          <w:p w14:paraId="4882DEF6"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0.42</w:t>
            </w:r>
          </w:p>
        </w:tc>
        <w:tc>
          <w:tcPr>
            <w:tcW w:w="676" w:type="pct"/>
            <w:tcBorders>
              <w:top w:val="nil"/>
            </w:tcBorders>
            <w:shd w:val="clear" w:color="auto" w:fill="auto"/>
            <w:noWrap/>
            <w:vAlign w:val="bottom"/>
            <w:hideMark/>
          </w:tcPr>
          <w:p w14:paraId="5FB0696B"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0.11</w:t>
            </w:r>
          </w:p>
        </w:tc>
        <w:tc>
          <w:tcPr>
            <w:tcW w:w="676" w:type="pct"/>
            <w:tcBorders>
              <w:top w:val="nil"/>
            </w:tcBorders>
            <w:shd w:val="clear" w:color="auto" w:fill="auto"/>
            <w:noWrap/>
            <w:vAlign w:val="bottom"/>
            <w:hideMark/>
          </w:tcPr>
          <w:p w14:paraId="0DC916D9"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0.19</w:t>
            </w:r>
          </w:p>
        </w:tc>
        <w:tc>
          <w:tcPr>
            <w:tcW w:w="676" w:type="pct"/>
            <w:tcBorders>
              <w:top w:val="nil"/>
            </w:tcBorders>
            <w:shd w:val="clear" w:color="auto" w:fill="auto"/>
            <w:noWrap/>
            <w:vAlign w:val="bottom"/>
            <w:hideMark/>
          </w:tcPr>
          <w:p w14:paraId="767E48AA"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0.71</w:t>
            </w:r>
          </w:p>
        </w:tc>
        <w:tc>
          <w:tcPr>
            <w:tcW w:w="676" w:type="pct"/>
            <w:tcBorders>
              <w:top w:val="nil"/>
            </w:tcBorders>
            <w:shd w:val="clear" w:color="auto" w:fill="auto"/>
            <w:noWrap/>
            <w:vAlign w:val="bottom"/>
            <w:hideMark/>
          </w:tcPr>
          <w:p w14:paraId="65B686AF" w14:textId="77777777" w:rsidR="00AD090D" w:rsidRPr="000B3805" w:rsidRDefault="00AD090D" w:rsidP="00307A7F">
            <w:pPr>
              <w:adjustRightInd w:val="0"/>
              <w:snapToGrid w:val="0"/>
              <w:spacing w:after="0" w:line="240" w:lineRule="auto"/>
              <w:jc w:val="center"/>
              <w:rPr>
                <w:rFonts w:ascii="Times New Roman" w:hAnsi="Times New Roman" w:cs="Times New Roman"/>
                <w:sz w:val="20"/>
                <w:szCs w:val="20"/>
              </w:rPr>
            </w:pPr>
            <w:r w:rsidRPr="000B3805">
              <w:rPr>
                <w:rFonts w:ascii="Times New Roman" w:hAnsi="Times New Roman" w:cs="Times New Roman"/>
                <w:sz w:val="20"/>
                <w:szCs w:val="20"/>
              </w:rPr>
              <w:t>0.78</w:t>
            </w:r>
          </w:p>
        </w:tc>
      </w:tr>
    </w:tbl>
    <w:p w14:paraId="603AA4B1" w14:textId="77777777" w:rsidR="00AD090D" w:rsidRPr="000B3805" w:rsidRDefault="00AD090D" w:rsidP="00307A7F">
      <w:pPr>
        <w:keepNext/>
        <w:adjustRightInd w:val="0"/>
        <w:snapToGrid w:val="0"/>
        <w:spacing w:after="0" w:line="240" w:lineRule="auto"/>
        <w:jc w:val="both"/>
        <w:rPr>
          <w:rFonts w:ascii="Times New Roman" w:hAnsi="Times New Roman" w:cs="Times New Roman"/>
          <w:b/>
          <w:bCs/>
        </w:rPr>
      </w:pPr>
    </w:p>
    <w:p w14:paraId="44CCF57D" w14:textId="77777777" w:rsidR="00AD090D" w:rsidRPr="000B3805" w:rsidRDefault="00AD090D" w:rsidP="00307A7F">
      <w:pPr>
        <w:keepNext/>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t>Table SWO-02</w:t>
      </w:r>
      <w:r w:rsidRPr="000B3805">
        <w:rPr>
          <w:rFonts w:ascii="Times New Roman" w:hAnsi="Times New Roman" w:cs="Times New Roman"/>
        </w:rPr>
        <w:t>. Percentage of models remaining across the ensemble (Aggregate) and for each factorial level following each post-hoc filtration step.</w:t>
      </w:r>
    </w:p>
    <w:tbl>
      <w:tblPr>
        <w:tblW w:w="5000" w:type="pct"/>
        <w:tblLayout w:type="fixed"/>
        <w:tblLook w:val="04A0" w:firstRow="1" w:lastRow="0" w:firstColumn="1" w:lastColumn="0" w:noHBand="0" w:noVBand="1"/>
      </w:tblPr>
      <w:tblGrid>
        <w:gridCol w:w="272"/>
        <w:gridCol w:w="623"/>
        <w:gridCol w:w="695"/>
        <w:gridCol w:w="696"/>
        <w:gridCol w:w="696"/>
        <w:gridCol w:w="696"/>
        <w:gridCol w:w="676"/>
        <w:gridCol w:w="676"/>
        <w:gridCol w:w="676"/>
        <w:gridCol w:w="1088"/>
        <w:gridCol w:w="983"/>
        <w:gridCol w:w="54"/>
        <w:gridCol w:w="638"/>
        <w:gridCol w:w="80"/>
        <w:gridCol w:w="811"/>
      </w:tblGrid>
      <w:tr w:rsidR="000B3805" w:rsidRPr="000B3805" w14:paraId="1766F985" w14:textId="77777777" w:rsidTr="004B6CEE">
        <w:trPr>
          <w:trHeight w:val="276"/>
        </w:trPr>
        <w:tc>
          <w:tcPr>
            <w:tcW w:w="145" w:type="pct"/>
            <w:tcBorders>
              <w:top w:val="single" w:sz="4" w:space="0" w:color="auto"/>
              <w:left w:val="nil"/>
              <w:bottom w:val="single" w:sz="4" w:space="0" w:color="auto"/>
              <w:right w:val="nil"/>
            </w:tcBorders>
            <w:shd w:val="clear" w:color="000000" w:fill="FFFFFF"/>
            <w:noWrap/>
            <w:vAlign w:val="bottom"/>
            <w:hideMark/>
          </w:tcPr>
          <w:p w14:paraId="05F2986D" w14:textId="77777777" w:rsidR="00AD090D" w:rsidRPr="000B3805" w:rsidRDefault="00AD090D" w:rsidP="00307A7F">
            <w:pPr>
              <w:adjustRightInd w:val="0"/>
              <w:snapToGrid w:val="0"/>
              <w:spacing w:after="0" w:line="240" w:lineRule="auto"/>
              <w:jc w:val="both"/>
              <w:rPr>
                <w:rFonts w:ascii="Times New Roman" w:hAnsi="Times New Roman" w:cs="Times New Roman"/>
                <w:sz w:val="16"/>
                <w:szCs w:val="16"/>
              </w:rPr>
            </w:pPr>
            <w:r w:rsidRPr="000B3805">
              <w:rPr>
                <w:rFonts w:ascii="Times New Roman" w:hAnsi="Times New Roman" w:cs="Times New Roman"/>
                <w:sz w:val="16"/>
                <w:szCs w:val="16"/>
              </w:rPr>
              <w:t> </w:t>
            </w:r>
          </w:p>
        </w:tc>
        <w:tc>
          <w:tcPr>
            <w:tcW w:w="333" w:type="pct"/>
            <w:tcBorders>
              <w:top w:val="single" w:sz="4" w:space="0" w:color="auto"/>
              <w:left w:val="nil"/>
              <w:bottom w:val="single" w:sz="4" w:space="0" w:color="auto"/>
              <w:right w:val="nil"/>
            </w:tcBorders>
            <w:shd w:val="clear" w:color="auto" w:fill="D9D9D9" w:themeFill="background1" w:themeFillShade="D9"/>
            <w:noWrap/>
            <w:vAlign w:val="center"/>
            <w:hideMark/>
          </w:tcPr>
          <w:p w14:paraId="46CE432C" w14:textId="77777777" w:rsidR="00AD090D" w:rsidRPr="000B3805" w:rsidRDefault="00AD090D" w:rsidP="00307A7F">
            <w:pPr>
              <w:adjustRightInd w:val="0"/>
              <w:snapToGrid w:val="0"/>
              <w:spacing w:after="0" w:line="240" w:lineRule="auto"/>
              <w:ind w:left="-20"/>
              <w:jc w:val="center"/>
              <w:rPr>
                <w:rFonts w:ascii="Times New Roman" w:hAnsi="Times New Roman" w:cs="Times New Roman"/>
                <w:sz w:val="16"/>
                <w:szCs w:val="16"/>
              </w:rPr>
            </w:pPr>
            <w:r w:rsidRPr="000B3805">
              <w:rPr>
                <w:rFonts w:ascii="Times New Roman" w:hAnsi="Times New Roman" w:cs="Times New Roman"/>
                <w:sz w:val="16"/>
                <w:szCs w:val="16"/>
              </w:rPr>
              <w:t>Aggregate</w:t>
            </w:r>
          </w:p>
        </w:tc>
        <w:tc>
          <w:tcPr>
            <w:tcW w:w="371" w:type="pct"/>
            <w:tcBorders>
              <w:top w:val="single" w:sz="4" w:space="0" w:color="auto"/>
              <w:left w:val="nil"/>
              <w:bottom w:val="single" w:sz="4" w:space="0" w:color="auto"/>
              <w:right w:val="nil"/>
            </w:tcBorders>
            <w:shd w:val="clear" w:color="auto" w:fill="D9D9D9" w:themeFill="background1" w:themeFillShade="D9"/>
            <w:noWrap/>
            <w:vAlign w:val="center"/>
            <w:hideMark/>
          </w:tcPr>
          <w:p w14:paraId="71F3C3F3" w14:textId="77777777" w:rsidR="00AD090D" w:rsidRPr="000B3805" w:rsidRDefault="00AD090D" w:rsidP="00307A7F">
            <w:pPr>
              <w:adjustRightInd w:val="0"/>
              <w:snapToGrid w:val="0"/>
              <w:spacing w:after="0" w:line="240" w:lineRule="auto"/>
              <w:ind w:left="-24"/>
              <w:jc w:val="center"/>
              <w:rPr>
                <w:rFonts w:ascii="Times New Roman" w:hAnsi="Times New Roman" w:cs="Times New Roman"/>
                <w:sz w:val="16"/>
                <w:szCs w:val="16"/>
              </w:rPr>
            </w:pPr>
            <w:r w:rsidRPr="000B3805">
              <w:rPr>
                <w:rFonts w:ascii="Times New Roman" w:hAnsi="Times New Roman" w:cs="Times New Roman"/>
                <w:sz w:val="16"/>
                <w:szCs w:val="16"/>
              </w:rPr>
              <w:t>DWFN - EU</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2FB140BB" w14:textId="77777777" w:rsidR="00AD090D" w:rsidRPr="000B3805" w:rsidRDefault="00AD090D" w:rsidP="00307A7F">
            <w:pPr>
              <w:adjustRightInd w:val="0"/>
              <w:snapToGrid w:val="0"/>
              <w:spacing w:after="0" w:line="240" w:lineRule="auto"/>
              <w:ind w:left="-96"/>
              <w:jc w:val="center"/>
              <w:rPr>
                <w:rFonts w:ascii="Times New Roman" w:hAnsi="Times New Roman" w:cs="Times New Roman"/>
                <w:sz w:val="16"/>
                <w:szCs w:val="16"/>
              </w:rPr>
            </w:pPr>
            <w:r w:rsidRPr="000B3805">
              <w:rPr>
                <w:rFonts w:ascii="Times New Roman" w:hAnsi="Times New Roman" w:cs="Times New Roman"/>
                <w:sz w:val="16"/>
                <w:szCs w:val="16"/>
              </w:rPr>
              <w:t>DWFN - JP</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3E0D1EB9" w14:textId="77777777" w:rsidR="00AD090D" w:rsidRPr="000B3805" w:rsidRDefault="00AD090D" w:rsidP="00307A7F">
            <w:pPr>
              <w:adjustRightInd w:val="0"/>
              <w:snapToGrid w:val="0"/>
              <w:spacing w:after="0" w:line="240" w:lineRule="auto"/>
              <w:jc w:val="center"/>
              <w:rPr>
                <w:rFonts w:ascii="Times New Roman" w:hAnsi="Times New Roman" w:cs="Times New Roman"/>
                <w:sz w:val="16"/>
                <w:szCs w:val="16"/>
              </w:rPr>
            </w:pPr>
            <w:r w:rsidRPr="000B3805">
              <w:rPr>
                <w:rFonts w:ascii="Times New Roman" w:hAnsi="Times New Roman" w:cs="Times New Roman"/>
                <w:sz w:val="16"/>
                <w:szCs w:val="16"/>
              </w:rPr>
              <w:t>DWFN - TW</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1860826A" w14:textId="77777777" w:rsidR="00AD090D" w:rsidRPr="000B3805" w:rsidRDefault="00AD090D" w:rsidP="00307A7F">
            <w:pPr>
              <w:adjustRightInd w:val="0"/>
              <w:snapToGrid w:val="0"/>
              <w:spacing w:after="0" w:line="240" w:lineRule="auto"/>
              <w:jc w:val="center"/>
              <w:rPr>
                <w:rFonts w:ascii="Times New Roman" w:hAnsi="Times New Roman" w:cs="Times New Roman"/>
                <w:sz w:val="16"/>
                <w:szCs w:val="16"/>
              </w:rPr>
            </w:pPr>
            <w:r w:rsidRPr="000B3805">
              <w:rPr>
                <w:rFonts w:ascii="Times New Roman" w:hAnsi="Times New Roman" w:cs="Times New Roman"/>
                <w:sz w:val="16"/>
                <w:szCs w:val="16"/>
              </w:rPr>
              <w:t>DWFN - None</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4977E2DD" w14:textId="77777777" w:rsidR="00AD090D" w:rsidRPr="000B3805" w:rsidRDefault="00AD090D" w:rsidP="00307A7F">
            <w:pPr>
              <w:adjustRightInd w:val="0"/>
              <w:snapToGrid w:val="0"/>
              <w:spacing w:after="0" w:line="240" w:lineRule="auto"/>
              <w:jc w:val="center"/>
              <w:rPr>
                <w:rFonts w:ascii="Times New Roman" w:hAnsi="Times New Roman" w:cs="Times New Roman"/>
                <w:sz w:val="16"/>
                <w:szCs w:val="16"/>
              </w:rPr>
            </w:pPr>
            <w:r w:rsidRPr="000B3805">
              <w:rPr>
                <w:rFonts w:ascii="Times New Roman" w:hAnsi="Times New Roman" w:cs="Times New Roman"/>
                <w:sz w:val="16"/>
                <w:szCs w:val="16"/>
              </w:rPr>
              <w:t>BH CV -0.7</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174727A2" w14:textId="77777777" w:rsidR="00AD090D" w:rsidRPr="000B3805" w:rsidRDefault="00AD090D" w:rsidP="00307A7F">
            <w:pPr>
              <w:adjustRightInd w:val="0"/>
              <w:snapToGrid w:val="0"/>
              <w:spacing w:after="0" w:line="240" w:lineRule="auto"/>
              <w:jc w:val="center"/>
              <w:rPr>
                <w:rFonts w:ascii="Times New Roman" w:hAnsi="Times New Roman" w:cs="Times New Roman"/>
                <w:sz w:val="16"/>
                <w:szCs w:val="16"/>
              </w:rPr>
            </w:pPr>
            <w:r w:rsidRPr="000B3805">
              <w:rPr>
                <w:rFonts w:ascii="Times New Roman" w:hAnsi="Times New Roman" w:cs="Times New Roman"/>
                <w:sz w:val="16"/>
                <w:szCs w:val="16"/>
              </w:rPr>
              <w:t>BH CV - 0.5</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1FC8222F" w14:textId="77777777" w:rsidR="00AD090D" w:rsidRPr="000B3805" w:rsidRDefault="00AD090D" w:rsidP="00307A7F">
            <w:pPr>
              <w:adjustRightInd w:val="0"/>
              <w:snapToGrid w:val="0"/>
              <w:spacing w:after="0" w:line="240" w:lineRule="auto"/>
              <w:jc w:val="center"/>
              <w:rPr>
                <w:rFonts w:ascii="Times New Roman" w:hAnsi="Times New Roman" w:cs="Times New Roman"/>
                <w:sz w:val="16"/>
                <w:szCs w:val="16"/>
              </w:rPr>
            </w:pPr>
            <w:r w:rsidRPr="000B3805">
              <w:rPr>
                <w:rFonts w:ascii="Times New Roman" w:hAnsi="Times New Roman" w:cs="Times New Roman"/>
                <w:sz w:val="16"/>
                <w:szCs w:val="16"/>
              </w:rPr>
              <w:t>BH CV - 0.3</w:t>
            </w:r>
          </w:p>
        </w:tc>
        <w:tc>
          <w:tcPr>
            <w:tcW w:w="581" w:type="pct"/>
            <w:tcBorders>
              <w:top w:val="single" w:sz="4" w:space="0" w:color="auto"/>
              <w:left w:val="nil"/>
              <w:bottom w:val="single" w:sz="4" w:space="0" w:color="auto"/>
              <w:right w:val="nil"/>
            </w:tcBorders>
            <w:shd w:val="clear" w:color="auto" w:fill="D9D9D9" w:themeFill="background1" w:themeFillShade="D9"/>
            <w:noWrap/>
            <w:vAlign w:val="center"/>
            <w:hideMark/>
          </w:tcPr>
          <w:p w14:paraId="5BD41E9E" w14:textId="77777777" w:rsidR="00AD090D" w:rsidRPr="000B3805" w:rsidRDefault="00AD090D" w:rsidP="00307A7F">
            <w:pPr>
              <w:adjustRightInd w:val="0"/>
              <w:snapToGrid w:val="0"/>
              <w:spacing w:after="0" w:line="240" w:lineRule="auto"/>
              <w:ind w:left="-57" w:right="-68"/>
              <w:jc w:val="center"/>
              <w:rPr>
                <w:rFonts w:ascii="Times New Roman" w:hAnsi="Times New Roman" w:cs="Times New Roman"/>
                <w:sz w:val="16"/>
                <w:szCs w:val="16"/>
              </w:rPr>
            </w:pPr>
            <w:r w:rsidRPr="000B3805">
              <w:rPr>
                <w:rFonts w:ascii="Times New Roman" w:hAnsi="Times New Roman" w:cs="Times New Roman"/>
                <w:sz w:val="16"/>
                <w:szCs w:val="16"/>
              </w:rPr>
              <w:t>t</w:t>
            </w:r>
            <w:r w:rsidRPr="000B3805">
              <w:rPr>
                <w:rFonts w:ascii="Times New Roman" w:hAnsi="Times New Roman" w:cs="Times New Roman"/>
                <w:sz w:val="16"/>
                <w:szCs w:val="16"/>
                <w:vertAlign w:val="subscript"/>
              </w:rPr>
              <w:t>0</w:t>
            </w:r>
            <w:r w:rsidRPr="000B3805">
              <w:rPr>
                <w:rFonts w:ascii="Times New Roman" w:hAnsi="Times New Roman" w:cs="Times New Roman"/>
                <w:sz w:val="16"/>
                <w:szCs w:val="16"/>
              </w:rPr>
              <w:t xml:space="preserve"> prior - Uninformative</w:t>
            </w:r>
          </w:p>
        </w:tc>
        <w:tc>
          <w:tcPr>
            <w:tcW w:w="55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73A7806B" w14:textId="77777777" w:rsidR="00AD090D" w:rsidRPr="000B3805" w:rsidRDefault="00AD090D" w:rsidP="00307A7F">
            <w:pPr>
              <w:adjustRightInd w:val="0"/>
              <w:snapToGrid w:val="0"/>
              <w:spacing w:after="0" w:line="240" w:lineRule="auto"/>
              <w:jc w:val="center"/>
              <w:rPr>
                <w:rFonts w:ascii="Times New Roman" w:hAnsi="Times New Roman" w:cs="Times New Roman"/>
                <w:sz w:val="16"/>
                <w:szCs w:val="16"/>
              </w:rPr>
            </w:pPr>
            <w:r w:rsidRPr="000B3805">
              <w:rPr>
                <w:rFonts w:ascii="Times New Roman" w:hAnsi="Times New Roman" w:cs="Times New Roman"/>
                <w:sz w:val="16"/>
                <w:szCs w:val="16"/>
              </w:rPr>
              <w:t>t</w:t>
            </w:r>
            <w:r w:rsidRPr="000B3805">
              <w:rPr>
                <w:rFonts w:ascii="Times New Roman" w:hAnsi="Times New Roman" w:cs="Times New Roman"/>
                <w:sz w:val="16"/>
                <w:szCs w:val="16"/>
                <w:vertAlign w:val="subscript"/>
              </w:rPr>
              <w:t>0</w:t>
            </w:r>
            <w:r w:rsidRPr="000B3805">
              <w:rPr>
                <w:rFonts w:ascii="Times New Roman" w:hAnsi="Times New Roman" w:cs="Times New Roman"/>
                <w:sz w:val="16"/>
                <w:szCs w:val="16"/>
              </w:rPr>
              <w:t xml:space="preserve"> prior- Informative</w:t>
            </w:r>
          </w:p>
        </w:tc>
        <w:tc>
          <w:tcPr>
            <w:tcW w:w="38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7BF66DB9" w14:textId="77777777" w:rsidR="00AD090D" w:rsidRPr="000B3805" w:rsidRDefault="00AD090D" w:rsidP="00307A7F">
            <w:pPr>
              <w:adjustRightInd w:val="0"/>
              <w:snapToGrid w:val="0"/>
              <w:spacing w:after="0" w:line="240" w:lineRule="auto"/>
              <w:ind w:left="-18"/>
              <w:jc w:val="center"/>
              <w:rPr>
                <w:rFonts w:ascii="Times New Roman" w:hAnsi="Times New Roman" w:cs="Times New Roman"/>
                <w:sz w:val="16"/>
                <w:szCs w:val="16"/>
              </w:rPr>
            </w:pPr>
            <w:r w:rsidRPr="000B3805">
              <w:rPr>
                <w:rFonts w:ascii="Times New Roman" w:hAnsi="Times New Roman" w:cs="Times New Roman"/>
                <w:sz w:val="16"/>
                <w:szCs w:val="16"/>
              </w:rPr>
              <w:t>M prior - VB</w:t>
            </w:r>
          </w:p>
        </w:tc>
        <w:tc>
          <w:tcPr>
            <w:tcW w:w="433" w:type="pct"/>
            <w:tcBorders>
              <w:top w:val="single" w:sz="4" w:space="0" w:color="auto"/>
              <w:left w:val="nil"/>
              <w:bottom w:val="single" w:sz="4" w:space="0" w:color="auto"/>
              <w:right w:val="nil"/>
            </w:tcBorders>
            <w:shd w:val="clear" w:color="auto" w:fill="D9D9D9" w:themeFill="background1" w:themeFillShade="D9"/>
            <w:noWrap/>
            <w:vAlign w:val="center"/>
            <w:hideMark/>
          </w:tcPr>
          <w:p w14:paraId="37DC3EEE" w14:textId="77777777" w:rsidR="00AD090D" w:rsidRPr="000B3805" w:rsidRDefault="00AD090D" w:rsidP="00307A7F">
            <w:pPr>
              <w:adjustRightInd w:val="0"/>
              <w:snapToGrid w:val="0"/>
              <w:spacing w:after="0" w:line="240" w:lineRule="auto"/>
              <w:jc w:val="center"/>
              <w:rPr>
                <w:rFonts w:ascii="Times New Roman" w:hAnsi="Times New Roman" w:cs="Times New Roman"/>
                <w:sz w:val="16"/>
                <w:szCs w:val="16"/>
              </w:rPr>
            </w:pPr>
            <w:r w:rsidRPr="000B3805">
              <w:rPr>
                <w:rFonts w:ascii="Times New Roman" w:hAnsi="Times New Roman" w:cs="Times New Roman"/>
                <w:sz w:val="16"/>
                <w:szCs w:val="16"/>
              </w:rPr>
              <w:t>M prior - max Age</w:t>
            </w:r>
          </w:p>
        </w:tc>
      </w:tr>
      <w:tr w:rsidR="000B3805" w:rsidRPr="000B3805" w14:paraId="6DD7E74A" w14:textId="77777777" w:rsidTr="004B6CEE">
        <w:trPr>
          <w:trHeight w:val="276"/>
        </w:trPr>
        <w:tc>
          <w:tcPr>
            <w:tcW w:w="145" w:type="pct"/>
            <w:tcBorders>
              <w:top w:val="nil"/>
              <w:left w:val="nil"/>
              <w:bottom w:val="nil"/>
              <w:right w:val="nil"/>
            </w:tcBorders>
            <w:shd w:val="clear" w:color="000000" w:fill="FFFFFF"/>
            <w:noWrap/>
            <w:vAlign w:val="bottom"/>
            <w:hideMark/>
          </w:tcPr>
          <w:p w14:paraId="647F1A9D"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w:t>
            </w:r>
          </w:p>
        </w:tc>
        <w:tc>
          <w:tcPr>
            <w:tcW w:w="333" w:type="pct"/>
            <w:tcBorders>
              <w:top w:val="nil"/>
              <w:left w:val="nil"/>
              <w:bottom w:val="nil"/>
              <w:right w:val="nil"/>
            </w:tcBorders>
            <w:shd w:val="clear" w:color="000000" w:fill="FFFFFF"/>
            <w:noWrap/>
            <w:vAlign w:val="bottom"/>
            <w:hideMark/>
          </w:tcPr>
          <w:p w14:paraId="7B2CD4D2"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40%</w:t>
            </w:r>
          </w:p>
        </w:tc>
        <w:tc>
          <w:tcPr>
            <w:tcW w:w="371" w:type="pct"/>
            <w:tcBorders>
              <w:top w:val="nil"/>
              <w:left w:val="nil"/>
              <w:bottom w:val="nil"/>
              <w:right w:val="nil"/>
            </w:tcBorders>
            <w:shd w:val="clear" w:color="000000" w:fill="E7E6E6"/>
            <w:noWrap/>
            <w:vAlign w:val="bottom"/>
            <w:hideMark/>
          </w:tcPr>
          <w:p w14:paraId="01ED69B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32%</w:t>
            </w:r>
          </w:p>
        </w:tc>
        <w:tc>
          <w:tcPr>
            <w:tcW w:w="372" w:type="pct"/>
            <w:tcBorders>
              <w:top w:val="nil"/>
              <w:left w:val="nil"/>
              <w:bottom w:val="nil"/>
              <w:right w:val="nil"/>
            </w:tcBorders>
            <w:shd w:val="clear" w:color="000000" w:fill="E7E6E6"/>
            <w:noWrap/>
            <w:vAlign w:val="bottom"/>
            <w:hideMark/>
          </w:tcPr>
          <w:p w14:paraId="0BFC3FE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46%</w:t>
            </w:r>
          </w:p>
        </w:tc>
        <w:tc>
          <w:tcPr>
            <w:tcW w:w="372" w:type="pct"/>
            <w:tcBorders>
              <w:top w:val="nil"/>
              <w:left w:val="nil"/>
              <w:bottom w:val="nil"/>
              <w:right w:val="nil"/>
            </w:tcBorders>
            <w:shd w:val="clear" w:color="000000" w:fill="E7E6E6"/>
            <w:noWrap/>
            <w:vAlign w:val="bottom"/>
            <w:hideMark/>
          </w:tcPr>
          <w:p w14:paraId="672C7F3F"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40%</w:t>
            </w:r>
          </w:p>
        </w:tc>
        <w:tc>
          <w:tcPr>
            <w:tcW w:w="372" w:type="pct"/>
            <w:tcBorders>
              <w:top w:val="nil"/>
              <w:left w:val="nil"/>
              <w:bottom w:val="nil"/>
              <w:right w:val="nil"/>
            </w:tcBorders>
            <w:shd w:val="clear" w:color="000000" w:fill="E7E6E6"/>
            <w:noWrap/>
            <w:vAlign w:val="bottom"/>
            <w:hideMark/>
          </w:tcPr>
          <w:p w14:paraId="311A8E2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41%</w:t>
            </w:r>
          </w:p>
        </w:tc>
        <w:tc>
          <w:tcPr>
            <w:tcW w:w="361" w:type="pct"/>
            <w:tcBorders>
              <w:top w:val="nil"/>
              <w:left w:val="nil"/>
              <w:bottom w:val="nil"/>
              <w:right w:val="nil"/>
            </w:tcBorders>
            <w:shd w:val="clear" w:color="000000" w:fill="FFFFFF"/>
            <w:noWrap/>
            <w:vAlign w:val="bottom"/>
            <w:hideMark/>
          </w:tcPr>
          <w:p w14:paraId="62CC963B"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44%</w:t>
            </w:r>
          </w:p>
        </w:tc>
        <w:tc>
          <w:tcPr>
            <w:tcW w:w="361" w:type="pct"/>
            <w:tcBorders>
              <w:top w:val="nil"/>
              <w:left w:val="nil"/>
              <w:bottom w:val="nil"/>
              <w:right w:val="nil"/>
            </w:tcBorders>
            <w:shd w:val="clear" w:color="000000" w:fill="FFFFFF"/>
            <w:noWrap/>
            <w:vAlign w:val="bottom"/>
            <w:hideMark/>
          </w:tcPr>
          <w:p w14:paraId="5DAC3F6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36%</w:t>
            </w:r>
          </w:p>
        </w:tc>
        <w:tc>
          <w:tcPr>
            <w:tcW w:w="361" w:type="pct"/>
            <w:tcBorders>
              <w:top w:val="nil"/>
              <w:left w:val="nil"/>
              <w:bottom w:val="nil"/>
              <w:right w:val="nil"/>
            </w:tcBorders>
            <w:shd w:val="clear" w:color="000000" w:fill="FFFFFF"/>
            <w:noWrap/>
            <w:vAlign w:val="bottom"/>
            <w:hideMark/>
          </w:tcPr>
          <w:p w14:paraId="3408664C"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39%</w:t>
            </w:r>
          </w:p>
        </w:tc>
        <w:tc>
          <w:tcPr>
            <w:tcW w:w="581" w:type="pct"/>
            <w:tcBorders>
              <w:top w:val="nil"/>
              <w:left w:val="nil"/>
              <w:bottom w:val="nil"/>
              <w:right w:val="nil"/>
            </w:tcBorders>
            <w:shd w:val="clear" w:color="000000" w:fill="E7E6E6"/>
            <w:noWrap/>
            <w:vAlign w:val="bottom"/>
            <w:hideMark/>
          </w:tcPr>
          <w:p w14:paraId="41494754"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33%</w:t>
            </w:r>
          </w:p>
        </w:tc>
        <w:tc>
          <w:tcPr>
            <w:tcW w:w="525" w:type="pct"/>
            <w:tcBorders>
              <w:top w:val="nil"/>
              <w:left w:val="nil"/>
              <w:bottom w:val="nil"/>
              <w:right w:val="nil"/>
            </w:tcBorders>
            <w:shd w:val="clear" w:color="000000" w:fill="E7E6E6"/>
            <w:noWrap/>
            <w:vAlign w:val="bottom"/>
            <w:hideMark/>
          </w:tcPr>
          <w:p w14:paraId="3342339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46%</w:t>
            </w:r>
          </w:p>
        </w:tc>
        <w:tc>
          <w:tcPr>
            <w:tcW w:w="370" w:type="pct"/>
            <w:gridSpan w:val="2"/>
            <w:tcBorders>
              <w:top w:val="nil"/>
              <w:left w:val="nil"/>
              <w:bottom w:val="nil"/>
              <w:right w:val="nil"/>
            </w:tcBorders>
            <w:shd w:val="clear" w:color="000000" w:fill="FFFFFF"/>
            <w:noWrap/>
            <w:vAlign w:val="bottom"/>
            <w:hideMark/>
          </w:tcPr>
          <w:p w14:paraId="0DC0F12F"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40%</w:t>
            </w:r>
          </w:p>
        </w:tc>
        <w:tc>
          <w:tcPr>
            <w:tcW w:w="476" w:type="pct"/>
            <w:gridSpan w:val="2"/>
            <w:tcBorders>
              <w:top w:val="nil"/>
              <w:left w:val="nil"/>
              <w:bottom w:val="nil"/>
              <w:right w:val="nil"/>
            </w:tcBorders>
            <w:shd w:val="clear" w:color="000000" w:fill="FFFFFF"/>
            <w:noWrap/>
            <w:vAlign w:val="bottom"/>
            <w:hideMark/>
          </w:tcPr>
          <w:p w14:paraId="3DF151B2"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40%</w:t>
            </w:r>
          </w:p>
        </w:tc>
      </w:tr>
      <w:tr w:rsidR="000B3805" w:rsidRPr="000B3805" w14:paraId="4EDACB29" w14:textId="77777777" w:rsidTr="004B6CEE">
        <w:trPr>
          <w:trHeight w:val="276"/>
        </w:trPr>
        <w:tc>
          <w:tcPr>
            <w:tcW w:w="145" w:type="pct"/>
            <w:tcBorders>
              <w:top w:val="nil"/>
              <w:left w:val="nil"/>
              <w:bottom w:val="nil"/>
              <w:right w:val="nil"/>
            </w:tcBorders>
            <w:shd w:val="clear" w:color="000000" w:fill="FFFFFF"/>
            <w:noWrap/>
            <w:vAlign w:val="bottom"/>
            <w:hideMark/>
          </w:tcPr>
          <w:p w14:paraId="0ED0E29E"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w:t>
            </w:r>
          </w:p>
        </w:tc>
        <w:tc>
          <w:tcPr>
            <w:tcW w:w="333" w:type="pct"/>
            <w:tcBorders>
              <w:top w:val="nil"/>
              <w:left w:val="nil"/>
              <w:bottom w:val="nil"/>
              <w:right w:val="nil"/>
            </w:tcBorders>
            <w:shd w:val="clear" w:color="000000" w:fill="FFFFFF"/>
            <w:noWrap/>
            <w:vAlign w:val="bottom"/>
            <w:hideMark/>
          </w:tcPr>
          <w:p w14:paraId="7E928E0D"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29%</w:t>
            </w:r>
          </w:p>
        </w:tc>
        <w:tc>
          <w:tcPr>
            <w:tcW w:w="371" w:type="pct"/>
            <w:tcBorders>
              <w:top w:val="nil"/>
              <w:left w:val="nil"/>
              <w:bottom w:val="nil"/>
              <w:right w:val="nil"/>
            </w:tcBorders>
            <w:shd w:val="clear" w:color="000000" w:fill="E7E6E6"/>
            <w:noWrap/>
            <w:vAlign w:val="bottom"/>
            <w:hideMark/>
          </w:tcPr>
          <w:p w14:paraId="576093F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31%</w:t>
            </w:r>
          </w:p>
        </w:tc>
        <w:tc>
          <w:tcPr>
            <w:tcW w:w="372" w:type="pct"/>
            <w:tcBorders>
              <w:top w:val="nil"/>
              <w:left w:val="nil"/>
              <w:bottom w:val="nil"/>
              <w:right w:val="nil"/>
            </w:tcBorders>
            <w:shd w:val="clear" w:color="000000" w:fill="E7E6E6"/>
            <w:noWrap/>
            <w:vAlign w:val="bottom"/>
            <w:hideMark/>
          </w:tcPr>
          <w:p w14:paraId="2F184AE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18%</w:t>
            </w:r>
          </w:p>
        </w:tc>
        <w:tc>
          <w:tcPr>
            <w:tcW w:w="372" w:type="pct"/>
            <w:tcBorders>
              <w:top w:val="nil"/>
              <w:left w:val="nil"/>
              <w:bottom w:val="nil"/>
              <w:right w:val="nil"/>
            </w:tcBorders>
            <w:shd w:val="clear" w:color="000000" w:fill="E7E6E6"/>
            <w:noWrap/>
            <w:vAlign w:val="bottom"/>
            <w:hideMark/>
          </w:tcPr>
          <w:p w14:paraId="51FE95A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25%</w:t>
            </w:r>
          </w:p>
        </w:tc>
        <w:tc>
          <w:tcPr>
            <w:tcW w:w="372" w:type="pct"/>
            <w:tcBorders>
              <w:top w:val="nil"/>
              <w:left w:val="nil"/>
              <w:bottom w:val="nil"/>
              <w:right w:val="nil"/>
            </w:tcBorders>
            <w:shd w:val="clear" w:color="000000" w:fill="E7E6E6"/>
            <w:noWrap/>
            <w:vAlign w:val="bottom"/>
            <w:hideMark/>
          </w:tcPr>
          <w:p w14:paraId="2EBEF1D2"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41%</w:t>
            </w:r>
          </w:p>
        </w:tc>
        <w:tc>
          <w:tcPr>
            <w:tcW w:w="361" w:type="pct"/>
            <w:tcBorders>
              <w:top w:val="nil"/>
              <w:left w:val="nil"/>
              <w:bottom w:val="nil"/>
              <w:right w:val="nil"/>
            </w:tcBorders>
            <w:shd w:val="clear" w:color="000000" w:fill="FFFFFF"/>
            <w:noWrap/>
            <w:vAlign w:val="bottom"/>
            <w:hideMark/>
          </w:tcPr>
          <w:p w14:paraId="6E4FBED5"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30%</w:t>
            </w:r>
          </w:p>
        </w:tc>
        <w:tc>
          <w:tcPr>
            <w:tcW w:w="361" w:type="pct"/>
            <w:tcBorders>
              <w:top w:val="nil"/>
              <w:left w:val="nil"/>
              <w:bottom w:val="nil"/>
              <w:right w:val="nil"/>
            </w:tcBorders>
            <w:shd w:val="clear" w:color="000000" w:fill="FFFFFF"/>
            <w:noWrap/>
            <w:vAlign w:val="bottom"/>
            <w:hideMark/>
          </w:tcPr>
          <w:p w14:paraId="0458DE67"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26%</w:t>
            </w:r>
          </w:p>
        </w:tc>
        <w:tc>
          <w:tcPr>
            <w:tcW w:w="361" w:type="pct"/>
            <w:tcBorders>
              <w:top w:val="nil"/>
              <w:left w:val="nil"/>
              <w:bottom w:val="nil"/>
              <w:right w:val="nil"/>
            </w:tcBorders>
            <w:shd w:val="clear" w:color="000000" w:fill="FFFFFF"/>
            <w:noWrap/>
            <w:vAlign w:val="bottom"/>
            <w:hideMark/>
          </w:tcPr>
          <w:p w14:paraId="6058D3FB"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30%</w:t>
            </w:r>
          </w:p>
        </w:tc>
        <w:tc>
          <w:tcPr>
            <w:tcW w:w="581" w:type="pct"/>
            <w:tcBorders>
              <w:top w:val="nil"/>
              <w:left w:val="nil"/>
              <w:bottom w:val="nil"/>
              <w:right w:val="nil"/>
            </w:tcBorders>
            <w:shd w:val="clear" w:color="000000" w:fill="E7E6E6"/>
            <w:noWrap/>
            <w:vAlign w:val="bottom"/>
            <w:hideMark/>
          </w:tcPr>
          <w:p w14:paraId="4AC937B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24%</w:t>
            </w:r>
          </w:p>
        </w:tc>
        <w:tc>
          <w:tcPr>
            <w:tcW w:w="525" w:type="pct"/>
            <w:tcBorders>
              <w:top w:val="nil"/>
              <w:left w:val="nil"/>
              <w:bottom w:val="nil"/>
              <w:right w:val="nil"/>
            </w:tcBorders>
            <w:shd w:val="clear" w:color="000000" w:fill="E7E6E6"/>
            <w:noWrap/>
            <w:vAlign w:val="bottom"/>
            <w:hideMark/>
          </w:tcPr>
          <w:p w14:paraId="246B917F"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33%</w:t>
            </w:r>
          </w:p>
        </w:tc>
        <w:tc>
          <w:tcPr>
            <w:tcW w:w="370" w:type="pct"/>
            <w:gridSpan w:val="2"/>
            <w:tcBorders>
              <w:top w:val="nil"/>
              <w:left w:val="nil"/>
              <w:bottom w:val="nil"/>
              <w:right w:val="nil"/>
            </w:tcBorders>
            <w:shd w:val="clear" w:color="000000" w:fill="FFFFFF"/>
            <w:noWrap/>
            <w:vAlign w:val="bottom"/>
            <w:hideMark/>
          </w:tcPr>
          <w:p w14:paraId="4DB96E15"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30%</w:t>
            </w:r>
          </w:p>
        </w:tc>
        <w:tc>
          <w:tcPr>
            <w:tcW w:w="476" w:type="pct"/>
            <w:gridSpan w:val="2"/>
            <w:tcBorders>
              <w:top w:val="nil"/>
              <w:left w:val="nil"/>
              <w:bottom w:val="nil"/>
              <w:right w:val="nil"/>
            </w:tcBorders>
            <w:shd w:val="clear" w:color="000000" w:fill="FFFFFF"/>
            <w:noWrap/>
            <w:vAlign w:val="bottom"/>
            <w:hideMark/>
          </w:tcPr>
          <w:p w14:paraId="5DC0F744"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28%</w:t>
            </w:r>
          </w:p>
        </w:tc>
      </w:tr>
      <w:tr w:rsidR="000B3805" w:rsidRPr="000B3805" w14:paraId="4E971064" w14:textId="77777777" w:rsidTr="004B6CEE">
        <w:trPr>
          <w:trHeight w:val="276"/>
        </w:trPr>
        <w:tc>
          <w:tcPr>
            <w:tcW w:w="145" w:type="pct"/>
            <w:tcBorders>
              <w:top w:val="nil"/>
              <w:left w:val="nil"/>
              <w:bottom w:val="nil"/>
              <w:right w:val="nil"/>
            </w:tcBorders>
            <w:shd w:val="clear" w:color="000000" w:fill="FFFFFF"/>
            <w:noWrap/>
            <w:vAlign w:val="bottom"/>
            <w:hideMark/>
          </w:tcPr>
          <w:p w14:paraId="3AB0CD7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w:t>
            </w:r>
          </w:p>
        </w:tc>
        <w:tc>
          <w:tcPr>
            <w:tcW w:w="333" w:type="pct"/>
            <w:tcBorders>
              <w:top w:val="nil"/>
              <w:left w:val="nil"/>
              <w:bottom w:val="nil"/>
              <w:right w:val="nil"/>
            </w:tcBorders>
            <w:shd w:val="clear" w:color="000000" w:fill="FFFFFF"/>
            <w:noWrap/>
            <w:vAlign w:val="bottom"/>
            <w:hideMark/>
          </w:tcPr>
          <w:p w14:paraId="2BC74BD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28%</w:t>
            </w:r>
          </w:p>
        </w:tc>
        <w:tc>
          <w:tcPr>
            <w:tcW w:w="371" w:type="pct"/>
            <w:tcBorders>
              <w:top w:val="nil"/>
              <w:left w:val="nil"/>
              <w:bottom w:val="nil"/>
              <w:right w:val="nil"/>
            </w:tcBorders>
            <w:shd w:val="clear" w:color="000000" w:fill="E7E6E6"/>
            <w:noWrap/>
            <w:vAlign w:val="bottom"/>
            <w:hideMark/>
          </w:tcPr>
          <w:p w14:paraId="17B42E86"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31%</w:t>
            </w:r>
          </w:p>
        </w:tc>
        <w:tc>
          <w:tcPr>
            <w:tcW w:w="372" w:type="pct"/>
            <w:tcBorders>
              <w:top w:val="nil"/>
              <w:left w:val="nil"/>
              <w:bottom w:val="nil"/>
              <w:right w:val="nil"/>
            </w:tcBorders>
            <w:shd w:val="clear" w:color="000000" w:fill="E7E6E6"/>
            <w:noWrap/>
            <w:vAlign w:val="bottom"/>
            <w:hideMark/>
          </w:tcPr>
          <w:p w14:paraId="76699ADA"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18%</w:t>
            </w:r>
          </w:p>
        </w:tc>
        <w:tc>
          <w:tcPr>
            <w:tcW w:w="372" w:type="pct"/>
            <w:tcBorders>
              <w:top w:val="nil"/>
              <w:left w:val="nil"/>
              <w:bottom w:val="nil"/>
              <w:right w:val="nil"/>
            </w:tcBorders>
            <w:shd w:val="clear" w:color="000000" w:fill="E7E6E6"/>
            <w:noWrap/>
            <w:vAlign w:val="bottom"/>
            <w:hideMark/>
          </w:tcPr>
          <w:p w14:paraId="4C6684AC"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24%</w:t>
            </w:r>
          </w:p>
        </w:tc>
        <w:tc>
          <w:tcPr>
            <w:tcW w:w="372" w:type="pct"/>
            <w:tcBorders>
              <w:top w:val="nil"/>
              <w:left w:val="nil"/>
              <w:bottom w:val="nil"/>
              <w:right w:val="nil"/>
            </w:tcBorders>
            <w:shd w:val="clear" w:color="000000" w:fill="E7E6E6"/>
            <w:noWrap/>
            <w:vAlign w:val="bottom"/>
            <w:hideMark/>
          </w:tcPr>
          <w:p w14:paraId="13FC8E7B"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41%</w:t>
            </w:r>
          </w:p>
        </w:tc>
        <w:tc>
          <w:tcPr>
            <w:tcW w:w="361" w:type="pct"/>
            <w:tcBorders>
              <w:top w:val="nil"/>
              <w:left w:val="nil"/>
              <w:bottom w:val="nil"/>
              <w:right w:val="nil"/>
            </w:tcBorders>
            <w:shd w:val="clear" w:color="000000" w:fill="FFFFFF"/>
            <w:noWrap/>
            <w:vAlign w:val="bottom"/>
            <w:hideMark/>
          </w:tcPr>
          <w:p w14:paraId="5AF2CFE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30%</w:t>
            </w:r>
          </w:p>
        </w:tc>
        <w:tc>
          <w:tcPr>
            <w:tcW w:w="361" w:type="pct"/>
            <w:tcBorders>
              <w:top w:val="nil"/>
              <w:left w:val="nil"/>
              <w:bottom w:val="nil"/>
              <w:right w:val="nil"/>
            </w:tcBorders>
            <w:shd w:val="clear" w:color="000000" w:fill="FFFFFF"/>
            <w:noWrap/>
            <w:vAlign w:val="bottom"/>
            <w:hideMark/>
          </w:tcPr>
          <w:p w14:paraId="301F0592"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26%</w:t>
            </w:r>
          </w:p>
        </w:tc>
        <w:tc>
          <w:tcPr>
            <w:tcW w:w="361" w:type="pct"/>
            <w:tcBorders>
              <w:top w:val="nil"/>
              <w:left w:val="nil"/>
              <w:bottom w:val="nil"/>
              <w:right w:val="nil"/>
            </w:tcBorders>
            <w:shd w:val="clear" w:color="000000" w:fill="FFFFFF"/>
            <w:noWrap/>
            <w:vAlign w:val="bottom"/>
            <w:hideMark/>
          </w:tcPr>
          <w:p w14:paraId="3125896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30%</w:t>
            </w:r>
          </w:p>
        </w:tc>
        <w:tc>
          <w:tcPr>
            <w:tcW w:w="581" w:type="pct"/>
            <w:tcBorders>
              <w:top w:val="nil"/>
              <w:left w:val="nil"/>
              <w:bottom w:val="nil"/>
              <w:right w:val="nil"/>
            </w:tcBorders>
            <w:shd w:val="clear" w:color="000000" w:fill="E7E6E6"/>
            <w:noWrap/>
            <w:vAlign w:val="bottom"/>
            <w:hideMark/>
          </w:tcPr>
          <w:p w14:paraId="08152CAE"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24%</w:t>
            </w:r>
          </w:p>
        </w:tc>
        <w:tc>
          <w:tcPr>
            <w:tcW w:w="525" w:type="pct"/>
            <w:tcBorders>
              <w:top w:val="nil"/>
              <w:left w:val="nil"/>
              <w:bottom w:val="nil"/>
              <w:right w:val="nil"/>
            </w:tcBorders>
            <w:shd w:val="clear" w:color="000000" w:fill="E7E6E6"/>
            <w:noWrap/>
            <w:vAlign w:val="bottom"/>
            <w:hideMark/>
          </w:tcPr>
          <w:p w14:paraId="2F5FD725"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32%</w:t>
            </w:r>
          </w:p>
        </w:tc>
        <w:tc>
          <w:tcPr>
            <w:tcW w:w="370" w:type="pct"/>
            <w:gridSpan w:val="2"/>
            <w:tcBorders>
              <w:top w:val="nil"/>
              <w:left w:val="nil"/>
              <w:bottom w:val="nil"/>
              <w:right w:val="nil"/>
            </w:tcBorders>
            <w:shd w:val="clear" w:color="000000" w:fill="FFFFFF"/>
            <w:noWrap/>
            <w:vAlign w:val="bottom"/>
            <w:hideMark/>
          </w:tcPr>
          <w:p w14:paraId="0ACD684F"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30%</w:t>
            </w:r>
          </w:p>
        </w:tc>
        <w:tc>
          <w:tcPr>
            <w:tcW w:w="476" w:type="pct"/>
            <w:gridSpan w:val="2"/>
            <w:tcBorders>
              <w:top w:val="nil"/>
              <w:left w:val="nil"/>
              <w:bottom w:val="nil"/>
              <w:right w:val="nil"/>
            </w:tcBorders>
            <w:shd w:val="clear" w:color="000000" w:fill="FFFFFF"/>
            <w:noWrap/>
            <w:vAlign w:val="bottom"/>
            <w:hideMark/>
          </w:tcPr>
          <w:p w14:paraId="05274537"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27%</w:t>
            </w:r>
          </w:p>
        </w:tc>
      </w:tr>
      <w:tr w:rsidR="000B3805" w:rsidRPr="000B3805" w14:paraId="0F2D425C" w14:textId="77777777" w:rsidTr="004B6CEE">
        <w:trPr>
          <w:trHeight w:val="276"/>
        </w:trPr>
        <w:tc>
          <w:tcPr>
            <w:tcW w:w="145" w:type="pct"/>
            <w:tcBorders>
              <w:top w:val="nil"/>
              <w:left w:val="nil"/>
              <w:bottom w:val="nil"/>
              <w:right w:val="nil"/>
            </w:tcBorders>
            <w:shd w:val="clear" w:color="000000" w:fill="FFFFFF"/>
            <w:noWrap/>
            <w:vAlign w:val="bottom"/>
            <w:hideMark/>
          </w:tcPr>
          <w:p w14:paraId="145CBC2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w:t>
            </w:r>
          </w:p>
        </w:tc>
        <w:tc>
          <w:tcPr>
            <w:tcW w:w="333" w:type="pct"/>
            <w:tcBorders>
              <w:top w:val="nil"/>
              <w:left w:val="nil"/>
              <w:bottom w:val="nil"/>
              <w:right w:val="nil"/>
            </w:tcBorders>
            <w:shd w:val="clear" w:color="000000" w:fill="FFFFFF"/>
            <w:noWrap/>
            <w:vAlign w:val="bottom"/>
            <w:hideMark/>
          </w:tcPr>
          <w:p w14:paraId="44A9CB67"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27%</w:t>
            </w:r>
          </w:p>
        </w:tc>
        <w:tc>
          <w:tcPr>
            <w:tcW w:w="371" w:type="pct"/>
            <w:tcBorders>
              <w:top w:val="nil"/>
              <w:left w:val="nil"/>
              <w:bottom w:val="nil"/>
              <w:right w:val="nil"/>
            </w:tcBorders>
            <w:shd w:val="clear" w:color="000000" w:fill="E7E6E6"/>
            <w:noWrap/>
            <w:vAlign w:val="bottom"/>
            <w:hideMark/>
          </w:tcPr>
          <w:p w14:paraId="40ECF59A"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31%</w:t>
            </w:r>
          </w:p>
        </w:tc>
        <w:tc>
          <w:tcPr>
            <w:tcW w:w="372" w:type="pct"/>
            <w:tcBorders>
              <w:top w:val="nil"/>
              <w:left w:val="nil"/>
              <w:bottom w:val="nil"/>
              <w:right w:val="nil"/>
            </w:tcBorders>
            <w:shd w:val="clear" w:color="000000" w:fill="E7E6E6"/>
            <w:noWrap/>
            <w:vAlign w:val="bottom"/>
            <w:hideMark/>
          </w:tcPr>
          <w:p w14:paraId="5D96DDD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18%</w:t>
            </w:r>
          </w:p>
        </w:tc>
        <w:tc>
          <w:tcPr>
            <w:tcW w:w="372" w:type="pct"/>
            <w:tcBorders>
              <w:top w:val="nil"/>
              <w:left w:val="nil"/>
              <w:bottom w:val="nil"/>
              <w:right w:val="nil"/>
            </w:tcBorders>
            <w:shd w:val="clear" w:color="000000" w:fill="E7E6E6"/>
            <w:noWrap/>
            <w:vAlign w:val="bottom"/>
            <w:hideMark/>
          </w:tcPr>
          <w:p w14:paraId="7FC9C3EA"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21%</w:t>
            </w:r>
          </w:p>
        </w:tc>
        <w:tc>
          <w:tcPr>
            <w:tcW w:w="372" w:type="pct"/>
            <w:tcBorders>
              <w:top w:val="nil"/>
              <w:left w:val="nil"/>
              <w:bottom w:val="nil"/>
              <w:right w:val="nil"/>
            </w:tcBorders>
            <w:shd w:val="clear" w:color="000000" w:fill="E7E6E6"/>
            <w:noWrap/>
            <w:vAlign w:val="bottom"/>
            <w:hideMark/>
          </w:tcPr>
          <w:p w14:paraId="7A6DF266"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40%</w:t>
            </w:r>
          </w:p>
        </w:tc>
        <w:tc>
          <w:tcPr>
            <w:tcW w:w="361" w:type="pct"/>
            <w:tcBorders>
              <w:top w:val="nil"/>
              <w:left w:val="nil"/>
              <w:bottom w:val="nil"/>
              <w:right w:val="nil"/>
            </w:tcBorders>
            <w:shd w:val="clear" w:color="000000" w:fill="FFFFFF"/>
            <w:noWrap/>
            <w:vAlign w:val="bottom"/>
            <w:hideMark/>
          </w:tcPr>
          <w:p w14:paraId="66F91FC6"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29%</w:t>
            </w:r>
          </w:p>
        </w:tc>
        <w:tc>
          <w:tcPr>
            <w:tcW w:w="361" w:type="pct"/>
            <w:tcBorders>
              <w:top w:val="nil"/>
              <w:left w:val="nil"/>
              <w:bottom w:val="nil"/>
              <w:right w:val="nil"/>
            </w:tcBorders>
            <w:shd w:val="clear" w:color="000000" w:fill="FFFFFF"/>
            <w:noWrap/>
            <w:vAlign w:val="bottom"/>
            <w:hideMark/>
          </w:tcPr>
          <w:p w14:paraId="7E44DE5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25%</w:t>
            </w:r>
          </w:p>
        </w:tc>
        <w:tc>
          <w:tcPr>
            <w:tcW w:w="361" w:type="pct"/>
            <w:tcBorders>
              <w:top w:val="nil"/>
              <w:left w:val="nil"/>
              <w:bottom w:val="nil"/>
              <w:right w:val="nil"/>
            </w:tcBorders>
            <w:shd w:val="clear" w:color="000000" w:fill="FFFFFF"/>
            <w:noWrap/>
            <w:vAlign w:val="bottom"/>
            <w:hideMark/>
          </w:tcPr>
          <w:p w14:paraId="3312D9FE"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28%</w:t>
            </w:r>
          </w:p>
        </w:tc>
        <w:tc>
          <w:tcPr>
            <w:tcW w:w="581" w:type="pct"/>
            <w:tcBorders>
              <w:top w:val="nil"/>
              <w:left w:val="nil"/>
              <w:bottom w:val="nil"/>
              <w:right w:val="nil"/>
            </w:tcBorders>
            <w:shd w:val="clear" w:color="000000" w:fill="E7E6E6"/>
            <w:noWrap/>
            <w:vAlign w:val="bottom"/>
            <w:hideMark/>
          </w:tcPr>
          <w:p w14:paraId="7541C135"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23%</w:t>
            </w:r>
          </w:p>
        </w:tc>
        <w:tc>
          <w:tcPr>
            <w:tcW w:w="525" w:type="pct"/>
            <w:tcBorders>
              <w:top w:val="nil"/>
              <w:left w:val="nil"/>
              <w:bottom w:val="nil"/>
              <w:right w:val="nil"/>
            </w:tcBorders>
            <w:shd w:val="clear" w:color="000000" w:fill="E7E6E6"/>
            <w:noWrap/>
            <w:vAlign w:val="bottom"/>
            <w:hideMark/>
          </w:tcPr>
          <w:p w14:paraId="769E0995"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31%</w:t>
            </w:r>
          </w:p>
        </w:tc>
        <w:tc>
          <w:tcPr>
            <w:tcW w:w="370" w:type="pct"/>
            <w:gridSpan w:val="2"/>
            <w:tcBorders>
              <w:top w:val="nil"/>
              <w:left w:val="nil"/>
              <w:bottom w:val="nil"/>
              <w:right w:val="nil"/>
            </w:tcBorders>
            <w:shd w:val="clear" w:color="000000" w:fill="FFFFFF"/>
            <w:noWrap/>
            <w:vAlign w:val="bottom"/>
            <w:hideMark/>
          </w:tcPr>
          <w:p w14:paraId="27E298BC"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29%</w:t>
            </w:r>
          </w:p>
        </w:tc>
        <w:tc>
          <w:tcPr>
            <w:tcW w:w="476" w:type="pct"/>
            <w:gridSpan w:val="2"/>
            <w:tcBorders>
              <w:top w:val="nil"/>
              <w:left w:val="nil"/>
              <w:bottom w:val="nil"/>
              <w:right w:val="nil"/>
            </w:tcBorders>
            <w:shd w:val="clear" w:color="000000" w:fill="FFFFFF"/>
            <w:noWrap/>
            <w:vAlign w:val="bottom"/>
            <w:hideMark/>
          </w:tcPr>
          <w:p w14:paraId="3B0A24A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26%</w:t>
            </w:r>
          </w:p>
        </w:tc>
      </w:tr>
      <w:tr w:rsidR="000B3805" w:rsidRPr="000B3805" w14:paraId="499E6F49" w14:textId="77777777" w:rsidTr="004B6CEE">
        <w:trPr>
          <w:trHeight w:val="276"/>
        </w:trPr>
        <w:tc>
          <w:tcPr>
            <w:tcW w:w="145" w:type="pct"/>
            <w:tcBorders>
              <w:top w:val="nil"/>
              <w:left w:val="nil"/>
              <w:bottom w:val="nil"/>
              <w:right w:val="nil"/>
            </w:tcBorders>
            <w:shd w:val="clear" w:color="000000" w:fill="FFFFFF"/>
            <w:noWrap/>
            <w:vAlign w:val="bottom"/>
            <w:hideMark/>
          </w:tcPr>
          <w:p w14:paraId="56578A87"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5</w:t>
            </w:r>
          </w:p>
        </w:tc>
        <w:tc>
          <w:tcPr>
            <w:tcW w:w="333" w:type="pct"/>
            <w:tcBorders>
              <w:top w:val="nil"/>
              <w:left w:val="nil"/>
              <w:bottom w:val="nil"/>
              <w:right w:val="nil"/>
            </w:tcBorders>
            <w:shd w:val="clear" w:color="000000" w:fill="FFFFFF"/>
            <w:noWrap/>
            <w:vAlign w:val="bottom"/>
            <w:hideMark/>
          </w:tcPr>
          <w:p w14:paraId="776A4557"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14%</w:t>
            </w:r>
          </w:p>
        </w:tc>
        <w:tc>
          <w:tcPr>
            <w:tcW w:w="371" w:type="pct"/>
            <w:tcBorders>
              <w:top w:val="nil"/>
              <w:left w:val="nil"/>
              <w:bottom w:val="nil"/>
              <w:right w:val="nil"/>
            </w:tcBorders>
            <w:shd w:val="clear" w:color="000000" w:fill="E7E6E6"/>
            <w:noWrap/>
            <w:vAlign w:val="bottom"/>
            <w:hideMark/>
          </w:tcPr>
          <w:p w14:paraId="42F314D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20%</w:t>
            </w:r>
          </w:p>
        </w:tc>
        <w:tc>
          <w:tcPr>
            <w:tcW w:w="372" w:type="pct"/>
            <w:tcBorders>
              <w:top w:val="nil"/>
              <w:left w:val="nil"/>
              <w:bottom w:val="nil"/>
              <w:right w:val="nil"/>
            </w:tcBorders>
            <w:shd w:val="clear" w:color="000000" w:fill="E7E6E6"/>
            <w:noWrap/>
            <w:vAlign w:val="bottom"/>
            <w:hideMark/>
          </w:tcPr>
          <w:p w14:paraId="0272534C"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5%</w:t>
            </w:r>
          </w:p>
        </w:tc>
        <w:tc>
          <w:tcPr>
            <w:tcW w:w="372" w:type="pct"/>
            <w:tcBorders>
              <w:top w:val="nil"/>
              <w:left w:val="nil"/>
              <w:bottom w:val="nil"/>
              <w:right w:val="nil"/>
            </w:tcBorders>
            <w:shd w:val="clear" w:color="000000" w:fill="E7E6E6"/>
            <w:noWrap/>
            <w:vAlign w:val="bottom"/>
            <w:hideMark/>
          </w:tcPr>
          <w:p w14:paraId="76F23504"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5%</w:t>
            </w:r>
          </w:p>
        </w:tc>
        <w:tc>
          <w:tcPr>
            <w:tcW w:w="372" w:type="pct"/>
            <w:tcBorders>
              <w:top w:val="nil"/>
              <w:left w:val="nil"/>
              <w:bottom w:val="nil"/>
              <w:right w:val="nil"/>
            </w:tcBorders>
            <w:shd w:val="clear" w:color="000000" w:fill="E7E6E6"/>
            <w:noWrap/>
            <w:vAlign w:val="bottom"/>
            <w:hideMark/>
          </w:tcPr>
          <w:p w14:paraId="44E8D35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27%</w:t>
            </w:r>
          </w:p>
        </w:tc>
        <w:tc>
          <w:tcPr>
            <w:tcW w:w="361" w:type="pct"/>
            <w:tcBorders>
              <w:top w:val="nil"/>
              <w:left w:val="nil"/>
              <w:bottom w:val="nil"/>
              <w:right w:val="nil"/>
            </w:tcBorders>
            <w:shd w:val="clear" w:color="000000" w:fill="FFFFFF"/>
            <w:noWrap/>
            <w:vAlign w:val="bottom"/>
            <w:hideMark/>
          </w:tcPr>
          <w:p w14:paraId="32FF9462"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16%</w:t>
            </w:r>
          </w:p>
        </w:tc>
        <w:tc>
          <w:tcPr>
            <w:tcW w:w="361" w:type="pct"/>
            <w:tcBorders>
              <w:top w:val="nil"/>
              <w:left w:val="nil"/>
              <w:bottom w:val="nil"/>
              <w:right w:val="nil"/>
            </w:tcBorders>
            <w:shd w:val="clear" w:color="000000" w:fill="FFFFFF"/>
            <w:noWrap/>
            <w:vAlign w:val="bottom"/>
            <w:hideMark/>
          </w:tcPr>
          <w:p w14:paraId="11EC31CC"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14%</w:t>
            </w:r>
          </w:p>
        </w:tc>
        <w:tc>
          <w:tcPr>
            <w:tcW w:w="361" w:type="pct"/>
            <w:tcBorders>
              <w:top w:val="nil"/>
              <w:left w:val="nil"/>
              <w:bottom w:val="nil"/>
              <w:right w:val="nil"/>
            </w:tcBorders>
            <w:shd w:val="clear" w:color="000000" w:fill="FFFFFF"/>
            <w:noWrap/>
            <w:vAlign w:val="bottom"/>
            <w:hideMark/>
          </w:tcPr>
          <w:p w14:paraId="2D3F0972"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13%</w:t>
            </w:r>
          </w:p>
        </w:tc>
        <w:tc>
          <w:tcPr>
            <w:tcW w:w="581" w:type="pct"/>
            <w:tcBorders>
              <w:top w:val="nil"/>
              <w:left w:val="nil"/>
              <w:bottom w:val="nil"/>
              <w:right w:val="nil"/>
            </w:tcBorders>
            <w:shd w:val="clear" w:color="000000" w:fill="E7E6E6"/>
            <w:noWrap/>
            <w:vAlign w:val="bottom"/>
            <w:hideMark/>
          </w:tcPr>
          <w:p w14:paraId="665A25F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18%</w:t>
            </w:r>
          </w:p>
        </w:tc>
        <w:tc>
          <w:tcPr>
            <w:tcW w:w="525" w:type="pct"/>
            <w:tcBorders>
              <w:top w:val="nil"/>
              <w:left w:val="nil"/>
              <w:bottom w:val="nil"/>
              <w:right w:val="nil"/>
            </w:tcBorders>
            <w:shd w:val="clear" w:color="000000" w:fill="E7E6E6"/>
            <w:noWrap/>
            <w:vAlign w:val="bottom"/>
            <w:hideMark/>
          </w:tcPr>
          <w:p w14:paraId="2B6E6BFD"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11%</w:t>
            </w:r>
          </w:p>
        </w:tc>
        <w:tc>
          <w:tcPr>
            <w:tcW w:w="370" w:type="pct"/>
            <w:gridSpan w:val="2"/>
            <w:tcBorders>
              <w:top w:val="nil"/>
              <w:left w:val="nil"/>
              <w:bottom w:val="nil"/>
              <w:right w:val="nil"/>
            </w:tcBorders>
            <w:shd w:val="clear" w:color="000000" w:fill="FFFFFF"/>
            <w:noWrap/>
            <w:vAlign w:val="bottom"/>
            <w:hideMark/>
          </w:tcPr>
          <w:p w14:paraId="46318FCB"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15%</w:t>
            </w:r>
          </w:p>
        </w:tc>
        <w:tc>
          <w:tcPr>
            <w:tcW w:w="476" w:type="pct"/>
            <w:gridSpan w:val="2"/>
            <w:tcBorders>
              <w:top w:val="nil"/>
              <w:left w:val="nil"/>
              <w:bottom w:val="nil"/>
              <w:right w:val="nil"/>
            </w:tcBorders>
            <w:shd w:val="clear" w:color="000000" w:fill="FFFFFF"/>
            <w:noWrap/>
            <w:vAlign w:val="bottom"/>
            <w:hideMark/>
          </w:tcPr>
          <w:p w14:paraId="76663223"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14%</w:t>
            </w:r>
          </w:p>
        </w:tc>
      </w:tr>
      <w:tr w:rsidR="000B3805" w:rsidRPr="000B3805" w14:paraId="7719753D" w14:textId="77777777" w:rsidTr="004B6CEE">
        <w:trPr>
          <w:trHeight w:val="276"/>
        </w:trPr>
        <w:tc>
          <w:tcPr>
            <w:tcW w:w="145" w:type="pct"/>
            <w:tcBorders>
              <w:top w:val="nil"/>
              <w:left w:val="nil"/>
              <w:bottom w:val="nil"/>
              <w:right w:val="nil"/>
            </w:tcBorders>
            <w:shd w:val="clear" w:color="000000" w:fill="FFFFFF"/>
            <w:noWrap/>
            <w:vAlign w:val="bottom"/>
            <w:hideMark/>
          </w:tcPr>
          <w:p w14:paraId="5E20260C"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6</w:t>
            </w:r>
          </w:p>
        </w:tc>
        <w:tc>
          <w:tcPr>
            <w:tcW w:w="333" w:type="pct"/>
            <w:tcBorders>
              <w:top w:val="nil"/>
              <w:left w:val="nil"/>
              <w:bottom w:val="nil"/>
              <w:right w:val="nil"/>
            </w:tcBorders>
            <w:shd w:val="clear" w:color="000000" w:fill="FFFFFF"/>
            <w:noWrap/>
            <w:vAlign w:val="bottom"/>
            <w:hideMark/>
          </w:tcPr>
          <w:p w14:paraId="1260951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11%</w:t>
            </w:r>
          </w:p>
        </w:tc>
        <w:tc>
          <w:tcPr>
            <w:tcW w:w="371" w:type="pct"/>
            <w:tcBorders>
              <w:top w:val="nil"/>
              <w:left w:val="nil"/>
              <w:bottom w:val="nil"/>
              <w:right w:val="nil"/>
            </w:tcBorders>
            <w:shd w:val="clear" w:color="000000" w:fill="E7E6E6"/>
            <w:noWrap/>
            <w:vAlign w:val="bottom"/>
            <w:hideMark/>
          </w:tcPr>
          <w:p w14:paraId="1E44816D"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18%</w:t>
            </w:r>
          </w:p>
        </w:tc>
        <w:tc>
          <w:tcPr>
            <w:tcW w:w="372" w:type="pct"/>
            <w:tcBorders>
              <w:top w:val="nil"/>
              <w:left w:val="nil"/>
              <w:bottom w:val="nil"/>
              <w:right w:val="nil"/>
            </w:tcBorders>
            <w:shd w:val="clear" w:color="000000" w:fill="E7E6E6"/>
            <w:noWrap/>
            <w:vAlign w:val="bottom"/>
            <w:hideMark/>
          </w:tcPr>
          <w:p w14:paraId="452605EB"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3%</w:t>
            </w:r>
          </w:p>
        </w:tc>
        <w:tc>
          <w:tcPr>
            <w:tcW w:w="372" w:type="pct"/>
            <w:tcBorders>
              <w:top w:val="nil"/>
              <w:left w:val="nil"/>
              <w:bottom w:val="nil"/>
              <w:right w:val="nil"/>
            </w:tcBorders>
            <w:shd w:val="clear" w:color="000000" w:fill="E7E6E6"/>
            <w:noWrap/>
            <w:vAlign w:val="bottom"/>
            <w:hideMark/>
          </w:tcPr>
          <w:p w14:paraId="5EBDE19C"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w:t>
            </w:r>
          </w:p>
        </w:tc>
        <w:tc>
          <w:tcPr>
            <w:tcW w:w="372" w:type="pct"/>
            <w:tcBorders>
              <w:top w:val="nil"/>
              <w:left w:val="nil"/>
              <w:bottom w:val="nil"/>
              <w:right w:val="nil"/>
            </w:tcBorders>
            <w:shd w:val="clear" w:color="000000" w:fill="E7E6E6"/>
            <w:noWrap/>
            <w:vAlign w:val="bottom"/>
            <w:hideMark/>
          </w:tcPr>
          <w:p w14:paraId="35850453"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18%</w:t>
            </w:r>
          </w:p>
        </w:tc>
        <w:tc>
          <w:tcPr>
            <w:tcW w:w="361" w:type="pct"/>
            <w:tcBorders>
              <w:top w:val="nil"/>
              <w:left w:val="nil"/>
              <w:bottom w:val="nil"/>
              <w:right w:val="nil"/>
            </w:tcBorders>
            <w:shd w:val="clear" w:color="000000" w:fill="FFFFFF"/>
            <w:noWrap/>
            <w:vAlign w:val="bottom"/>
            <w:hideMark/>
          </w:tcPr>
          <w:p w14:paraId="4B03B826"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11%</w:t>
            </w:r>
          </w:p>
        </w:tc>
        <w:tc>
          <w:tcPr>
            <w:tcW w:w="361" w:type="pct"/>
            <w:tcBorders>
              <w:top w:val="nil"/>
              <w:left w:val="nil"/>
              <w:bottom w:val="nil"/>
              <w:right w:val="nil"/>
            </w:tcBorders>
            <w:shd w:val="clear" w:color="000000" w:fill="FFFFFF"/>
            <w:noWrap/>
            <w:vAlign w:val="bottom"/>
            <w:hideMark/>
          </w:tcPr>
          <w:p w14:paraId="68BC550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11%</w:t>
            </w:r>
          </w:p>
        </w:tc>
        <w:tc>
          <w:tcPr>
            <w:tcW w:w="361" w:type="pct"/>
            <w:tcBorders>
              <w:top w:val="nil"/>
              <w:left w:val="nil"/>
              <w:bottom w:val="nil"/>
              <w:right w:val="nil"/>
            </w:tcBorders>
            <w:shd w:val="clear" w:color="000000" w:fill="FFFFFF"/>
            <w:noWrap/>
            <w:vAlign w:val="bottom"/>
            <w:hideMark/>
          </w:tcPr>
          <w:p w14:paraId="1C16FBD6"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10%</w:t>
            </w:r>
          </w:p>
        </w:tc>
        <w:tc>
          <w:tcPr>
            <w:tcW w:w="581" w:type="pct"/>
            <w:tcBorders>
              <w:top w:val="nil"/>
              <w:left w:val="nil"/>
              <w:bottom w:val="nil"/>
              <w:right w:val="nil"/>
            </w:tcBorders>
            <w:shd w:val="clear" w:color="000000" w:fill="E7E6E6"/>
            <w:noWrap/>
            <w:vAlign w:val="bottom"/>
            <w:hideMark/>
          </w:tcPr>
          <w:p w14:paraId="38C7F1BF"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18%</w:t>
            </w:r>
          </w:p>
        </w:tc>
        <w:tc>
          <w:tcPr>
            <w:tcW w:w="525" w:type="pct"/>
            <w:tcBorders>
              <w:top w:val="nil"/>
              <w:left w:val="nil"/>
              <w:bottom w:val="nil"/>
              <w:right w:val="nil"/>
            </w:tcBorders>
            <w:shd w:val="clear" w:color="000000" w:fill="E7E6E6"/>
            <w:noWrap/>
            <w:vAlign w:val="bottom"/>
            <w:hideMark/>
          </w:tcPr>
          <w:p w14:paraId="6991FE4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w:t>
            </w:r>
          </w:p>
        </w:tc>
        <w:tc>
          <w:tcPr>
            <w:tcW w:w="370" w:type="pct"/>
            <w:gridSpan w:val="2"/>
            <w:tcBorders>
              <w:top w:val="nil"/>
              <w:left w:val="nil"/>
              <w:bottom w:val="nil"/>
              <w:right w:val="nil"/>
            </w:tcBorders>
            <w:shd w:val="clear" w:color="000000" w:fill="FFFFFF"/>
            <w:noWrap/>
            <w:vAlign w:val="bottom"/>
            <w:hideMark/>
          </w:tcPr>
          <w:p w14:paraId="20D4FE74"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11%</w:t>
            </w:r>
          </w:p>
        </w:tc>
        <w:tc>
          <w:tcPr>
            <w:tcW w:w="476" w:type="pct"/>
            <w:gridSpan w:val="2"/>
            <w:tcBorders>
              <w:top w:val="nil"/>
              <w:left w:val="nil"/>
              <w:bottom w:val="nil"/>
              <w:right w:val="nil"/>
            </w:tcBorders>
            <w:shd w:val="clear" w:color="000000" w:fill="FFFFFF"/>
            <w:noWrap/>
            <w:vAlign w:val="bottom"/>
            <w:hideMark/>
          </w:tcPr>
          <w:p w14:paraId="26326A0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10%</w:t>
            </w:r>
          </w:p>
        </w:tc>
      </w:tr>
      <w:tr w:rsidR="000B3805" w:rsidRPr="000B3805" w14:paraId="2BD0A2E7" w14:textId="77777777" w:rsidTr="004B6CEE">
        <w:trPr>
          <w:trHeight w:val="276"/>
        </w:trPr>
        <w:tc>
          <w:tcPr>
            <w:tcW w:w="145" w:type="pct"/>
            <w:tcBorders>
              <w:top w:val="nil"/>
              <w:left w:val="nil"/>
              <w:bottom w:val="single" w:sz="4" w:space="0" w:color="auto"/>
              <w:right w:val="nil"/>
            </w:tcBorders>
            <w:shd w:val="clear" w:color="000000" w:fill="FFFFFF"/>
            <w:noWrap/>
            <w:vAlign w:val="bottom"/>
            <w:hideMark/>
          </w:tcPr>
          <w:p w14:paraId="26B38CF0"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7</w:t>
            </w:r>
          </w:p>
        </w:tc>
        <w:tc>
          <w:tcPr>
            <w:tcW w:w="333" w:type="pct"/>
            <w:tcBorders>
              <w:top w:val="nil"/>
              <w:left w:val="nil"/>
              <w:bottom w:val="single" w:sz="4" w:space="0" w:color="auto"/>
              <w:right w:val="nil"/>
            </w:tcBorders>
            <w:shd w:val="clear" w:color="000000" w:fill="FFFFFF"/>
            <w:noWrap/>
            <w:vAlign w:val="bottom"/>
            <w:hideMark/>
          </w:tcPr>
          <w:p w14:paraId="51329CB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7%</w:t>
            </w:r>
          </w:p>
        </w:tc>
        <w:tc>
          <w:tcPr>
            <w:tcW w:w="371" w:type="pct"/>
            <w:tcBorders>
              <w:top w:val="nil"/>
              <w:left w:val="nil"/>
              <w:bottom w:val="single" w:sz="4" w:space="0" w:color="auto"/>
              <w:right w:val="nil"/>
            </w:tcBorders>
            <w:shd w:val="clear" w:color="000000" w:fill="E7E6E6"/>
            <w:noWrap/>
            <w:vAlign w:val="bottom"/>
            <w:hideMark/>
          </w:tcPr>
          <w:p w14:paraId="1DB2136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13%</w:t>
            </w:r>
          </w:p>
        </w:tc>
        <w:tc>
          <w:tcPr>
            <w:tcW w:w="372" w:type="pct"/>
            <w:tcBorders>
              <w:top w:val="nil"/>
              <w:left w:val="nil"/>
              <w:bottom w:val="single" w:sz="4" w:space="0" w:color="auto"/>
              <w:right w:val="nil"/>
            </w:tcBorders>
            <w:shd w:val="clear" w:color="000000" w:fill="E7E6E6"/>
            <w:noWrap/>
            <w:vAlign w:val="bottom"/>
            <w:hideMark/>
          </w:tcPr>
          <w:p w14:paraId="539F6634"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w:t>
            </w:r>
          </w:p>
        </w:tc>
        <w:tc>
          <w:tcPr>
            <w:tcW w:w="372" w:type="pct"/>
            <w:tcBorders>
              <w:top w:val="nil"/>
              <w:left w:val="nil"/>
              <w:bottom w:val="single" w:sz="4" w:space="0" w:color="auto"/>
              <w:right w:val="nil"/>
            </w:tcBorders>
            <w:shd w:val="clear" w:color="000000" w:fill="E7E6E6"/>
            <w:noWrap/>
            <w:vAlign w:val="bottom"/>
            <w:hideMark/>
          </w:tcPr>
          <w:p w14:paraId="2520C889"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2%</w:t>
            </w:r>
          </w:p>
        </w:tc>
        <w:tc>
          <w:tcPr>
            <w:tcW w:w="372" w:type="pct"/>
            <w:tcBorders>
              <w:top w:val="nil"/>
              <w:left w:val="nil"/>
              <w:bottom w:val="single" w:sz="4" w:space="0" w:color="auto"/>
              <w:right w:val="nil"/>
            </w:tcBorders>
            <w:shd w:val="clear" w:color="000000" w:fill="E7E6E6"/>
            <w:noWrap/>
            <w:vAlign w:val="bottom"/>
            <w:hideMark/>
          </w:tcPr>
          <w:p w14:paraId="75B9FBF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9%</w:t>
            </w:r>
          </w:p>
        </w:tc>
        <w:tc>
          <w:tcPr>
            <w:tcW w:w="361" w:type="pct"/>
            <w:tcBorders>
              <w:top w:val="nil"/>
              <w:left w:val="nil"/>
              <w:bottom w:val="single" w:sz="4" w:space="0" w:color="auto"/>
              <w:right w:val="nil"/>
            </w:tcBorders>
            <w:shd w:val="clear" w:color="000000" w:fill="FFFFFF"/>
            <w:noWrap/>
            <w:vAlign w:val="bottom"/>
            <w:hideMark/>
          </w:tcPr>
          <w:p w14:paraId="7B044EE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9%</w:t>
            </w:r>
          </w:p>
        </w:tc>
        <w:tc>
          <w:tcPr>
            <w:tcW w:w="361" w:type="pct"/>
            <w:tcBorders>
              <w:top w:val="nil"/>
              <w:left w:val="nil"/>
              <w:bottom w:val="single" w:sz="4" w:space="0" w:color="auto"/>
              <w:right w:val="nil"/>
            </w:tcBorders>
            <w:shd w:val="clear" w:color="000000" w:fill="FFFFFF"/>
            <w:noWrap/>
            <w:vAlign w:val="bottom"/>
            <w:hideMark/>
          </w:tcPr>
          <w:p w14:paraId="6F52FC4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4%</w:t>
            </w:r>
          </w:p>
        </w:tc>
        <w:tc>
          <w:tcPr>
            <w:tcW w:w="361" w:type="pct"/>
            <w:tcBorders>
              <w:top w:val="nil"/>
              <w:left w:val="nil"/>
              <w:bottom w:val="single" w:sz="4" w:space="0" w:color="auto"/>
              <w:right w:val="nil"/>
            </w:tcBorders>
            <w:shd w:val="clear" w:color="000000" w:fill="FFFFFF"/>
            <w:noWrap/>
            <w:vAlign w:val="bottom"/>
            <w:hideMark/>
          </w:tcPr>
          <w:p w14:paraId="5DA446D1"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7%</w:t>
            </w:r>
          </w:p>
        </w:tc>
        <w:tc>
          <w:tcPr>
            <w:tcW w:w="581" w:type="pct"/>
            <w:tcBorders>
              <w:top w:val="nil"/>
              <w:left w:val="nil"/>
              <w:bottom w:val="single" w:sz="4" w:space="0" w:color="auto"/>
              <w:right w:val="nil"/>
            </w:tcBorders>
            <w:shd w:val="clear" w:color="000000" w:fill="E7E6E6"/>
            <w:noWrap/>
            <w:vAlign w:val="bottom"/>
            <w:hideMark/>
          </w:tcPr>
          <w:p w14:paraId="023DADDA"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12%</w:t>
            </w:r>
          </w:p>
        </w:tc>
        <w:tc>
          <w:tcPr>
            <w:tcW w:w="525" w:type="pct"/>
            <w:tcBorders>
              <w:top w:val="nil"/>
              <w:left w:val="nil"/>
              <w:bottom w:val="single" w:sz="4" w:space="0" w:color="auto"/>
              <w:right w:val="nil"/>
            </w:tcBorders>
            <w:shd w:val="clear" w:color="000000" w:fill="E7E6E6"/>
            <w:noWrap/>
            <w:vAlign w:val="bottom"/>
            <w:hideMark/>
          </w:tcPr>
          <w:p w14:paraId="1343233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1%</w:t>
            </w:r>
          </w:p>
        </w:tc>
        <w:tc>
          <w:tcPr>
            <w:tcW w:w="370" w:type="pct"/>
            <w:gridSpan w:val="2"/>
            <w:tcBorders>
              <w:top w:val="nil"/>
              <w:left w:val="nil"/>
              <w:bottom w:val="single" w:sz="4" w:space="0" w:color="auto"/>
              <w:right w:val="nil"/>
            </w:tcBorders>
            <w:shd w:val="clear" w:color="000000" w:fill="FFFFFF"/>
            <w:noWrap/>
            <w:vAlign w:val="bottom"/>
            <w:hideMark/>
          </w:tcPr>
          <w:p w14:paraId="11AAD678"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6%</w:t>
            </w:r>
          </w:p>
        </w:tc>
        <w:tc>
          <w:tcPr>
            <w:tcW w:w="476" w:type="pct"/>
            <w:gridSpan w:val="2"/>
            <w:tcBorders>
              <w:top w:val="nil"/>
              <w:left w:val="nil"/>
              <w:bottom w:val="single" w:sz="4" w:space="0" w:color="auto"/>
              <w:right w:val="nil"/>
            </w:tcBorders>
            <w:shd w:val="clear" w:color="000000" w:fill="FFFFFF"/>
            <w:noWrap/>
            <w:vAlign w:val="bottom"/>
            <w:hideMark/>
          </w:tcPr>
          <w:p w14:paraId="61F269C5" w14:textId="77777777" w:rsidR="00AD090D" w:rsidRPr="000B3805" w:rsidRDefault="00AD090D" w:rsidP="00307A7F">
            <w:pPr>
              <w:adjustRightInd w:val="0"/>
              <w:snapToGrid w:val="0"/>
              <w:spacing w:after="0" w:line="240" w:lineRule="auto"/>
              <w:jc w:val="both"/>
              <w:rPr>
                <w:rFonts w:ascii="Times New Roman" w:hAnsi="Times New Roman" w:cs="Times New Roman"/>
                <w:sz w:val="20"/>
                <w:szCs w:val="20"/>
              </w:rPr>
            </w:pPr>
            <w:r w:rsidRPr="000B3805">
              <w:rPr>
                <w:rFonts w:ascii="Times New Roman" w:hAnsi="Times New Roman" w:cs="Times New Roman"/>
                <w:sz w:val="20"/>
                <w:szCs w:val="20"/>
              </w:rPr>
              <w:t>7%</w:t>
            </w:r>
          </w:p>
        </w:tc>
      </w:tr>
    </w:tbl>
    <w:p w14:paraId="7E0646D0" w14:textId="77777777" w:rsidR="00AD090D" w:rsidRPr="000B3805" w:rsidRDefault="00AD090D" w:rsidP="00307A7F">
      <w:pPr>
        <w:keepNext/>
        <w:adjustRightInd w:val="0"/>
        <w:snapToGrid w:val="0"/>
        <w:spacing w:after="0" w:line="240" w:lineRule="auto"/>
        <w:jc w:val="both"/>
        <w:rPr>
          <w:rFonts w:ascii="Times New Roman" w:hAnsi="Times New Roman" w:cs="Times New Roman"/>
          <w:b/>
          <w:bCs/>
        </w:rPr>
      </w:pPr>
    </w:p>
    <w:p w14:paraId="51D7A407" w14:textId="77777777" w:rsidR="00AD090D" w:rsidRPr="000B3805" w:rsidRDefault="00AD090D" w:rsidP="00307A7F">
      <w:pPr>
        <w:keepNext/>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t>Table SWO-03</w:t>
      </w:r>
      <w:r w:rsidRPr="000B3805">
        <w:rPr>
          <w:rFonts w:ascii="Times New Roman" w:hAnsi="Times New Roman" w:cs="Times New Roman"/>
        </w:rPr>
        <w:t>. Summary of reference points (measures of central tendency, min, max and relevant percentiles, 10</w:t>
      </w:r>
      <w:r w:rsidRPr="000B3805">
        <w:rPr>
          <w:rFonts w:ascii="Times New Roman" w:hAnsi="Times New Roman" w:cs="Times New Roman"/>
          <w:vertAlign w:val="superscript"/>
        </w:rPr>
        <w:t>th</w:t>
      </w:r>
      <w:r w:rsidRPr="000B3805">
        <w:rPr>
          <w:rFonts w:ascii="Times New Roman" w:hAnsi="Times New Roman" w:cs="Times New Roman"/>
        </w:rPr>
        <w:t xml:space="preserve"> and 90</w:t>
      </w:r>
      <w:r w:rsidRPr="000B3805">
        <w:rPr>
          <w:rFonts w:ascii="Times New Roman" w:hAnsi="Times New Roman" w:cs="Times New Roman"/>
          <w:vertAlign w:val="superscript"/>
        </w:rPr>
        <w:t>th</w:t>
      </w:r>
      <w:r w:rsidRPr="000B3805">
        <w:rPr>
          <w:rFonts w:ascii="Times New Roman" w:hAnsi="Times New Roman" w:cs="Times New Roman"/>
        </w:rPr>
        <w:t xml:space="preserve">) including model and estimation uncertainty from the 25 models in the final ensemble. Models were equally weighted in the ensemble. </w:t>
      </w:r>
      <w:r w:rsidRPr="000B3805">
        <w:rPr>
          <w:rFonts w:ascii="Times New Roman" w:hAnsi="Times New Roman" w:cs="Times New Roman"/>
          <w:lang w:val="en-AU"/>
        </w:rPr>
        <w:t>The quantity of SB</w:t>
      </w:r>
      <w:r w:rsidRPr="000B3805">
        <w:rPr>
          <w:rFonts w:ascii="Times New Roman" w:hAnsi="Times New Roman" w:cs="Times New Roman"/>
          <w:vertAlign w:val="subscript"/>
          <w:lang w:val="en-AU"/>
        </w:rPr>
        <w:t>recent</w:t>
      </w:r>
      <w:r w:rsidRPr="000B3805">
        <w:rPr>
          <w:rFonts w:ascii="Times New Roman" w:hAnsi="Times New Roman" w:cs="Times New Roman"/>
          <w:lang w:val="en-AU"/>
        </w:rPr>
        <w:t>/SB</w:t>
      </w:r>
      <w:r w:rsidRPr="000B3805">
        <w:rPr>
          <w:rFonts w:ascii="Times New Roman" w:hAnsi="Times New Roman" w:cs="Times New Roman"/>
          <w:vertAlign w:val="subscript"/>
          <w:lang w:val="en-AU"/>
        </w:rPr>
        <w:t xml:space="preserve">F=0 </w:t>
      </w:r>
      <w:r w:rsidRPr="000B3805">
        <w:rPr>
          <w:rFonts w:ascii="Times New Roman" w:hAnsi="Times New Roman" w:cs="Times New Roman"/>
          <w:lang w:val="en-AU"/>
        </w:rPr>
        <w:t>was not available from the current MFCL version due to the inclusion of both model and statistical uncertainty.</w:t>
      </w:r>
    </w:p>
    <w:tbl>
      <w:tblPr>
        <w:tblStyle w:val="TableGrid"/>
        <w:tblW w:w="0" w:type="auto"/>
        <w:tblLook w:val="04A0" w:firstRow="1" w:lastRow="0" w:firstColumn="1" w:lastColumn="0" w:noHBand="0" w:noVBand="1"/>
      </w:tblPr>
      <w:tblGrid>
        <w:gridCol w:w="1561"/>
        <w:gridCol w:w="1291"/>
        <w:gridCol w:w="1295"/>
        <w:gridCol w:w="1295"/>
        <w:gridCol w:w="1295"/>
        <w:gridCol w:w="1305"/>
        <w:gridCol w:w="1308"/>
      </w:tblGrid>
      <w:tr w:rsidR="000B3805" w:rsidRPr="000B3805" w14:paraId="0B4092BD" w14:textId="77777777" w:rsidTr="004B6CEE">
        <w:tc>
          <w:tcPr>
            <w:tcW w:w="1561" w:type="dxa"/>
          </w:tcPr>
          <w:p w14:paraId="58BC9428" w14:textId="77777777" w:rsidR="00AD090D" w:rsidRPr="000B3805" w:rsidRDefault="00AD090D" w:rsidP="00307A7F">
            <w:pPr>
              <w:autoSpaceDE w:val="0"/>
              <w:autoSpaceDN w:val="0"/>
              <w:adjustRightInd w:val="0"/>
              <w:snapToGrid w:val="0"/>
              <w:rPr>
                <w:rFonts w:ascii="Times New Roman" w:eastAsia="Batang" w:hAnsi="Times New Roman" w:cs="Times New Roman"/>
                <w:lang w:eastAsia="ko-KR"/>
              </w:rPr>
            </w:pPr>
          </w:p>
        </w:tc>
        <w:tc>
          <w:tcPr>
            <w:tcW w:w="1291" w:type="dxa"/>
            <w:shd w:val="clear" w:color="auto" w:fill="D9D9D9" w:themeFill="background1" w:themeFillShade="D9"/>
          </w:tcPr>
          <w:p w14:paraId="558CA6C9" w14:textId="77777777" w:rsidR="00AD090D" w:rsidRPr="000B3805" w:rsidRDefault="00AD090D" w:rsidP="00307A7F">
            <w:pPr>
              <w:autoSpaceDE w:val="0"/>
              <w:autoSpaceDN w:val="0"/>
              <w:adjustRightInd w:val="0"/>
              <w:snapToGrid w:val="0"/>
              <w:jc w:val="center"/>
              <w:rPr>
                <w:rFonts w:ascii="Times New Roman" w:eastAsia="CMR10" w:hAnsi="Times New Roman" w:cs="Times New Roman"/>
                <w:b/>
                <w:bCs/>
                <w:lang w:eastAsia="ko-KR"/>
              </w:rPr>
            </w:pPr>
            <w:r w:rsidRPr="000B3805">
              <w:rPr>
                <w:rFonts w:ascii="Times New Roman" w:eastAsia="CMR10" w:hAnsi="Times New Roman" w:cs="Times New Roman"/>
                <w:b/>
                <w:bCs/>
                <w:lang w:eastAsia="ko-KR"/>
              </w:rPr>
              <w:t>Mean</w:t>
            </w:r>
          </w:p>
        </w:tc>
        <w:tc>
          <w:tcPr>
            <w:tcW w:w="1295" w:type="dxa"/>
            <w:shd w:val="clear" w:color="auto" w:fill="D9D9D9" w:themeFill="background1" w:themeFillShade="D9"/>
          </w:tcPr>
          <w:p w14:paraId="0FE74836" w14:textId="77777777" w:rsidR="00AD090D" w:rsidRPr="000B3805" w:rsidRDefault="00AD090D" w:rsidP="00307A7F">
            <w:pPr>
              <w:autoSpaceDE w:val="0"/>
              <w:autoSpaceDN w:val="0"/>
              <w:adjustRightInd w:val="0"/>
              <w:snapToGrid w:val="0"/>
              <w:jc w:val="center"/>
              <w:rPr>
                <w:rFonts w:ascii="Times New Roman" w:eastAsia="CMR10" w:hAnsi="Times New Roman" w:cs="Times New Roman"/>
                <w:b/>
                <w:bCs/>
                <w:lang w:eastAsia="ko-KR"/>
              </w:rPr>
            </w:pPr>
            <w:r w:rsidRPr="000B3805">
              <w:rPr>
                <w:rFonts w:ascii="Times New Roman" w:eastAsia="CMR10" w:hAnsi="Times New Roman" w:cs="Times New Roman"/>
                <w:b/>
                <w:bCs/>
                <w:lang w:eastAsia="ko-KR"/>
              </w:rPr>
              <w:t>Median</w:t>
            </w:r>
          </w:p>
        </w:tc>
        <w:tc>
          <w:tcPr>
            <w:tcW w:w="1295" w:type="dxa"/>
            <w:shd w:val="clear" w:color="auto" w:fill="D9D9D9" w:themeFill="background1" w:themeFillShade="D9"/>
          </w:tcPr>
          <w:p w14:paraId="36C9F544" w14:textId="77777777" w:rsidR="00AD090D" w:rsidRPr="000B3805" w:rsidRDefault="00AD090D" w:rsidP="00307A7F">
            <w:pPr>
              <w:autoSpaceDE w:val="0"/>
              <w:autoSpaceDN w:val="0"/>
              <w:adjustRightInd w:val="0"/>
              <w:snapToGrid w:val="0"/>
              <w:jc w:val="center"/>
              <w:rPr>
                <w:rFonts w:ascii="Times New Roman" w:eastAsia="CMR10" w:hAnsi="Times New Roman" w:cs="Times New Roman"/>
                <w:b/>
                <w:bCs/>
                <w:lang w:eastAsia="ko-KR"/>
              </w:rPr>
            </w:pPr>
            <w:r w:rsidRPr="000B3805">
              <w:rPr>
                <w:rFonts w:ascii="Times New Roman" w:eastAsia="CMR10" w:hAnsi="Times New Roman" w:cs="Times New Roman"/>
                <w:b/>
                <w:bCs/>
                <w:lang w:eastAsia="ko-KR"/>
              </w:rPr>
              <w:t>Min</w:t>
            </w:r>
          </w:p>
        </w:tc>
        <w:tc>
          <w:tcPr>
            <w:tcW w:w="1295" w:type="dxa"/>
            <w:shd w:val="clear" w:color="auto" w:fill="D9D9D9" w:themeFill="background1" w:themeFillShade="D9"/>
          </w:tcPr>
          <w:p w14:paraId="7CD30DA3" w14:textId="77777777" w:rsidR="00AD090D" w:rsidRPr="000B3805" w:rsidRDefault="00AD090D" w:rsidP="00307A7F">
            <w:pPr>
              <w:autoSpaceDE w:val="0"/>
              <w:autoSpaceDN w:val="0"/>
              <w:adjustRightInd w:val="0"/>
              <w:snapToGrid w:val="0"/>
              <w:jc w:val="center"/>
              <w:rPr>
                <w:rFonts w:ascii="Times New Roman" w:eastAsia="CMR10" w:hAnsi="Times New Roman" w:cs="Times New Roman"/>
                <w:b/>
                <w:bCs/>
                <w:lang w:eastAsia="ko-KR"/>
              </w:rPr>
            </w:pPr>
            <w:r w:rsidRPr="000B3805">
              <w:rPr>
                <w:rFonts w:ascii="Times New Roman" w:eastAsia="CMR10" w:hAnsi="Times New Roman" w:cs="Times New Roman"/>
                <w:b/>
                <w:bCs/>
                <w:lang w:eastAsia="ko-KR"/>
              </w:rPr>
              <w:t>10</w:t>
            </w:r>
          </w:p>
        </w:tc>
        <w:tc>
          <w:tcPr>
            <w:tcW w:w="1305" w:type="dxa"/>
            <w:shd w:val="clear" w:color="auto" w:fill="D9D9D9" w:themeFill="background1" w:themeFillShade="D9"/>
          </w:tcPr>
          <w:p w14:paraId="47BF218C" w14:textId="77777777" w:rsidR="00AD090D" w:rsidRPr="000B3805" w:rsidRDefault="00AD090D" w:rsidP="00307A7F">
            <w:pPr>
              <w:autoSpaceDE w:val="0"/>
              <w:autoSpaceDN w:val="0"/>
              <w:adjustRightInd w:val="0"/>
              <w:snapToGrid w:val="0"/>
              <w:jc w:val="center"/>
              <w:rPr>
                <w:rFonts w:ascii="Times New Roman" w:eastAsia="CMR10" w:hAnsi="Times New Roman" w:cs="Times New Roman"/>
                <w:b/>
                <w:bCs/>
                <w:lang w:eastAsia="ko-KR"/>
              </w:rPr>
            </w:pPr>
            <w:r w:rsidRPr="000B3805">
              <w:rPr>
                <w:rFonts w:ascii="Times New Roman" w:eastAsia="CMR10" w:hAnsi="Times New Roman" w:cs="Times New Roman"/>
                <w:b/>
                <w:bCs/>
                <w:lang w:eastAsia="ko-KR"/>
              </w:rPr>
              <w:t>90</w:t>
            </w:r>
          </w:p>
        </w:tc>
        <w:tc>
          <w:tcPr>
            <w:tcW w:w="1308" w:type="dxa"/>
            <w:shd w:val="clear" w:color="auto" w:fill="D9D9D9" w:themeFill="background1" w:themeFillShade="D9"/>
          </w:tcPr>
          <w:p w14:paraId="0A76D11A" w14:textId="77777777" w:rsidR="00AD090D" w:rsidRPr="000B3805" w:rsidRDefault="00AD090D" w:rsidP="00307A7F">
            <w:pPr>
              <w:autoSpaceDE w:val="0"/>
              <w:autoSpaceDN w:val="0"/>
              <w:adjustRightInd w:val="0"/>
              <w:snapToGrid w:val="0"/>
              <w:jc w:val="center"/>
              <w:rPr>
                <w:rFonts w:ascii="Times New Roman" w:eastAsia="CMR10" w:hAnsi="Times New Roman" w:cs="Times New Roman"/>
                <w:b/>
                <w:bCs/>
                <w:lang w:eastAsia="ko-KR"/>
              </w:rPr>
            </w:pPr>
            <w:r w:rsidRPr="000B3805">
              <w:rPr>
                <w:rFonts w:ascii="Times New Roman" w:eastAsia="CMR10" w:hAnsi="Times New Roman" w:cs="Times New Roman"/>
                <w:b/>
                <w:bCs/>
                <w:lang w:eastAsia="ko-KR"/>
              </w:rPr>
              <w:t>Max</w:t>
            </w:r>
          </w:p>
        </w:tc>
      </w:tr>
      <w:tr w:rsidR="000B3805" w:rsidRPr="000B3805" w14:paraId="625B5496" w14:textId="77777777" w:rsidTr="004B6CEE">
        <w:tc>
          <w:tcPr>
            <w:tcW w:w="1561" w:type="dxa"/>
          </w:tcPr>
          <w:p w14:paraId="474A0A4B" w14:textId="77777777" w:rsidR="00AD090D" w:rsidRPr="000B3805" w:rsidRDefault="00AD090D" w:rsidP="00307A7F">
            <w:pPr>
              <w:autoSpaceDE w:val="0"/>
              <w:autoSpaceDN w:val="0"/>
              <w:adjustRightInd w:val="0"/>
              <w:snapToGrid w:val="0"/>
              <w:rPr>
                <w:rFonts w:ascii="Times New Roman" w:eastAsia="Batang" w:hAnsi="Times New Roman" w:cs="Times New Roman"/>
                <w:i/>
                <w:iCs/>
                <w:lang w:eastAsia="ko-KR"/>
              </w:rPr>
            </w:pPr>
            <w:r w:rsidRPr="000B3805">
              <w:rPr>
                <w:rFonts w:ascii="Times New Roman" w:eastAsia="Batang" w:hAnsi="Times New Roman" w:cs="Times New Roman"/>
                <w:i/>
                <w:iCs/>
                <w:lang w:eastAsia="ko-KR"/>
              </w:rPr>
              <w:t>C</w:t>
            </w:r>
            <w:r w:rsidRPr="000B3805">
              <w:rPr>
                <w:rFonts w:ascii="Times New Roman" w:eastAsia="Batang" w:hAnsi="Times New Roman" w:cs="Times New Roman"/>
                <w:i/>
                <w:iCs/>
                <w:vertAlign w:val="subscript"/>
                <w:lang w:eastAsia="ko-KR"/>
              </w:rPr>
              <w:t>latest</w:t>
            </w:r>
          </w:p>
        </w:tc>
        <w:tc>
          <w:tcPr>
            <w:tcW w:w="1291" w:type="dxa"/>
          </w:tcPr>
          <w:p w14:paraId="7E79AA78"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7,772</w:t>
            </w:r>
          </w:p>
        </w:tc>
        <w:tc>
          <w:tcPr>
            <w:tcW w:w="1295" w:type="dxa"/>
          </w:tcPr>
          <w:p w14:paraId="1C8DCBE3"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7,723</w:t>
            </w:r>
          </w:p>
        </w:tc>
        <w:tc>
          <w:tcPr>
            <w:tcW w:w="1295" w:type="dxa"/>
          </w:tcPr>
          <w:p w14:paraId="06D3748C"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7,364</w:t>
            </w:r>
          </w:p>
        </w:tc>
        <w:tc>
          <w:tcPr>
            <w:tcW w:w="1295" w:type="dxa"/>
          </w:tcPr>
          <w:p w14:paraId="792AD15C"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7,524</w:t>
            </w:r>
          </w:p>
        </w:tc>
        <w:tc>
          <w:tcPr>
            <w:tcW w:w="1305" w:type="dxa"/>
          </w:tcPr>
          <w:p w14:paraId="7AAEA098"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8,259</w:t>
            </w:r>
          </w:p>
        </w:tc>
        <w:tc>
          <w:tcPr>
            <w:tcW w:w="1308" w:type="dxa"/>
          </w:tcPr>
          <w:p w14:paraId="1853CFE5"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8,453</w:t>
            </w:r>
          </w:p>
        </w:tc>
      </w:tr>
      <w:tr w:rsidR="000B3805" w:rsidRPr="000B3805" w14:paraId="0BE68CEF" w14:textId="77777777" w:rsidTr="004B6CEE">
        <w:tc>
          <w:tcPr>
            <w:tcW w:w="1561" w:type="dxa"/>
          </w:tcPr>
          <w:p w14:paraId="64C8FADF" w14:textId="77777777" w:rsidR="00AD090D" w:rsidRPr="000B3805" w:rsidRDefault="00AD090D" w:rsidP="00307A7F">
            <w:pPr>
              <w:autoSpaceDE w:val="0"/>
              <w:autoSpaceDN w:val="0"/>
              <w:adjustRightInd w:val="0"/>
              <w:snapToGrid w:val="0"/>
              <w:rPr>
                <w:rFonts w:ascii="Times New Roman" w:eastAsia="CMMI10" w:hAnsi="Times New Roman" w:cs="Times New Roman"/>
                <w:i/>
                <w:iCs/>
                <w:lang w:eastAsia="ko-KR"/>
              </w:rPr>
            </w:pPr>
            <w:r w:rsidRPr="000B3805">
              <w:rPr>
                <w:rFonts w:ascii="Times New Roman" w:eastAsia="CMMI10" w:hAnsi="Times New Roman" w:cs="Times New Roman"/>
                <w:i/>
                <w:iCs/>
                <w:lang w:eastAsia="ko-KR"/>
              </w:rPr>
              <w:t>Y F</w:t>
            </w:r>
            <w:r w:rsidRPr="000B3805">
              <w:rPr>
                <w:rFonts w:ascii="Times New Roman" w:eastAsia="Batang" w:hAnsi="Times New Roman" w:cs="Times New Roman"/>
                <w:i/>
                <w:iCs/>
                <w:vertAlign w:val="subscript"/>
                <w:lang w:eastAsia="ko-KR"/>
              </w:rPr>
              <w:t>recent</w:t>
            </w:r>
          </w:p>
        </w:tc>
        <w:tc>
          <w:tcPr>
            <w:tcW w:w="1291" w:type="dxa"/>
          </w:tcPr>
          <w:p w14:paraId="0D4D2AEF" w14:textId="77777777" w:rsidR="00AD090D" w:rsidRPr="000B3805" w:rsidRDefault="00AD090D" w:rsidP="00307A7F">
            <w:pPr>
              <w:autoSpaceDE w:val="0"/>
              <w:autoSpaceDN w:val="0"/>
              <w:adjustRightInd w:val="0"/>
              <w:snapToGrid w:val="0"/>
              <w:jc w:val="center"/>
              <w:rPr>
                <w:rFonts w:ascii="Times New Roman" w:eastAsia="Batang" w:hAnsi="Times New Roman" w:cs="Times New Roman"/>
                <w:lang w:eastAsia="ko-KR"/>
              </w:rPr>
            </w:pPr>
            <w:r w:rsidRPr="000B3805">
              <w:rPr>
                <w:rFonts w:ascii="Times New Roman" w:eastAsia="CMR10" w:hAnsi="Times New Roman" w:cs="Times New Roman"/>
                <w:lang w:eastAsia="ko-KR"/>
              </w:rPr>
              <w:t>6,558</w:t>
            </w:r>
          </w:p>
        </w:tc>
        <w:tc>
          <w:tcPr>
            <w:tcW w:w="1295" w:type="dxa"/>
          </w:tcPr>
          <w:p w14:paraId="6474D835"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6,608</w:t>
            </w:r>
          </w:p>
        </w:tc>
        <w:tc>
          <w:tcPr>
            <w:tcW w:w="1295" w:type="dxa"/>
          </w:tcPr>
          <w:p w14:paraId="71974ABC"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3,351</w:t>
            </w:r>
          </w:p>
        </w:tc>
        <w:tc>
          <w:tcPr>
            <w:tcW w:w="1295" w:type="dxa"/>
          </w:tcPr>
          <w:p w14:paraId="541AF433"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4,964</w:t>
            </w:r>
          </w:p>
        </w:tc>
        <w:tc>
          <w:tcPr>
            <w:tcW w:w="1305" w:type="dxa"/>
          </w:tcPr>
          <w:p w14:paraId="29172391"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8,106</w:t>
            </w:r>
          </w:p>
        </w:tc>
        <w:tc>
          <w:tcPr>
            <w:tcW w:w="1308" w:type="dxa"/>
          </w:tcPr>
          <w:p w14:paraId="77BC3FBF"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9,347</w:t>
            </w:r>
          </w:p>
        </w:tc>
      </w:tr>
      <w:tr w:rsidR="000B3805" w:rsidRPr="000B3805" w14:paraId="731B444D" w14:textId="77777777" w:rsidTr="004B6CEE">
        <w:tc>
          <w:tcPr>
            <w:tcW w:w="1561" w:type="dxa"/>
          </w:tcPr>
          <w:p w14:paraId="26B95AC2" w14:textId="77777777" w:rsidR="00AD090D" w:rsidRPr="000B3805" w:rsidRDefault="00AD090D" w:rsidP="00307A7F">
            <w:pPr>
              <w:autoSpaceDE w:val="0"/>
              <w:autoSpaceDN w:val="0"/>
              <w:adjustRightInd w:val="0"/>
              <w:snapToGrid w:val="0"/>
              <w:rPr>
                <w:rFonts w:ascii="Times New Roman" w:eastAsia="CMR10" w:hAnsi="Times New Roman" w:cs="Times New Roman"/>
                <w:i/>
                <w:iCs/>
                <w:lang w:eastAsia="ko-KR"/>
              </w:rPr>
            </w:pPr>
            <w:r w:rsidRPr="000B3805">
              <w:rPr>
                <w:rFonts w:ascii="Times New Roman" w:eastAsia="CMR10" w:hAnsi="Times New Roman" w:cs="Times New Roman"/>
                <w:i/>
                <w:iCs/>
                <w:lang w:eastAsia="ko-KR"/>
              </w:rPr>
              <w:t>MSY</w:t>
            </w:r>
          </w:p>
        </w:tc>
        <w:tc>
          <w:tcPr>
            <w:tcW w:w="1291" w:type="dxa"/>
          </w:tcPr>
          <w:p w14:paraId="2FDB8537"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9,922</w:t>
            </w:r>
          </w:p>
        </w:tc>
        <w:tc>
          <w:tcPr>
            <w:tcW w:w="1295" w:type="dxa"/>
          </w:tcPr>
          <w:p w14:paraId="1392666D"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9,543</w:t>
            </w:r>
          </w:p>
        </w:tc>
        <w:tc>
          <w:tcPr>
            <w:tcW w:w="1295" w:type="dxa"/>
          </w:tcPr>
          <w:p w14:paraId="72701619"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3,869</w:t>
            </w:r>
          </w:p>
        </w:tc>
        <w:tc>
          <w:tcPr>
            <w:tcW w:w="1295" w:type="dxa"/>
          </w:tcPr>
          <w:p w14:paraId="510CA741"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5,470</w:t>
            </w:r>
          </w:p>
        </w:tc>
        <w:tc>
          <w:tcPr>
            <w:tcW w:w="1305" w:type="dxa"/>
          </w:tcPr>
          <w:p w14:paraId="6D795149"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14,738</w:t>
            </w:r>
          </w:p>
        </w:tc>
        <w:tc>
          <w:tcPr>
            <w:tcW w:w="1308" w:type="dxa"/>
          </w:tcPr>
          <w:p w14:paraId="62305434"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22,278</w:t>
            </w:r>
          </w:p>
        </w:tc>
      </w:tr>
      <w:tr w:rsidR="000B3805" w:rsidRPr="000B3805" w14:paraId="4E9A42D8" w14:textId="77777777" w:rsidTr="004B6CEE">
        <w:tc>
          <w:tcPr>
            <w:tcW w:w="1561" w:type="dxa"/>
          </w:tcPr>
          <w:p w14:paraId="78183003" w14:textId="77777777" w:rsidR="00AD090D" w:rsidRPr="000B3805" w:rsidRDefault="00AD090D" w:rsidP="00307A7F">
            <w:pPr>
              <w:autoSpaceDE w:val="0"/>
              <w:autoSpaceDN w:val="0"/>
              <w:adjustRightInd w:val="0"/>
              <w:snapToGrid w:val="0"/>
              <w:rPr>
                <w:rFonts w:ascii="Times New Roman" w:eastAsia="Batang" w:hAnsi="Times New Roman" w:cs="Times New Roman"/>
                <w:i/>
                <w:iCs/>
                <w:lang w:eastAsia="ko-KR"/>
              </w:rPr>
            </w:pPr>
            <w:r w:rsidRPr="000B3805">
              <w:rPr>
                <w:rFonts w:ascii="Times New Roman" w:eastAsia="CMMI10" w:hAnsi="Times New Roman" w:cs="Times New Roman"/>
                <w:i/>
                <w:iCs/>
                <w:lang w:eastAsia="ko-KR"/>
              </w:rPr>
              <w:t>F</w:t>
            </w:r>
            <w:r w:rsidRPr="000B3805">
              <w:rPr>
                <w:rFonts w:ascii="Times New Roman" w:eastAsia="Batang" w:hAnsi="Times New Roman" w:cs="Times New Roman"/>
                <w:i/>
                <w:iCs/>
                <w:vertAlign w:val="subscript"/>
                <w:lang w:eastAsia="ko-KR"/>
              </w:rPr>
              <w:t>recent</w:t>
            </w:r>
            <w:r w:rsidRPr="000B3805">
              <w:rPr>
                <w:rFonts w:ascii="Times New Roman" w:eastAsia="CMMI10" w:hAnsi="Times New Roman" w:cs="Times New Roman"/>
                <w:i/>
                <w:iCs/>
                <w:lang w:eastAsia="ko-KR"/>
              </w:rPr>
              <w:t>/F</w:t>
            </w:r>
            <w:r w:rsidRPr="000B3805">
              <w:rPr>
                <w:rFonts w:ascii="Times New Roman" w:eastAsia="Batang" w:hAnsi="Times New Roman" w:cs="Times New Roman"/>
                <w:i/>
                <w:iCs/>
                <w:vertAlign w:val="subscript"/>
                <w:lang w:eastAsia="ko-KR"/>
              </w:rPr>
              <w:t>MSY</w:t>
            </w:r>
          </w:p>
        </w:tc>
        <w:tc>
          <w:tcPr>
            <w:tcW w:w="1291" w:type="dxa"/>
          </w:tcPr>
          <w:p w14:paraId="52F6CE9C"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0.67</w:t>
            </w:r>
          </w:p>
        </w:tc>
        <w:tc>
          <w:tcPr>
            <w:tcW w:w="1295" w:type="dxa"/>
          </w:tcPr>
          <w:p w14:paraId="616129AF"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0.47</w:t>
            </w:r>
          </w:p>
        </w:tc>
        <w:tc>
          <w:tcPr>
            <w:tcW w:w="1295" w:type="dxa"/>
          </w:tcPr>
          <w:p w14:paraId="678917CE"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0.16</w:t>
            </w:r>
          </w:p>
        </w:tc>
        <w:tc>
          <w:tcPr>
            <w:tcW w:w="1295" w:type="dxa"/>
          </w:tcPr>
          <w:p w14:paraId="116335FF"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0.25</w:t>
            </w:r>
          </w:p>
        </w:tc>
        <w:tc>
          <w:tcPr>
            <w:tcW w:w="1305" w:type="dxa"/>
          </w:tcPr>
          <w:p w14:paraId="261B2A4A"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1.29</w:t>
            </w:r>
          </w:p>
        </w:tc>
        <w:tc>
          <w:tcPr>
            <w:tcW w:w="1308" w:type="dxa"/>
          </w:tcPr>
          <w:p w14:paraId="7B322AA0"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2.34</w:t>
            </w:r>
          </w:p>
        </w:tc>
      </w:tr>
      <w:tr w:rsidR="000B3805" w:rsidRPr="000B3805" w14:paraId="414803F2" w14:textId="77777777" w:rsidTr="004B6CEE">
        <w:tc>
          <w:tcPr>
            <w:tcW w:w="1561" w:type="dxa"/>
          </w:tcPr>
          <w:p w14:paraId="0F034917" w14:textId="77777777" w:rsidR="00AD090D" w:rsidRPr="000B3805" w:rsidRDefault="00AD090D" w:rsidP="00307A7F">
            <w:pPr>
              <w:autoSpaceDE w:val="0"/>
              <w:autoSpaceDN w:val="0"/>
              <w:adjustRightInd w:val="0"/>
              <w:snapToGrid w:val="0"/>
              <w:rPr>
                <w:rFonts w:ascii="Times New Roman" w:eastAsia="CMR8"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CMR8" w:hAnsi="Times New Roman" w:cs="Times New Roman"/>
                <w:i/>
                <w:iCs/>
                <w:vertAlign w:val="subscript"/>
                <w:lang w:eastAsia="ko-KR"/>
              </w:rPr>
              <w:t>0</w:t>
            </w:r>
          </w:p>
        </w:tc>
        <w:tc>
          <w:tcPr>
            <w:tcW w:w="1291" w:type="dxa"/>
          </w:tcPr>
          <w:p w14:paraId="0C17AB0F"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83,853</w:t>
            </w:r>
          </w:p>
        </w:tc>
        <w:tc>
          <w:tcPr>
            <w:tcW w:w="1295" w:type="dxa"/>
          </w:tcPr>
          <w:p w14:paraId="030A1EAB"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69,390</w:t>
            </w:r>
          </w:p>
        </w:tc>
        <w:tc>
          <w:tcPr>
            <w:tcW w:w="1295" w:type="dxa"/>
          </w:tcPr>
          <w:p w14:paraId="36472CC9"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16,491</w:t>
            </w:r>
          </w:p>
        </w:tc>
        <w:tc>
          <w:tcPr>
            <w:tcW w:w="1295" w:type="dxa"/>
          </w:tcPr>
          <w:p w14:paraId="638DEA5E"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31,472</w:t>
            </w:r>
          </w:p>
        </w:tc>
        <w:tc>
          <w:tcPr>
            <w:tcW w:w="1305" w:type="dxa"/>
          </w:tcPr>
          <w:p w14:paraId="566516B4"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145,944</w:t>
            </w:r>
          </w:p>
        </w:tc>
        <w:tc>
          <w:tcPr>
            <w:tcW w:w="1308" w:type="dxa"/>
          </w:tcPr>
          <w:p w14:paraId="7F24C935"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334,518</w:t>
            </w:r>
          </w:p>
        </w:tc>
      </w:tr>
      <w:tr w:rsidR="000B3805" w:rsidRPr="000B3805" w14:paraId="6D3002D1" w14:textId="77777777" w:rsidTr="004B6CEE">
        <w:tc>
          <w:tcPr>
            <w:tcW w:w="1561" w:type="dxa"/>
          </w:tcPr>
          <w:p w14:paraId="02CC20FA" w14:textId="77777777" w:rsidR="00AD090D" w:rsidRPr="000B3805" w:rsidRDefault="00AD090D" w:rsidP="00307A7F">
            <w:pPr>
              <w:autoSpaceDE w:val="0"/>
              <w:autoSpaceDN w:val="0"/>
              <w:adjustRightInd w:val="0"/>
              <w:snapToGrid w:val="0"/>
              <w:rPr>
                <w:rFonts w:ascii="Times New Roman" w:eastAsia="Batang"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latest</w:t>
            </w:r>
          </w:p>
        </w:tc>
        <w:tc>
          <w:tcPr>
            <w:tcW w:w="1291" w:type="dxa"/>
          </w:tcPr>
          <w:p w14:paraId="6C19C3ED"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38,287</w:t>
            </w:r>
          </w:p>
        </w:tc>
        <w:tc>
          <w:tcPr>
            <w:tcW w:w="1295" w:type="dxa"/>
          </w:tcPr>
          <w:p w14:paraId="337E4247"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31,517</w:t>
            </w:r>
          </w:p>
        </w:tc>
        <w:tc>
          <w:tcPr>
            <w:tcW w:w="1295" w:type="dxa"/>
          </w:tcPr>
          <w:p w14:paraId="0DC16CD9"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10,588</w:t>
            </w:r>
          </w:p>
        </w:tc>
        <w:tc>
          <w:tcPr>
            <w:tcW w:w="1295" w:type="dxa"/>
          </w:tcPr>
          <w:p w14:paraId="50796625"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16,096</w:t>
            </w:r>
          </w:p>
        </w:tc>
        <w:tc>
          <w:tcPr>
            <w:tcW w:w="1305" w:type="dxa"/>
          </w:tcPr>
          <w:p w14:paraId="5C5084D0"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69,370</w:t>
            </w:r>
          </w:p>
        </w:tc>
        <w:tc>
          <w:tcPr>
            <w:tcW w:w="1308" w:type="dxa"/>
          </w:tcPr>
          <w:p w14:paraId="18040492"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125,681</w:t>
            </w:r>
          </w:p>
        </w:tc>
      </w:tr>
      <w:tr w:rsidR="000B3805" w:rsidRPr="000B3805" w14:paraId="4CE8C743" w14:textId="77777777" w:rsidTr="004B6CEE">
        <w:tc>
          <w:tcPr>
            <w:tcW w:w="1561" w:type="dxa"/>
          </w:tcPr>
          <w:p w14:paraId="65E90B74" w14:textId="77777777" w:rsidR="00AD090D" w:rsidRPr="000B3805" w:rsidRDefault="00AD090D" w:rsidP="00307A7F">
            <w:pPr>
              <w:autoSpaceDE w:val="0"/>
              <w:autoSpaceDN w:val="0"/>
              <w:adjustRightInd w:val="0"/>
              <w:snapToGrid w:val="0"/>
              <w:rPr>
                <w:rFonts w:ascii="Times New Roman" w:eastAsia="Batang"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recent</w:t>
            </w:r>
          </w:p>
        </w:tc>
        <w:tc>
          <w:tcPr>
            <w:tcW w:w="1291" w:type="dxa"/>
          </w:tcPr>
          <w:p w14:paraId="386940FA"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41,916</w:t>
            </w:r>
          </w:p>
        </w:tc>
        <w:tc>
          <w:tcPr>
            <w:tcW w:w="1295" w:type="dxa"/>
          </w:tcPr>
          <w:p w14:paraId="38EE7683"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38,106</w:t>
            </w:r>
          </w:p>
        </w:tc>
        <w:tc>
          <w:tcPr>
            <w:tcW w:w="1295" w:type="dxa"/>
          </w:tcPr>
          <w:p w14:paraId="2F454234"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14,975</w:t>
            </w:r>
          </w:p>
        </w:tc>
        <w:tc>
          <w:tcPr>
            <w:tcW w:w="1295" w:type="dxa"/>
          </w:tcPr>
          <w:p w14:paraId="0F098ABA"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18,956</w:t>
            </w:r>
          </w:p>
        </w:tc>
        <w:tc>
          <w:tcPr>
            <w:tcW w:w="1305" w:type="dxa"/>
          </w:tcPr>
          <w:p w14:paraId="7C1BC022"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68,550</w:t>
            </w:r>
          </w:p>
        </w:tc>
        <w:tc>
          <w:tcPr>
            <w:tcW w:w="1308" w:type="dxa"/>
          </w:tcPr>
          <w:p w14:paraId="4FA6CBE4"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99,304</w:t>
            </w:r>
          </w:p>
        </w:tc>
      </w:tr>
      <w:tr w:rsidR="000B3805" w:rsidRPr="000B3805" w14:paraId="7E671121" w14:textId="77777777" w:rsidTr="004B6CEE">
        <w:tc>
          <w:tcPr>
            <w:tcW w:w="1561" w:type="dxa"/>
          </w:tcPr>
          <w:p w14:paraId="19314297" w14:textId="77777777" w:rsidR="00AD090D" w:rsidRPr="000B3805" w:rsidRDefault="00AD090D" w:rsidP="00307A7F">
            <w:pPr>
              <w:autoSpaceDE w:val="0"/>
              <w:autoSpaceDN w:val="0"/>
              <w:adjustRightInd w:val="0"/>
              <w:snapToGrid w:val="0"/>
              <w:rPr>
                <w:rFonts w:ascii="Times New Roman" w:eastAsia="Batang"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MSY</w:t>
            </w:r>
          </w:p>
        </w:tc>
        <w:tc>
          <w:tcPr>
            <w:tcW w:w="1291" w:type="dxa"/>
          </w:tcPr>
          <w:p w14:paraId="11D447E4"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12,507</w:t>
            </w:r>
          </w:p>
        </w:tc>
        <w:tc>
          <w:tcPr>
            <w:tcW w:w="1295" w:type="dxa"/>
          </w:tcPr>
          <w:p w14:paraId="17D6AFAD"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11,480</w:t>
            </w:r>
          </w:p>
        </w:tc>
        <w:tc>
          <w:tcPr>
            <w:tcW w:w="1295" w:type="dxa"/>
          </w:tcPr>
          <w:p w14:paraId="221E3C04"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2,427</w:t>
            </w:r>
          </w:p>
        </w:tc>
        <w:tc>
          <w:tcPr>
            <w:tcW w:w="1295" w:type="dxa"/>
          </w:tcPr>
          <w:p w14:paraId="7CF139D2"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5,212</w:t>
            </w:r>
          </w:p>
        </w:tc>
        <w:tc>
          <w:tcPr>
            <w:tcW w:w="1305" w:type="dxa"/>
          </w:tcPr>
          <w:p w14:paraId="4D441B5C"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21,722</w:t>
            </w:r>
          </w:p>
        </w:tc>
        <w:tc>
          <w:tcPr>
            <w:tcW w:w="1308" w:type="dxa"/>
          </w:tcPr>
          <w:p w14:paraId="48DA6BD1"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29,297</w:t>
            </w:r>
          </w:p>
        </w:tc>
      </w:tr>
      <w:tr w:rsidR="000B3805" w:rsidRPr="000B3805" w14:paraId="6D4B46DC" w14:textId="77777777" w:rsidTr="004B6CEE">
        <w:tc>
          <w:tcPr>
            <w:tcW w:w="1561" w:type="dxa"/>
          </w:tcPr>
          <w:p w14:paraId="530927E2" w14:textId="77777777" w:rsidR="00AD090D" w:rsidRPr="000B3805" w:rsidRDefault="00AD090D" w:rsidP="00307A7F">
            <w:pPr>
              <w:autoSpaceDE w:val="0"/>
              <w:autoSpaceDN w:val="0"/>
              <w:adjustRightInd w:val="0"/>
              <w:snapToGrid w:val="0"/>
              <w:rPr>
                <w:rFonts w:ascii="Times New Roman" w:eastAsia="Batang"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latest</w:t>
            </w:r>
            <w:r w:rsidRPr="000B3805">
              <w:rPr>
                <w:rFonts w:ascii="Times New Roman" w:eastAsia="CMMI10" w:hAnsi="Times New Roman" w:cs="Times New Roman"/>
                <w:i/>
                <w:iCs/>
                <w:lang w:eastAsia="ko-KR"/>
              </w:rPr>
              <w:t>/</w:t>
            </w: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MSY</w:t>
            </w:r>
          </w:p>
        </w:tc>
        <w:tc>
          <w:tcPr>
            <w:tcW w:w="1291" w:type="dxa"/>
          </w:tcPr>
          <w:p w14:paraId="214BDD8C"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3.7</w:t>
            </w:r>
          </w:p>
        </w:tc>
        <w:tc>
          <w:tcPr>
            <w:tcW w:w="1295" w:type="dxa"/>
          </w:tcPr>
          <w:p w14:paraId="767F1288"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2.95</w:t>
            </w:r>
          </w:p>
        </w:tc>
        <w:tc>
          <w:tcPr>
            <w:tcW w:w="1295" w:type="dxa"/>
          </w:tcPr>
          <w:p w14:paraId="03F6E0F9"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0.44</w:t>
            </w:r>
          </w:p>
        </w:tc>
        <w:tc>
          <w:tcPr>
            <w:tcW w:w="1295" w:type="dxa"/>
          </w:tcPr>
          <w:p w14:paraId="312163C9"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0.99</w:t>
            </w:r>
          </w:p>
        </w:tc>
        <w:tc>
          <w:tcPr>
            <w:tcW w:w="1305" w:type="dxa"/>
          </w:tcPr>
          <w:p w14:paraId="68FDD9C1"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6.78</w:t>
            </w:r>
          </w:p>
        </w:tc>
        <w:tc>
          <w:tcPr>
            <w:tcW w:w="1308" w:type="dxa"/>
          </w:tcPr>
          <w:p w14:paraId="6D97A2BE"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18</w:t>
            </w:r>
          </w:p>
        </w:tc>
      </w:tr>
      <w:tr w:rsidR="000B3805" w:rsidRPr="000B3805" w14:paraId="53874C2A" w14:textId="77777777" w:rsidTr="004B6CEE">
        <w:tc>
          <w:tcPr>
            <w:tcW w:w="1561" w:type="dxa"/>
          </w:tcPr>
          <w:p w14:paraId="7BEA5F3A" w14:textId="77777777" w:rsidR="00AD090D" w:rsidRPr="000B3805" w:rsidRDefault="00AD090D" w:rsidP="00307A7F">
            <w:pPr>
              <w:autoSpaceDE w:val="0"/>
              <w:autoSpaceDN w:val="0"/>
              <w:adjustRightInd w:val="0"/>
              <w:snapToGrid w:val="0"/>
              <w:rPr>
                <w:rFonts w:ascii="Times New Roman" w:eastAsia="Batang"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recent</w:t>
            </w:r>
            <w:r w:rsidRPr="000B3805">
              <w:rPr>
                <w:rFonts w:ascii="Times New Roman" w:eastAsia="CMMI10" w:hAnsi="Times New Roman" w:cs="Times New Roman"/>
                <w:i/>
                <w:iCs/>
                <w:lang w:eastAsia="ko-KR"/>
              </w:rPr>
              <w:t>/</w:t>
            </w: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MSY</w:t>
            </w:r>
          </w:p>
        </w:tc>
        <w:tc>
          <w:tcPr>
            <w:tcW w:w="1291" w:type="dxa"/>
          </w:tcPr>
          <w:p w14:paraId="69543744"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4.1</w:t>
            </w:r>
          </w:p>
        </w:tc>
        <w:tc>
          <w:tcPr>
            <w:tcW w:w="1295" w:type="dxa"/>
          </w:tcPr>
          <w:p w14:paraId="5ED92E00"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3.61</w:t>
            </w:r>
          </w:p>
        </w:tc>
        <w:tc>
          <w:tcPr>
            <w:tcW w:w="1295" w:type="dxa"/>
          </w:tcPr>
          <w:p w14:paraId="4CC6B155"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0.64</w:t>
            </w:r>
          </w:p>
        </w:tc>
        <w:tc>
          <w:tcPr>
            <w:tcW w:w="1295" w:type="dxa"/>
          </w:tcPr>
          <w:p w14:paraId="7D8DE2F7"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1.23</w:t>
            </w:r>
          </w:p>
        </w:tc>
        <w:tc>
          <w:tcPr>
            <w:tcW w:w="1305" w:type="dxa"/>
          </w:tcPr>
          <w:p w14:paraId="47491CCF"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7.39</w:t>
            </w:r>
          </w:p>
        </w:tc>
        <w:tc>
          <w:tcPr>
            <w:tcW w:w="1308" w:type="dxa"/>
          </w:tcPr>
          <w:p w14:paraId="5AE30D6F"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16</w:t>
            </w:r>
          </w:p>
        </w:tc>
      </w:tr>
      <w:tr w:rsidR="000B3805" w:rsidRPr="000B3805" w14:paraId="5A910F24" w14:textId="77777777" w:rsidTr="004B6CEE">
        <w:tc>
          <w:tcPr>
            <w:tcW w:w="1561" w:type="dxa"/>
          </w:tcPr>
          <w:p w14:paraId="0881D63B" w14:textId="77777777" w:rsidR="00AD090D" w:rsidRPr="000B3805" w:rsidRDefault="00AD090D" w:rsidP="00307A7F">
            <w:pPr>
              <w:autoSpaceDE w:val="0"/>
              <w:autoSpaceDN w:val="0"/>
              <w:adjustRightInd w:val="0"/>
              <w:snapToGrid w:val="0"/>
              <w:rPr>
                <w:rFonts w:ascii="Times New Roman" w:eastAsia="CMR8"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latest</w:t>
            </w:r>
            <w:r w:rsidRPr="000B3805">
              <w:rPr>
                <w:rFonts w:ascii="Times New Roman" w:eastAsia="CMMI10" w:hAnsi="Times New Roman" w:cs="Times New Roman"/>
                <w:i/>
                <w:iCs/>
                <w:lang w:eastAsia="ko-KR"/>
              </w:rPr>
              <w:t>/</w:t>
            </w:r>
            <w:r w:rsidRPr="000B3805">
              <w:rPr>
                <w:rFonts w:ascii="Times New Roman" w:eastAsia="Batang" w:hAnsi="Times New Roman" w:cs="Times New Roman"/>
                <w:i/>
                <w:iCs/>
                <w:lang w:eastAsia="ko-KR"/>
              </w:rPr>
              <w:t>SB</w:t>
            </w:r>
            <w:r w:rsidRPr="000B3805">
              <w:rPr>
                <w:rFonts w:ascii="Times New Roman" w:eastAsia="CMR8" w:hAnsi="Times New Roman" w:cs="Times New Roman"/>
                <w:i/>
                <w:iCs/>
                <w:vertAlign w:val="subscript"/>
                <w:lang w:eastAsia="ko-KR"/>
              </w:rPr>
              <w:t>0</w:t>
            </w:r>
          </w:p>
        </w:tc>
        <w:tc>
          <w:tcPr>
            <w:tcW w:w="1291" w:type="dxa"/>
          </w:tcPr>
          <w:p w14:paraId="78044948"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0.59</w:t>
            </w:r>
          </w:p>
        </w:tc>
        <w:tc>
          <w:tcPr>
            <w:tcW w:w="1295" w:type="dxa"/>
          </w:tcPr>
          <w:p w14:paraId="577C43AB"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0.46</w:t>
            </w:r>
          </w:p>
        </w:tc>
        <w:tc>
          <w:tcPr>
            <w:tcW w:w="1295" w:type="dxa"/>
          </w:tcPr>
          <w:p w14:paraId="553CE258"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0.1</w:t>
            </w:r>
          </w:p>
        </w:tc>
        <w:tc>
          <w:tcPr>
            <w:tcW w:w="1295" w:type="dxa"/>
          </w:tcPr>
          <w:p w14:paraId="1BC4210A"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0.2</w:t>
            </w:r>
          </w:p>
        </w:tc>
        <w:tc>
          <w:tcPr>
            <w:tcW w:w="1305" w:type="dxa"/>
          </w:tcPr>
          <w:p w14:paraId="4E3432A8"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1.09</w:t>
            </w:r>
          </w:p>
        </w:tc>
        <w:tc>
          <w:tcPr>
            <w:tcW w:w="1308" w:type="dxa"/>
          </w:tcPr>
          <w:p w14:paraId="43882F72" w14:textId="77777777" w:rsidR="00AD090D" w:rsidRPr="000B3805" w:rsidRDefault="00AD090D" w:rsidP="00307A7F">
            <w:pPr>
              <w:autoSpaceDE w:val="0"/>
              <w:autoSpaceDN w:val="0"/>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2.49</w:t>
            </w:r>
          </w:p>
        </w:tc>
      </w:tr>
      <w:tr w:rsidR="00AD090D" w:rsidRPr="000B3805" w14:paraId="43276C88" w14:textId="77777777" w:rsidTr="004B6CEE">
        <w:tc>
          <w:tcPr>
            <w:tcW w:w="1561" w:type="dxa"/>
          </w:tcPr>
          <w:p w14:paraId="09FEB30B" w14:textId="77777777" w:rsidR="00AD090D" w:rsidRPr="000B3805" w:rsidRDefault="00AD090D" w:rsidP="00307A7F">
            <w:pPr>
              <w:adjustRightInd w:val="0"/>
              <w:snapToGrid w:val="0"/>
              <w:rPr>
                <w:rFonts w:ascii="Times New Roman" w:eastAsia="CMR8" w:hAnsi="Times New Roman" w:cs="Times New Roman"/>
                <w:i/>
                <w:iCs/>
                <w:lang w:eastAsia="ko-KR"/>
              </w:rPr>
            </w:pP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latest</w:t>
            </w:r>
            <w:r w:rsidRPr="000B3805">
              <w:rPr>
                <w:rFonts w:ascii="Times New Roman" w:eastAsia="CMMI10" w:hAnsi="Times New Roman" w:cs="Times New Roman"/>
                <w:i/>
                <w:iCs/>
                <w:lang w:eastAsia="ko-KR"/>
              </w:rPr>
              <w:t>/</w:t>
            </w:r>
            <w:r w:rsidRPr="000B3805">
              <w:rPr>
                <w:rFonts w:ascii="Times New Roman" w:eastAsia="Batang" w:hAnsi="Times New Roman" w:cs="Times New Roman"/>
                <w:i/>
                <w:iCs/>
                <w:lang w:eastAsia="ko-KR"/>
              </w:rPr>
              <w:t>SB</w:t>
            </w:r>
            <w:r w:rsidRPr="000B3805">
              <w:rPr>
                <w:rFonts w:ascii="Times New Roman" w:eastAsia="Batang" w:hAnsi="Times New Roman" w:cs="Times New Roman"/>
                <w:i/>
                <w:iCs/>
                <w:vertAlign w:val="subscript"/>
                <w:lang w:eastAsia="ko-KR"/>
              </w:rPr>
              <w:t>F</w:t>
            </w:r>
            <w:r w:rsidRPr="000B3805">
              <w:rPr>
                <w:rFonts w:ascii="Times New Roman" w:eastAsia="CMR8" w:hAnsi="Times New Roman" w:cs="Times New Roman"/>
                <w:i/>
                <w:iCs/>
                <w:vertAlign w:val="subscript"/>
                <w:lang w:eastAsia="ko-KR"/>
              </w:rPr>
              <w:t>=0</w:t>
            </w:r>
          </w:p>
        </w:tc>
        <w:tc>
          <w:tcPr>
            <w:tcW w:w="1291" w:type="dxa"/>
          </w:tcPr>
          <w:p w14:paraId="0B27741B" w14:textId="77777777" w:rsidR="00AD090D" w:rsidRPr="000B3805" w:rsidRDefault="00AD090D" w:rsidP="00307A7F">
            <w:pPr>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0.45</w:t>
            </w:r>
          </w:p>
        </w:tc>
        <w:tc>
          <w:tcPr>
            <w:tcW w:w="1295" w:type="dxa"/>
          </w:tcPr>
          <w:p w14:paraId="039DF1C0" w14:textId="77777777" w:rsidR="00AD090D" w:rsidRPr="000B3805" w:rsidRDefault="00AD090D" w:rsidP="00307A7F">
            <w:pPr>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0.39</w:t>
            </w:r>
          </w:p>
        </w:tc>
        <w:tc>
          <w:tcPr>
            <w:tcW w:w="1295" w:type="dxa"/>
          </w:tcPr>
          <w:p w14:paraId="5D50003B" w14:textId="77777777" w:rsidR="00AD090D" w:rsidRPr="000B3805" w:rsidRDefault="00AD090D" w:rsidP="00307A7F">
            <w:pPr>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0.08</w:t>
            </w:r>
          </w:p>
        </w:tc>
        <w:tc>
          <w:tcPr>
            <w:tcW w:w="1295" w:type="dxa"/>
          </w:tcPr>
          <w:p w14:paraId="6125BB16" w14:textId="77777777" w:rsidR="00AD090D" w:rsidRPr="000B3805" w:rsidRDefault="00AD090D" w:rsidP="00307A7F">
            <w:pPr>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0.18</w:t>
            </w:r>
          </w:p>
        </w:tc>
        <w:tc>
          <w:tcPr>
            <w:tcW w:w="1305" w:type="dxa"/>
          </w:tcPr>
          <w:p w14:paraId="7F872B28" w14:textId="77777777" w:rsidR="00AD090D" w:rsidRPr="000B3805" w:rsidRDefault="00AD090D" w:rsidP="00307A7F">
            <w:pPr>
              <w:adjustRightInd w:val="0"/>
              <w:snapToGrid w:val="0"/>
              <w:jc w:val="center"/>
              <w:rPr>
                <w:rFonts w:ascii="Times New Roman" w:eastAsia="CMR10" w:hAnsi="Times New Roman" w:cs="Times New Roman"/>
                <w:lang w:eastAsia="ko-KR"/>
              </w:rPr>
            </w:pPr>
            <w:r w:rsidRPr="000B3805">
              <w:rPr>
                <w:rFonts w:ascii="Times New Roman" w:eastAsia="CMR10" w:hAnsi="Times New Roman" w:cs="Times New Roman"/>
                <w:lang w:eastAsia="ko-KR"/>
              </w:rPr>
              <w:t>0.79</w:t>
            </w:r>
          </w:p>
        </w:tc>
        <w:tc>
          <w:tcPr>
            <w:tcW w:w="1308" w:type="dxa"/>
          </w:tcPr>
          <w:p w14:paraId="7F8F9A82" w14:textId="77777777" w:rsidR="00AD090D" w:rsidRPr="000B3805" w:rsidRDefault="00AD090D" w:rsidP="00307A7F">
            <w:pPr>
              <w:adjustRightInd w:val="0"/>
              <w:snapToGrid w:val="0"/>
              <w:jc w:val="center"/>
              <w:rPr>
                <w:rFonts w:ascii="Times New Roman" w:hAnsi="Times New Roman" w:cs="Times New Roman"/>
              </w:rPr>
            </w:pPr>
            <w:r w:rsidRPr="000B3805">
              <w:rPr>
                <w:rFonts w:ascii="Times New Roman" w:eastAsia="CMR10" w:hAnsi="Times New Roman" w:cs="Times New Roman"/>
                <w:lang w:eastAsia="ko-KR"/>
              </w:rPr>
              <w:t>1.42</w:t>
            </w:r>
          </w:p>
        </w:tc>
      </w:tr>
    </w:tbl>
    <w:p w14:paraId="5A7B6842" w14:textId="77777777" w:rsidR="00AD090D" w:rsidRPr="000B3805" w:rsidRDefault="00AD090D" w:rsidP="00307A7F">
      <w:pPr>
        <w:adjustRightInd w:val="0"/>
        <w:snapToGrid w:val="0"/>
        <w:spacing w:after="0" w:line="240" w:lineRule="auto"/>
        <w:jc w:val="both"/>
        <w:rPr>
          <w:rFonts w:ascii="Times New Roman" w:hAnsi="Times New Roman" w:cs="Times New Roman"/>
          <w:lang w:val="en-NZ" w:eastAsia="en-NZ"/>
        </w:rPr>
      </w:pPr>
    </w:p>
    <w:p w14:paraId="4B5B976C" w14:textId="77777777" w:rsidR="00AD090D" w:rsidRPr="000B3805" w:rsidRDefault="00AD090D" w:rsidP="00307A7F">
      <w:pPr>
        <w:adjustRightInd w:val="0"/>
        <w:snapToGrid w:val="0"/>
        <w:spacing w:after="0" w:line="240" w:lineRule="auto"/>
        <w:jc w:val="both"/>
        <w:rPr>
          <w:rFonts w:ascii="Times New Roman" w:hAnsi="Times New Roman" w:cs="Times New Roman"/>
          <w:lang w:val="en-NZ" w:eastAsia="en-NZ"/>
        </w:rPr>
      </w:pPr>
    </w:p>
    <w:p w14:paraId="13CCF636" w14:textId="77777777" w:rsidR="00AD090D" w:rsidRPr="000B3805" w:rsidRDefault="00AD090D" w:rsidP="00307A7F">
      <w:pPr>
        <w:adjustRightInd w:val="0"/>
        <w:snapToGrid w:val="0"/>
        <w:spacing w:after="0" w:line="240" w:lineRule="auto"/>
        <w:jc w:val="both"/>
        <w:rPr>
          <w:rFonts w:ascii="Times New Roman" w:hAnsi="Times New Roman" w:cs="Times New Roman"/>
          <w:lang w:val="en-NZ" w:eastAsia="en-NZ"/>
        </w:rPr>
      </w:pPr>
    </w:p>
    <w:p w14:paraId="390E1F47" w14:textId="77777777" w:rsidR="00AD090D" w:rsidRPr="000B3805" w:rsidRDefault="00AD090D" w:rsidP="00307A7F">
      <w:pPr>
        <w:adjustRightInd w:val="0"/>
        <w:snapToGrid w:val="0"/>
        <w:spacing w:after="0" w:line="240" w:lineRule="auto"/>
        <w:jc w:val="both"/>
        <w:rPr>
          <w:rFonts w:ascii="Times New Roman" w:hAnsi="Times New Roman" w:cs="Times New Roman"/>
          <w:lang w:val="en-NZ" w:eastAsia="en-NZ"/>
        </w:rPr>
      </w:pPr>
    </w:p>
    <w:p w14:paraId="6DD2C054" w14:textId="77777777" w:rsidR="00AD090D" w:rsidRPr="000B3805" w:rsidRDefault="00AD090D" w:rsidP="00307A7F">
      <w:pPr>
        <w:keepNext/>
        <w:adjustRightInd w:val="0"/>
        <w:snapToGrid w:val="0"/>
        <w:spacing w:after="0" w:line="240" w:lineRule="auto"/>
        <w:jc w:val="center"/>
        <w:rPr>
          <w:rFonts w:ascii="Times New Roman" w:hAnsi="Times New Roman" w:cs="Times New Roman"/>
        </w:rPr>
      </w:pPr>
      <w:r w:rsidRPr="000B3805">
        <w:rPr>
          <w:rFonts w:ascii="Times New Roman" w:hAnsi="Times New Roman" w:cs="Times New Roman"/>
          <w:noProof/>
        </w:rPr>
        <w:drawing>
          <wp:inline distT="0" distB="0" distL="0" distR="0" wp14:anchorId="1702CF27" wp14:editId="61D1C250">
            <wp:extent cx="4253948" cy="2392787"/>
            <wp:effectExtent l="0" t="0" r="0" b="7620"/>
            <wp:docPr id="42434" name="Picture 424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0684" cy="2396576"/>
                    </a:xfrm>
                    <a:prstGeom prst="rect">
                      <a:avLst/>
                    </a:prstGeom>
                  </pic:spPr>
                </pic:pic>
              </a:graphicData>
            </a:graphic>
          </wp:inline>
        </w:drawing>
      </w:r>
    </w:p>
    <w:p w14:paraId="4929590A" w14:textId="77777777" w:rsidR="00AD090D" w:rsidRPr="000B3805" w:rsidRDefault="00AD090D" w:rsidP="00307A7F">
      <w:pPr>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t>Figure SWO-0</w:t>
      </w:r>
      <w:r w:rsidRPr="000B3805">
        <w:rPr>
          <w:rFonts w:ascii="Times New Roman" w:hAnsi="Times New Roman" w:cs="Times New Roman"/>
          <w:b/>
          <w:bCs/>
        </w:rPr>
        <w:fldChar w:fldCharType="begin"/>
      </w:r>
      <w:r w:rsidRPr="000B3805">
        <w:rPr>
          <w:rFonts w:ascii="Times New Roman" w:hAnsi="Times New Roman" w:cs="Times New Roman"/>
          <w:b/>
          <w:bCs/>
        </w:rPr>
        <w:instrText xml:space="preserve"> SEQ Figure \* ARABIC </w:instrText>
      </w:r>
      <w:r w:rsidRPr="000B3805">
        <w:rPr>
          <w:rFonts w:ascii="Times New Roman" w:hAnsi="Times New Roman" w:cs="Times New Roman"/>
          <w:b/>
          <w:bCs/>
        </w:rPr>
        <w:fldChar w:fldCharType="separate"/>
      </w:r>
      <w:r w:rsidRPr="000B3805">
        <w:rPr>
          <w:rFonts w:ascii="Times New Roman" w:hAnsi="Times New Roman" w:cs="Times New Roman"/>
          <w:b/>
          <w:bCs/>
          <w:noProof/>
        </w:rPr>
        <w:t>1</w:t>
      </w:r>
      <w:r w:rsidRPr="000B3805">
        <w:rPr>
          <w:rFonts w:ascii="Times New Roman" w:hAnsi="Times New Roman" w:cs="Times New Roman"/>
          <w:b/>
          <w:bCs/>
          <w:noProof/>
        </w:rPr>
        <w:fldChar w:fldCharType="end"/>
      </w:r>
      <w:r w:rsidRPr="000B3805">
        <w:rPr>
          <w:rFonts w:ascii="Times New Roman" w:hAnsi="Times New Roman" w:cs="Times New Roman"/>
          <w:noProof/>
        </w:rPr>
        <w:t>.</w:t>
      </w:r>
      <w:r w:rsidRPr="000B3805">
        <w:rPr>
          <w:rFonts w:ascii="Times New Roman" w:hAnsi="Times New Roman" w:cs="Times New Roman"/>
        </w:rPr>
        <w:t xml:space="preserve"> Spatial structure for the 2021 </w:t>
      </w:r>
      <w:r w:rsidRPr="000B3805">
        <w:rPr>
          <w:rFonts w:ascii="Times New Roman" w:hAnsi="Times New Roman" w:cs="Times New Roman"/>
          <w:bCs/>
        </w:rPr>
        <w:t>Southwest Pacific</w:t>
      </w:r>
      <w:r w:rsidRPr="000B3805">
        <w:rPr>
          <w:rFonts w:ascii="Times New Roman" w:hAnsi="Times New Roman" w:cs="Times New Roman"/>
        </w:rPr>
        <w:t xml:space="preserve"> swordfish stock assessment. Sub-regions used to differentiate fisheries are shown with the dotted lines.</w:t>
      </w:r>
    </w:p>
    <w:p w14:paraId="5249BEA8" w14:textId="77777777" w:rsidR="00AD090D" w:rsidRPr="000B3805" w:rsidRDefault="00AD090D" w:rsidP="00307A7F">
      <w:pPr>
        <w:adjustRightInd w:val="0"/>
        <w:snapToGrid w:val="0"/>
        <w:spacing w:after="0" w:line="240" w:lineRule="auto"/>
        <w:jc w:val="both"/>
        <w:rPr>
          <w:rFonts w:ascii="Times New Roman" w:hAnsi="Times New Roman" w:cs="Times New Roman"/>
        </w:rPr>
      </w:pPr>
    </w:p>
    <w:p w14:paraId="72240DB1" w14:textId="77777777" w:rsidR="00AD090D" w:rsidRPr="000B3805" w:rsidRDefault="00AD090D" w:rsidP="00307A7F">
      <w:pPr>
        <w:adjustRightInd w:val="0"/>
        <w:snapToGrid w:val="0"/>
        <w:spacing w:after="0" w:line="240" w:lineRule="auto"/>
        <w:jc w:val="both"/>
        <w:rPr>
          <w:rFonts w:ascii="Times New Roman" w:hAnsi="Times New Roman" w:cs="Times New Roman"/>
        </w:rPr>
      </w:pPr>
    </w:p>
    <w:p w14:paraId="6C2E3742" w14:textId="77777777" w:rsidR="00AD090D" w:rsidRPr="000B3805" w:rsidRDefault="00AD090D" w:rsidP="00307A7F">
      <w:pPr>
        <w:adjustRightInd w:val="0"/>
        <w:snapToGrid w:val="0"/>
        <w:spacing w:after="0" w:line="240" w:lineRule="auto"/>
        <w:jc w:val="both"/>
        <w:rPr>
          <w:rFonts w:ascii="Times New Roman" w:hAnsi="Times New Roman" w:cs="Times New Roman"/>
        </w:rPr>
      </w:pPr>
    </w:p>
    <w:p w14:paraId="440AD7D6" w14:textId="77777777" w:rsidR="00AD090D" w:rsidRPr="000B3805" w:rsidRDefault="00AD090D" w:rsidP="00307A7F">
      <w:pPr>
        <w:keepNext/>
        <w:adjustRightInd w:val="0"/>
        <w:snapToGrid w:val="0"/>
        <w:spacing w:after="0" w:line="240" w:lineRule="auto"/>
        <w:jc w:val="center"/>
        <w:rPr>
          <w:rFonts w:ascii="Times New Roman" w:hAnsi="Times New Roman" w:cs="Times New Roman"/>
        </w:rPr>
      </w:pPr>
      <w:r w:rsidRPr="000B3805">
        <w:rPr>
          <w:rFonts w:ascii="Times New Roman" w:hAnsi="Times New Roman" w:cs="Times New Roman"/>
          <w:noProof/>
        </w:rPr>
        <w:drawing>
          <wp:inline distT="0" distB="0" distL="0" distR="0" wp14:anchorId="47186B47" wp14:editId="0ED85212">
            <wp:extent cx="3593592" cy="3593592"/>
            <wp:effectExtent l="0" t="0" r="6985" b="6985"/>
            <wp:docPr id="42435" name="Picture 424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3592" cy="3593592"/>
                    </a:xfrm>
                    <a:prstGeom prst="rect">
                      <a:avLst/>
                    </a:prstGeom>
                  </pic:spPr>
                </pic:pic>
              </a:graphicData>
            </a:graphic>
          </wp:inline>
        </w:drawing>
      </w:r>
    </w:p>
    <w:p w14:paraId="6F070621" w14:textId="77777777" w:rsidR="00AD090D" w:rsidRPr="000B3805" w:rsidRDefault="00AD090D" w:rsidP="00307A7F">
      <w:pPr>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t>Figure SWO-0</w:t>
      </w:r>
      <w:r w:rsidRPr="000B3805">
        <w:rPr>
          <w:rFonts w:ascii="Times New Roman" w:hAnsi="Times New Roman" w:cs="Times New Roman"/>
          <w:b/>
          <w:bCs/>
        </w:rPr>
        <w:fldChar w:fldCharType="begin"/>
      </w:r>
      <w:r w:rsidRPr="000B3805">
        <w:rPr>
          <w:rFonts w:ascii="Times New Roman" w:hAnsi="Times New Roman" w:cs="Times New Roman"/>
          <w:b/>
          <w:bCs/>
        </w:rPr>
        <w:instrText xml:space="preserve"> SEQ Figure \* ARABIC </w:instrText>
      </w:r>
      <w:r w:rsidRPr="000B3805">
        <w:rPr>
          <w:rFonts w:ascii="Times New Roman" w:hAnsi="Times New Roman" w:cs="Times New Roman"/>
          <w:b/>
          <w:bCs/>
        </w:rPr>
        <w:fldChar w:fldCharType="separate"/>
      </w:r>
      <w:r w:rsidRPr="000B3805">
        <w:rPr>
          <w:rFonts w:ascii="Times New Roman" w:hAnsi="Times New Roman" w:cs="Times New Roman"/>
          <w:b/>
          <w:bCs/>
          <w:noProof/>
        </w:rPr>
        <w:t>2</w:t>
      </w:r>
      <w:r w:rsidRPr="000B3805">
        <w:rPr>
          <w:rFonts w:ascii="Times New Roman" w:hAnsi="Times New Roman" w:cs="Times New Roman"/>
          <w:b/>
          <w:bCs/>
          <w:noProof/>
        </w:rPr>
        <w:fldChar w:fldCharType="end"/>
      </w:r>
      <w:r w:rsidRPr="000B3805">
        <w:rPr>
          <w:rFonts w:ascii="Times New Roman" w:hAnsi="Times New Roman" w:cs="Times New Roman"/>
          <w:b/>
          <w:bCs/>
          <w:noProof/>
        </w:rPr>
        <w:t>.</w:t>
      </w:r>
      <w:r w:rsidRPr="000B3805">
        <w:rPr>
          <w:rFonts w:ascii="Times New Roman" w:hAnsi="Times New Roman" w:cs="Times New Roman"/>
        </w:rPr>
        <w:t xml:space="preserve"> Annual catch (mt) where the colors indicate latitudinal location of the catch.</w:t>
      </w:r>
    </w:p>
    <w:p w14:paraId="7B831493" w14:textId="77777777" w:rsidR="00AD090D" w:rsidRPr="000B3805" w:rsidRDefault="00AD090D" w:rsidP="00307A7F">
      <w:pPr>
        <w:keepNext/>
        <w:adjustRightInd w:val="0"/>
        <w:snapToGrid w:val="0"/>
        <w:spacing w:after="0" w:line="240" w:lineRule="auto"/>
        <w:jc w:val="center"/>
        <w:rPr>
          <w:rFonts w:ascii="Times New Roman" w:hAnsi="Times New Roman" w:cs="Times New Roman"/>
        </w:rPr>
      </w:pPr>
      <w:r w:rsidRPr="000B3805">
        <w:rPr>
          <w:rFonts w:ascii="Times New Roman" w:hAnsi="Times New Roman" w:cs="Times New Roman"/>
          <w:noProof/>
        </w:rPr>
        <w:lastRenderedPageBreak/>
        <w:drawing>
          <wp:inline distT="0" distB="0" distL="0" distR="0" wp14:anchorId="1BD136C3" wp14:editId="442E8F7C">
            <wp:extent cx="5731510" cy="3223895"/>
            <wp:effectExtent l="0" t="0" r="2540" b="0"/>
            <wp:docPr id="42436" name="Picture 424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EB93D84" w14:textId="77777777" w:rsidR="00AD090D" w:rsidRPr="000B3805" w:rsidRDefault="00AD090D" w:rsidP="00307A7F">
      <w:pPr>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t>Figure SWO-0</w:t>
      </w:r>
      <w:r w:rsidRPr="000B3805">
        <w:rPr>
          <w:rFonts w:ascii="Times New Roman" w:hAnsi="Times New Roman" w:cs="Times New Roman"/>
          <w:b/>
          <w:bCs/>
        </w:rPr>
        <w:fldChar w:fldCharType="begin"/>
      </w:r>
      <w:r w:rsidRPr="000B3805">
        <w:rPr>
          <w:rFonts w:ascii="Times New Roman" w:hAnsi="Times New Roman" w:cs="Times New Roman"/>
          <w:b/>
          <w:bCs/>
        </w:rPr>
        <w:instrText xml:space="preserve"> SEQ Figure \* ARABIC </w:instrText>
      </w:r>
      <w:r w:rsidRPr="000B3805">
        <w:rPr>
          <w:rFonts w:ascii="Times New Roman" w:hAnsi="Times New Roman" w:cs="Times New Roman"/>
          <w:b/>
          <w:bCs/>
        </w:rPr>
        <w:fldChar w:fldCharType="separate"/>
      </w:r>
      <w:r w:rsidRPr="000B3805">
        <w:rPr>
          <w:rFonts w:ascii="Times New Roman" w:hAnsi="Times New Roman" w:cs="Times New Roman"/>
          <w:b/>
          <w:bCs/>
          <w:noProof/>
        </w:rPr>
        <w:t>3</w:t>
      </w:r>
      <w:r w:rsidRPr="000B3805">
        <w:rPr>
          <w:rFonts w:ascii="Times New Roman" w:hAnsi="Times New Roman" w:cs="Times New Roman"/>
          <w:b/>
          <w:bCs/>
          <w:noProof/>
        </w:rPr>
        <w:fldChar w:fldCharType="end"/>
      </w:r>
      <w:r w:rsidRPr="000B3805">
        <w:rPr>
          <w:rFonts w:ascii="Times New Roman" w:hAnsi="Times New Roman" w:cs="Times New Roman"/>
          <w:noProof/>
        </w:rPr>
        <w:t>.</w:t>
      </w:r>
      <w:r w:rsidRPr="000B3805">
        <w:rPr>
          <w:rFonts w:ascii="Times New Roman" w:hAnsi="Times New Roman" w:cs="Times New Roman"/>
        </w:rPr>
        <w:t xml:space="preserve"> Estimated total biomass (top panel), spawning potential (middle panel), and recruitment (lower panel) for the diagnostic case model. Color indicates the model region: Region 1 (orange) and Region 2 (blue).</w:t>
      </w:r>
    </w:p>
    <w:p w14:paraId="5379E35E" w14:textId="77777777" w:rsidR="00AD090D" w:rsidRPr="000B3805" w:rsidRDefault="00AD090D" w:rsidP="00307A7F">
      <w:pPr>
        <w:adjustRightInd w:val="0"/>
        <w:snapToGrid w:val="0"/>
        <w:spacing w:after="0" w:line="240" w:lineRule="auto"/>
        <w:rPr>
          <w:rFonts w:ascii="Times New Roman" w:hAnsi="Times New Roman" w:cs="Times New Roman"/>
        </w:rPr>
      </w:pPr>
    </w:p>
    <w:p w14:paraId="06147514" w14:textId="77777777" w:rsidR="00AD090D" w:rsidRPr="000B3805" w:rsidRDefault="00AD090D" w:rsidP="00307A7F">
      <w:pPr>
        <w:adjustRightInd w:val="0"/>
        <w:snapToGrid w:val="0"/>
        <w:spacing w:after="0" w:line="240" w:lineRule="auto"/>
        <w:rPr>
          <w:rFonts w:ascii="Times New Roman" w:hAnsi="Times New Roman" w:cs="Times New Roman"/>
        </w:rPr>
      </w:pPr>
    </w:p>
    <w:p w14:paraId="59DC3144" w14:textId="77777777" w:rsidR="00AD090D" w:rsidRPr="000B3805" w:rsidRDefault="00AD090D" w:rsidP="00307A7F">
      <w:pPr>
        <w:adjustRightInd w:val="0"/>
        <w:snapToGrid w:val="0"/>
        <w:spacing w:after="0" w:line="240" w:lineRule="auto"/>
        <w:rPr>
          <w:rFonts w:ascii="Times New Roman" w:hAnsi="Times New Roman" w:cs="Times New Roman"/>
        </w:rPr>
      </w:pPr>
    </w:p>
    <w:p w14:paraId="6F5AF5F6" w14:textId="77777777" w:rsidR="00AD090D" w:rsidRPr="000B3805" w:rsidRDefault="00AD090D" w:rsidP="00307A7F">
      <w:pPr>
        <w:keepNext/>
        <w:adjustRightInd w:val="0"/>
        <w:snapToGrid w:val="0"/>
        <w:spacing w:after="0" w:line="240" w:lineRule="auto"/>
        <w:jc w:val="center"/>
        <w:rPr>
          <w:rFonts w:ascii="Times New Roman" w:hAnsi="Times New Roman" w:cs="Times New Roman"/>
        </w:rPr>
      </w:pPr>
      <w:r w:rsidRPr="000B3805">
        <w:rPr>
          <w:rFonts w:ascii="Times New Roman" w:hAnsi="Times New Roman" w:cs="Times New Roman"/>
          <w:noProof/>
        </w:rPr>
        <w:drawing>
          <wp:inline distT="0" distB="0" distL="0" distR="0" wp14:anchorId="49436E2D" wp14:editId="3AE67DEE">
            <wp:extent cx="5731510" cy="3223895"/>
            <wp:effectExtent l="0" t="0" r="2540" b="0"/>
            <wp:docPr id="42437" name="Picture 424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F9ACCAA" w14:textId="77777777" w:rsidR="00AD090D" w:rsidRPr="000B3805" w:rsidRDefault="00AD090D" w:rsidP="00307A7F">
      <w:pPr>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t>Figure SWO-0</w:t>
      </w:r>
      <w:r w:rsidRPr="000B3805">
        <w:rPr>
          <w:rFonts w:ascii="Times New Roman" w:hAnsi="Times New Roman" w:cs="Times New Roman"/>
          <w:b/>
          <w:bCs/>
        </w:rPr>
        <w:fldChar w:fldCharType="begin"/>
      </w:r>
      <w:r w:rsidRPr="000B3805">
        <w:rPr>
          <w:rFonts w:ascii="Times New Roman" w:hAnsi="Times New Roman" w:cs="Times New Roman"/>
          <w:b/>
          <w:bCs/>
        </w:rPr>
        <w:instrText xml:space="preserve"> SEQ Figure \* ARABIC </w:instrText>
      </w:r>
      <w:r w:rsidRPr="000B3805">
        <w:rPr>
          <w:rFonts w:ascii="Times New Roman" w:hAnsi="Times New Roman" w:cs="Times New Roman"/>
          <w:b/>
          <w:bCs/>
        </w:rPr>
        <w:fldChar w:fldCharType="separate"/>
      </w:r>
      <w:r w:rsidRPr="000B3805">
        <w:rPr>
          <w:rFonts w:ascii="Times New Roman" w:hAnsi="Times New Roman" w:cs="Times New Roman"/>
          <w:b/>
          <w:bCs/>
          <w:noProof/>
        </w:rPr>
        <w:t>4</w:t>
      </w:r>
      <w:r w:rsidRPr="000B3805">
        <w:rPr>
          <w:rFonts w:ascii="Times New Roman" w:hAnsi="Times New Roman" w:cs="Times New Roman"/>
          <w:b/>
          <w:bCs/>
          <w:noProof/>
        </w:rPr>
        <w:fldChar w:fldCharType="end"/>
      </w:r>
      <w:r w:rsidRPr="000B3805">
        <w:rPr>
          <w:rFonts w:ascii="Times New Roman" w:hAnsi="Times New Roman" w:cs="Times New Roman"/>
          <w:noProof/>
        </w:rPr>
        <w:t>.</w:t>
      </w:r>
      <w:r w:rsidRPr="000B3805">
        <w:rPr>
          <w:rFonts w:ascii="Times New Roman" w:hAnsi="Times New Roman" w:cs="Times New Roman"/>
        </w:rPr>
        <w:t xml:space="preserve"> Annual fishing mortality by age (color) and region (panel: Region 1 - left, Region 2 - center, and total - right).</w:t>
      </w:r>
    </w:p>
    <w:p w14:paraId="40AA579F" w14:textId="77777777" w:rsidR="00AD090D" w:rsidRPr="000B3805" w:rsidRDefault="00AD090D" w:rsidP="00307A7F">
      <w:pPr>
        <w:keepNext/>
        <w:adjustRightInd w:val="0"/>
        <w:snapToGrid w:val="0"/>
        <w:spacing w:after="0" w:line="240" w:lineRule="auto"/>
        <w:jc w:val="center"/>
        <w:rPr>
          <w:rFonts w:ascii="Times New Roman" w:hAnsi="Times New Roman" w:cs="Times New Roman"/>
        </w:rPr>
      </w:pPr>
      <w:r w:rsidRPr="000B3805">
        <w:rPr>
          <w:rFonts w:ascii="Times New Roman" w:hAnsi="Times New Roman" w:cs="Times New Roman"/>
          <w:noProof/>
        </w:rPr>
        <w:lastRenderedPageBreak/>
        <w:drawing>
          <wp:inline distT="0" distB="0" distL="0" distR="0" wp14:anchorId="3779D52D" wp14:editId="57F3DE49">
            <wp:extent cx="3666744" cy="2057400"/>
            <wp:effectExtent l="0" t="0" r="0" b="0"/>
            <wp:docPr id="42438" name="Picture 424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6744" cy="2057400"/>
                    </a:xfrm>
                    <a:prstGeom prst="rect">
                      <a:avLst/>
                    </a:prstGeom>
                  </pic:spPr>
                </pic:pic>
              </a:graphicData>
            </a:graphic>
          </wp:inline>
        </w:drawing>
      </w:r>
    </w:p>
    <w:p w14:paraId="61F03BA3" w14:textId="77777777" w:rsidR="00AD090D" w:rsidRPr="000B3805" w:rsidRDefault="00AD090D" w:rsidP="00307A7F">
      <w:pPr>
        <w:adjustRightInd w:val="0"/>
        <w:snapToGrid w:val="0"/>
        <w:spacing w:after="0" w:line="240" w:lineRule="auto"/>
        <w:jc w:val="both"/>
        <w:rPr>
          <w:rFonts w:ascii="Times New Roman" w:hAnsi="Times New Roman" w:cs="Times New Roman"/>
        </w:rPr>
      </w:pPr>
      <w:r w:rsidRPr="000B3805">
        <w:rPr>
          <w:rFonts w:ascii="Times New Roman" w:hAnsi="Times New Roman" w:cs="Times New Roman"/>
          <w:b/>
          <w:bCs/>
        </w:rPr>
        <w:t>Figure SWO-0</w:t>
      </w:r>
      <w:r w:rsidRPr="000B3805">
        <w:rPr>
          <w:rFonts w:ascii="Times New Roman" w:hAnsi="Times New Roman" w:cs="Times New Roman"/>
          <w:b/>
          <w:bCs/>
        </w:rPr>
        <w:fldChar w:fldCharType="begin"/>
      </w:r>
      <w:r w:rsidRPr="000B3805">
        <w:rPr>
          <w:rFonts w:ascii="Times New Roman" w:hAnsi="Times New Roman" w:cs="Times New Roman"/>
          <w:b/>
          <w:bCs/>
        </w:rPr>
        <w:instrText xml:space="preserve"> SEQ Figure \* ARABIC </w:instrText>
      </w:r>
      <w:r w:rsidRPr="000B3805">
        <w:rPr>
          <w:rFonts w:ascii="Times New Roman" w:hAnsi="Times New Roman" w:cs="Times New Roman"/>
          <w:b/>
          <w:bCs/>
        </w:rPr>
        <w:fldChar w:fldCharType="separate"/>
      </w:r>
      <w:r w:rsidRPr="000B3805">
        <w:rPr>
          <w:rFonts w:ascii="Times New Roman" w:hAnsi="Times New Roman" w:cs="Times New Roman"/>
          <w:b/>
          <w:bCs/>
          <w:noProof/>
        </w:rPr>
        <w:t>5</w:t>
      </w:r>
      <w:r w:rsidRPr="000B3805">
        <w:rPr>
          <w:rFonts w:ascii="Times New Roman" w:hAnsi="Times New Roman" w:cs="Times New Roman"/>
          <w:b/>
          <w:bCs/>
          <w:noProof/>
        </w:rPr>
        <w:fldChar w:fldCharType="end"/>
      </w:r>
      <w:r w:rsidRPr="000B3805">
        <w:rPr>
          <w:rFonts w:ascii="Times New Roman" w:hAnsi="Times New Roman" w:cs="Times New Roman"/>
          <w:noProof/>
        </w:rPr>
        <w:t>.</w:t>
      </w:r>
      <w:r w:rsidRPr="000B3805">
        <w:rPr>
          <w:rFonts w:ascii="Times New Roman" w:hAnsi="Times New Roman" w:cs="Times New Roman"/>
        </w:rPr>
        <w:t xml:space="preserve"> Uncertainty in depletion where uncertainty is characterized as structural + estimation uncertainty. The median is showed by the dark line, the 25</w:t>
      </w:r>
      <w:r w:rsidRPr="000B3805">
        <w:rPr>
          <w:rFonts w:ascii="Times New Roman" w:hAnsi="Times New Roman" w:cs="Times New Roman"/>
          <w:vertAlign w:val="superscript"/>
        </w:rPr>
        <w:t>th</w:t>
      </w:r>
      <w:r w:rsidRPr="000B3805">
        <w:rPr>
          <w:rFonts w:ascii="Times New Roman" w:hAnsi="Times New Roman" w:cs="Times New Roman"/>
        </w:rPr>
        <w:t>-75</w:t>
      </w:r>
      <w:r w:rsidRPr="000B3805">
        <w:rPr>
          <w:rFonts w:ascii="Times New Roman" w:hAnsi="Times New Roman" w:cs="Times New Roman"/>
          <w:vertAlign w:val="superscript"/>
        </w:rPr>
        <w:t>th</w:t>
      </w:r>
      <w:r w:rsidRPr="000B3805">
        <w:rPr>
          <w:rFonts w:ascii="Times New Roman" w:hAnsi="Times New Roman" w:cs="Times New Roman"/>
        </w:rPr>
        <w:t xml:space="preserve"> percentiles shown by the dark band, and the 10</w:t>
      </w:r>
      <w:r w:rsidRPr="000B3805">
        <w:rPr>
          <w:rFonts w:ascii="Times New Roman" w:hAnsi="Times New Roman" w:cs="Times New Roman"/>
          <w:vertAlign w:val="superscript"/>
        </w:rPr>
        <w:t>th</w:t>
      </w:r>
      <w:r w:rsidRPr="000B3805">
        <w:rPr>
          <w:rFonts w:ascii="Times New Roman" w:hAnsi="Times New Roman" w:cs="Times New Roman"/>
        </w:rPr>
        <w:t>-90</w:t>
      </w:r>
      <w:r w:rsidRPr="000B3805">
        <w:rPr>
          <w:rFonts w:ascii="Times New Roman" w:hAnsi="Times New Roman" w:cs="Times New Roman"/>
          <w:vertAlign w:val="superscript"/>
        </w:rPr>
        <w:t>th</w:t>
      </w:r>
      <w:r w:rsidRPr="000B3805">
        <w:rPr>
          <w:rFonts w:ascii="Times New Roman" w:hAnsi="Times New Roman" w:cs="Times New Roman"/>
        </w:rPr>
        <w:t xml:space="preserve"> percentiles by the light band. The median and percentiles for total SB</w:t>
      </w:r>
      <w:r w:rsidRPr="000B3805">
        <w:rPr>
          <w:rFonts w:ascii="Times New Roman" w:hAnsi="Times New Roman" w:cs="Times New Roman"/>
          <w:vertAlign w:val="subscript"/>
        </w:rPr>
        <w:t>latest</w:t>
      </w:r>
      <w:r w:rsidRPr="000B3805">
        <w:rPr>
          <w:rFonts w:ascii="Times New Roman" w:hAnsi="Times New Roman" w:cs="Times New Roman"/>
        </w:rPr>
        <w:t>/SB</w:t>
      </w:r>
      <w:r w:rsidRPr="000B3805">
        <w:rPr>
          <w:rFonts w:ascii="Times New Roman" w:hAnsi="Times New Roman" w:cs="Times New Roman"/>
          <w:vertAlign w:val="subscript"/>
        </w:rPr>
        <w:t>F=0</w:t>
      </w:r>
      <w:r w:rsidRPr="000B3805">
        <w:rPr>
          <w:rFonts w:ascii="Times New Roman" w:hAnsi="Times New Roman" w:cs="Times New Roman"/>
        </w:rPr>
        <w:t xml:space="preserve"> are shown to the right of the Figure. For reference, the WCPFC tropical tuna LRP 20%SB</w:t>
      </w:r>
      <w:r w:rsidRPr="000B3805">
        <w:rPr>
          <w:rFonts w:ascii="Times New Roman" w:hAnsi="Times New Roman" w:cs="Times New Roman"/>
          <w:vertAlign w:val="subscript"/>
        </w:rPr>
        <w:t>F=0</w:t>
      </w:r>
      <w:r w:rsidRPr="000B3805">
        <w:rPr>
          <w:rFonts w:ascii="Times New Roman" w:hAnsi="Times New Roman" w:cs="Times New Roman"/>
        </w:rPr>
        <w:t xml:space="preserve"> is shown with the dotted line.</w:t>
      </w:r>
    </w:p>
    <w:p w14:paraId="582CC3FD" w14:textId="77777777" w:rsidR="00AD090D" w:rsidRPr="000B3805" w:rsidRDefault="00AD090D" w:rsidP="00307A7F">
      <w:pPr>
        <w:adjustRightInd w:val="0"/>
        <w:snapToGrid w:val="0"/>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B3805" w:rsidRPr="000B3805" w14:paraId="1843FF97" w14:textId="77777777" w:rsidTr="004B6CEE">
        <w:tc>
          <w:tcPr>
            <w:tcW w:w="4675" w:type="dxa"/>
          </w:tcPr>
          <w:p w14:paraId="4867B0B4" w14:textId="77777777" w:rsidR="00AD090D" w:rsidRPr="000B3805" w:rsidRDefault="00AD090D" w:rsidP="00307A7F">
            <w:pPr>
              <w:adjustRightInd w:val="0"/>
              <w:snapToGrid w:val="0"/>
              <w:jc w:val="both"/>
              <w:rPr>
                <w:rFonts w:ascii="Times New Roman" w:hAnsi="Times New Roman" w:cs="Times New Roman"/>
              </w:rPr>
            </w:pPr>
            <w:r w:rsidRPr="000B3805">
              <w:rPr>
                <w:rFonts w:ascii="Times New Roman" w:hAnsi="Times New Roman" w:cs="Times New Roman"/>
                <w:noProof/>
              </w:rPr>
              <w:drawing>
                <wp:inline distT="0" distB="0" distL="0" distR="0" wp14:anchorId="41A3868A" wp14:editId="396D24D0">
                  <wp:extent cx="2871216" cy="2871216"/>
                  <wp:effectExtent l="0" t="0" r="5715" b="5715"/>
                  <wp:docPr id="42439" name="Picture 424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1216" cy="2871216"/>
                          </a:xfrm>
                          <a:prstGeom prst="rect">
                            <a:avLst/>
                          </a:prstGeom>
                        </pic:spPr>
                      </pic:pic>
                    </a:graphicData>
                  </a:graphic>
                </wp:inline>
              </w:drawing>
            </w:r>
          </w:p>
        </w:tc>
        <w:tc>
          <w:tcPr>
            <w:tcW w:w="4675" w:type="dxa"/>
          </w:tcPr>
          <w:p w14:paraId="4CF2C387" w14:textId="77777777" w:rsidR="00AD090D" w:rsidRPr="000B3805" w:rsidRDefault="00AD090D" w:rsidP="00307A7F">
            <w:pPr>
              <w:adjustRightInd w:val="0"/>
              <w:snapToGrid w:val="0"/>
              <w:jc w:val="both"/>
              <w:rPr>
                <w:rFonts w:ascii="Times New Roman" w:hAnsi="Times New Roman" w:cs="Times New Roman"/>
              </w:rPr>
            </w:pPr>
            <w:r w:rsidRPr="000B3805">
              <w:rPr>
                <w:rFonts w:ascii="Times New Roman" w:hAnsi="Times New Roman" w:cs="Times New Roman"/>
                <w:noProof/>
              </w:rPr>
              <w:drawing>
                <wp:inline distT="0" distB="0" distL="0" distR="0" wp14:anchorId="2B2A20BF" wp14:editId="0A37096B">
                  <wp:extent cx="2871216" cy="2871216"/>
                  <wp:effectExtent l="0" t="0" r="5715" b="5715"/>
                  <wp:docPr id="42440" name="Picture 424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1216" cy="2871216"/>
                          </a:xfrm>
                          <a:prstGeom prst="rect">
                            <a:avLst/>
                          </a:prstGeom>
                        </pic:spPr>
                      </pic:pic>
                    </a:graphicData>
                  </a:graphic>
                </wp:inline>
              </w:drawing>
            </w:r>
          </w:p>
        </w:tc>
      </w:tr>
      <w:tr w:rsidR="00AD090D" w:rsidRPr="000B3805" w14:paraId="4675CC57" w14:textId="77777777" w:rsidTr="004B6CEE">
        <w:tc>
          <w:tcPr>
            <w:tcW w:w="4675" w:type="dxa"/>
          </w:tcPr>
          <w:p w14:paraId="03B10CC4" w14:textId="77777777" w:rsidR="00AD090D" w:rsidRPr="000B3805" w:rsidRDefault="00AD090D" w:rsidP="00307A7F">
            <w:pPr>
              <w:adjustRightInd w:val="0"/>
              <w:snapToGrid w:val="0"/>
              <w:jc w:val="both"/>
              <w:rPr>
                <w:rFonts w:ascii="Times New Roman" w:hAnsi="Times New Roman" w:cs="Times New Roman"/>
              </w:rPr>
            </w:pPr>
            <w:r w:rsidRPr="000B3805">
              <w:rPr>
                <w:rFonts w:ascii="Times New Roman" w:hAnsi="Times New Roman" w:cs="Times New Roman"/>
                <w:b/>
                <w:bCs/>
              </w:rPr>
              <w:t>Figure SWO-0</w:t>
            </w:r>
            <w:r w:rsidRPr="000B3805">
              <w:rPr>
                <w:rFonts w:ascii="Times New Roman" w:hAnsi="Times New Roman" w:cs="Times New Roman"/>
                <w:b/>
                <w:bCs/>
              </w:rPr>
              <w:fldChar w:fldCharType="begin"/>
            </w:r>
            <w:r w:rsidRPr="000B3805">
              <w:rPr>
                <w:rFonts w:ascii="Times New Roman" w:hAnsi="Times New Roman" w:cs="Times New Roman"/>
                <w:b/>
                <w:bCs/>
              </w:rPr>
              <w:instrText xml:space="preserve"> SEQ Figure \* ARABIC </w:instrText>
            </w:r>
            <w:r w:rsidRPr="000B3805">
              <w:rPr>
                <w:rFonts w:ascii="Times New Roman" w:hAnsi="Times New Roman" w:cs="Times New Roman"/>
                <w:b/>
                <w:bCs/>
              </w:rPr>
              <w:fldChar w:fldCharType="separate"/>
            </w:r>
            <w:r w:rsidRPr="000B3805">
              <w:rPr>
                <w:rFonts w:ascii="Times New Roman" w:hAnsi="Times New Roman" w:cs="Times New Roman"/>
                <w:b/>
                <w:bCs/>
                <w:noProof/>
              </w:rPr>
              <w:t>6</w:t>
            </w:r>
            <w:r w:rsidRPr="000B3805">
              <w:rPr>
                <w:rFonts w:ascii="Times New Roman" w:hAnsi="Times New Roman" w:cs="Times New Roman"/>
                <w:b/>
                <w:bCs/>
                <w:noProof/>
              </w:rPr>
              <w:fldChar w:fldCharType="end"/>
            </w:r>
            <w:r w:rsidRPr="000B3805">
              <w:rPr>
                <w:rFonts w:ascii="Times New Roman" w:hAnsi="Times New Roman" w:cs="Times New Roman"/>
                <w:noProof/>
              </w:rPr>
              <w:t>.</w:t>
            </w:r>
            <w:r w:rsidRPr="000B3805">
              <w:rPr>
                <w:rFonts w:ascii="Times New Roman" w:hAnsi="Times New Roman" w:cs="Times New Roman"/>
              </w:rPr>
              <w:t xml:space="preserve"> Uncertainty in terminal stock status, based on the 12,500 bootstrap samples characterizing the structural + estimation uncertainty. Warmer colors indicate a greater density of samples, while cooler colors show the fringe of the distribution.</w:t>
            </w:r>
          </w:p>
        </w:tc>
        <w:tc>
          <w:tcPr>
            <w:tcW w:w="4675" w:type="dxa"/>
          </w:tcPr>
          <w:p w14:paraId="3A436490" w14:textId="77777777" w:rsidR="00AD090D" w:rsidRPr="000B3805" w:rsidRDefault="00AD090D" w:rsidP="00307A7F">
            <w:pPr>
              <w:adjustRightInd w:val="0"/>
              <w:snapToGrid w:val="0"/>
              <w:jc w:val="both"/>
              <w:rPr>
                <w:rFonts w:ascii="Times New Roman" w:hAnsi="Times New Roman" w:cs="Times New Roman"/>
              </w:rPr>
            </w:pPr>
            <w:r w:rsidRPr="000B3805">
              <w:rPr>
                <w:rFonts w:ascii="Times New Roman" w:hAnsi="Times New Roman" w:cs="Times New Roman"/>
                <w:b/>
                <w:bCs/>
              </w:rPr>
              <w:t>Figure SWO-0</w:t>
            </w:r>
            <w:r w:rsidRPr="000B3805">
              <w:rPr>
                <w:rFonts w:ascii="Times New Roman" w:hAnsi="Times New Roman" w:cs="Times New Roman"/>
                <w:b/>
                <w:bCs/>
              </w:rPr>
              <w:fldChar w:fldCharType="begin"/>
            </w:r>
            <w:r w:rsidRPr="000B3805">
              <w:rPr>
                <w:rFonts w:ascii="Times New Roman" w:hAnsi="Times New Roman" w:cs="Times New Roman"/>
                <w:b/>
                <w:bCs/>
              </w:rPr>
              <w:instrText xml:space="preserve"> SEQ Figure \* ARABIC </w:instrText>
            </w:r>
            <w:r w:rsidRPr="000B3805">
              <w:rPr>
                <w:rFonts w:ascii="Times New Roman" w:hAnsi="Times New Roman" w:cs="Times New Roman"/>
                <w:b/>
                <w:bCs/>
              </w:rPr>
              <w:fldChar w:fldCharType="separate"/>
            </w:r>
            <w:r w:rsidRPr="000B3805">
              <w:rPr>
                <w:rFonts w:ascii="Times New Roman" w:hAnsi="Times New Roman" w:cs="Times New Roman"/>
                <w:b/>
                <w:bCs/>
                <w:noProof/>
              </w:rPr>
              <w:t>7</w:t>
            </w:r>
            <w:r w:rsidRPr="000B3805">
              <w:rPr>
                <w:rFonts w:ascii="Times New Roman" w:hAnsi="Times New Roman" w:cs="Times New Roman"/>
                <w:b/>
                <w:bCs/>
                <w:noProof/>
              </w:rPr>
              <w:fldChar w:fldCharType="end"/>
            </w:r>
            <w:r w:rsidRPr="000B3805">
              <w:rPr>
                <w:rFonts w:ascii="Times New Roman" w:hAnsi="Times New Roman" w:cs="Times New Roman"/>
                <w:noProof/>
              </w:rPr>
              <w:t>.</w:t>
            </w:r>
            <w:r w:rsidRPr="000B3805">
              <w:rPr>
                <w:rFonts w:ascii="Times New Roman" w:hAnsi="Times New Roman" w:cs="Times New Roman"/>
              </w:rPr>
              <w:t xml:space="preserve"> Uncertainty in terminal stock status, based on the 12,500 bootstrap samples characterizing the structural + estimation uncertainty. Warmer colors indicate a greater density of samples, while cooler colors show the fringe of the distribution.</w:t>
            </w:r>
          </w:p>
        </w:tc>
      </w:tr>
    </w:tbl>
    <w:p w14:paraId="302D1241" w14:textId="77777777" w:rsidR="00AD090D" w:rsidRPr="000B3805" w:rsidRDefault="00AD090D" w:rsidP="00307A7F">
      <w:pPr>
        <w:adjustRightInd w:val="0"/>
        <w:snapToGrid w:val="0"/>
        <w:spacing w:after="0" w:line="240" w:lineRule="auto"/>
        <w:jc w:val="both"/>
        <w:rPr>
          <w:rFonts w:ascii="Times New Roman" w:hAnsi="Times New Roman" w:cs="Times New Roman"/>
          <w:lang w:eastAsia="en-NZ"/>
        </w:rPr>
      </w:pPr>
    </w:p>
    <w:p w14:paraId="4C2209A0" w14:textId="77777777" w:rsidR="00AD090D" w:rsidRPr="000B3805" w:rsidRDefault="00AD090D" w:rsidP="00307A7F">
      <w:pPr>
        <w:adjustRightInd w:val="0"/>
        <w:snapToGrid w:val="0"/>
        <w:spacing w:after="0" w:line="240" w:lineRule="auto"/>
        <w:jc w:val="both"/>
        <w:rPr>
          <w:rFonts w:ascii="Times New Roman" w:hAnsi="Times New Roman" w:cs="Times New Roman"/>
          <w:lang w:eastAsia="en-NZ"/>
        </w:rPr>
      </w:pPr>
    </w:p>
    <w:p w14:paraId="50D819F0" w14:textId="77777777" w:rsidR="00AD090D" w:rsidRPr="000B3805" w:rsidRDefault="00AD090D" w:rsidP="00307A7F">
      <w:pPr>
        <w:pStyle w:val="WCPFC"/>
        <w:numPr>
          <w:ilvl w:val="0"/>
          <w:numId w:val="22"/>
        </w:numPr>
        <w:adjustRightInd w:val="0"/>
        <w:spacing w:after="0"/>
        <w:ind w:left="0" w:firstLine="0"/>
        <w:rPr>
          <w:rFonts w:cs="Times New Roman"/>
          <w:b/>
          <w:bCs/>
        </w:rPr>
      </w:pPr>
      <w:r w:rsidRPr="000B3805">
        <w:rPr>
          <w:rFonts w:cs="Times New Roman"/>
          <w:b/>
          <w:bCs/>
        </w:rPr>
        <w:t>Management advice and implications</w:t>
      </w:r>
    </w:p>
    <w:p w14:paraId="0D67EBB9" w14:textId="77777777" w:rsidR="00AD090D" w:rsidRPr="000B3805" w:rsidRDefault="00AD090D" w:rsidP="00307A7F">
      <w:pPr>
        <w:adjustRightInd w:val="0"/>
        <w:snapToGrid w:val="0"/>
        <w:spacing w:after="0" w:line="240" w:lineRule="auto"/>
        <w:jc w:val="both"/>
        <w:rPr>
          <w:rFonts w:ascii="Times New Roman" w:eastAsiaTheme="minorEastAsia" w:hAnsi="Times New Roman" w:cs="Times New Roman"/>
          <w:lang w:val="en-AU" w:eastAsia="en-NZ"/>
        </w:rPr>
      </w:pPr>
    </w:p>
    <w:p w14:paraId="66CAE262"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 xml:space="preserve">Annual catch estimates for Southwest Pacific swordfish peaked at 11,128 mt in 2012 (SC17-ST-IP-01). Catch by longline vessels in 2020 was 5,373 mt compared to 5,812 mt in 2019, a decline of 7.6%. </w:t>
      </w:r>
    </w:p>
    <w:p w14:paraId="105BC310" w14:textId="77777777" w:rsidR="00AD090D" w:rsidRPr="000B3805" w:rsidRDefault="00AD090D" w:rsidP="00307A7F">
      <w:pPr>
        <w:autoSpaceDE w:val="0"/>
        <w:autoSpaceDN w:val="0"/>
        <w:adjustRightInd w:val="0"/>
        <w:snapToGrid w:val="0"/>
        <w:spacing w:after="0" w:line="240" w:lineRule="auto"/>
        <w:jc w:val="both"/>
        <w:rPr>
          <w:rFonts w:ascii="Times New Roman" w:hAnsi="Times New Roman" w:cs="Times New Roman"/>
          <w:lang w:val="en-AU"/>
        </w:rPr>
      </w:pPr>
    </w:p>
    <w:p w14:paraId="2B570126"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lastRenderedPageBreak/>
        <w:t>SC17 supported the new model ensemble approach for developing management advice for this stock, noting that this approach, including the process for review of priors and decisions on post-hoc filtering rules, would continue to be refined and improved in future. SC17 also noted this new approach may result in significant changes in the level of uncertainty assumed so far. This may have implications in the perception of risks, particularly when applied to species with adopted LRPs.</w:t>
      </w:r>
    </w:p>
    <w:p w14:paraId="43D3DB75" w14:textId="77777777" w:rsidR="00AD090D" w:rsidRPr="000B3805" w:rsidRDefault="00AD090D" w:rsidP="00307A7F">
      <w:pPr>
        <w:autoSpaceDE w:val="0"/>
        <w:autoSpaceDN w:val="0"/>
        <w:adjustRightInd w:val="0"/>
        <w:snapToGrid w:val="0"/>
        <w:spacing w:after="0" w:line="240" w:lineRule="auto"/>
        <w:ind w:left="720"/>
        <w:jc w:val="both"/>
        <w:rPr>
          <w:rFonts w:ascii="Times New Roman" w:hAnsi="Times New Roman" w:cs="Times New Roman"/>
          <w:lang w:val="en-AU"/>
        </w:rPr>
      </w:pPr>
    </w:p>
    <w:p w14:paraId="3196EA60"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The outcomes of the assessment are on average more optimistic in relation to the 2017 assessment, but the estimated uncertainty has increased. Noting that a LRP for Southwest Pacific swordfish has not yet been adopted by WCPFC, SC17 noted that the median latest Southwest Pacific swordfish spawning biomass is above both SB</w:t>
      </w:r>
      <w:r w:rsidRPr="000B3805">
        <w:rPr>
          <w:color w:val="auto"/>
          <w:sz w:val="22"/>
          <w:szCs w:val="22"/>
          <w:vertAlign w:val="subscript"/>
          <w:lang w:val="en-AU"/>
        </w:rPr>
        <w:t>MSY</w:t>
      </w:r>
      <w:r w:rsidRPr="000B3805">
        <w:rPr>
          <w:color w:val="auto"/>
          <w:sz w:val="22"/>
          <w:szCs w:val="22"/>
          <w:lang w:val="en-AU"/>
        </w:rPr>
        <w:t xml:space="preserve"> and the LRP </w:t>
      </w:r>
      <w:r w:rsidRPr="000B3805">
        <w:rPr>
          <w:color w:val="auto"/>
          <w:sz w:val="22"/>
          <w:szCs w:val="22"/>
          <w:lang w:val="en-AU" w:eastAsia="en-AU"/>
        </w:rPr>
        <w:t>20%SB</w:t>
      </w:r>
      <w:r w:rsidRPr="000B3805">
        <w:rPr>
          <w:color w:val="auto"/>
          <w:sz w:val="22"/>
          <w:szCs w:val="22"/>
          <w:vertAlign w:val="subscript"/>
          <w:lang w:val="en-AU" w:eastAsia="en-AU"/>
        </w:rPr>
        <w:t>F=0</w:t>
      </w:r>
      <w:r w:rsidRPr="000B3805">
        <w:rPr>
          <w:color w:val="auto"/>
          <w:sz w:val="22"/>
          <w:szCs w:val="22"/>
          <w:lang w:val="en-AU"/>
        </w:rPr>
        <w:t xml:space="preserve"> applied to tunas, and recent fishing mortality is below F</w:t>
      </w:r>
      <w:r w:rsidRPr="000B3805">
        <w:rPr>
          <w:color w:val="auto"/>
          <w:sz w:val="22"/>
          <w:szCs w:val="22"/>
          <w:vertAlign w:val="subscript"/>
          <w:lang w:val="en-AU"/>
        </w:rPr>
        <w:t>MSY</w:t>
      </w:r>
      <w:r w:rsidRPr="000B3805">
        <w:rPr>
          <w:color w:val="auto"/>
          <w:sz w:val="22"/>
          <w:szCs w:val="22"/>
          <w:lang w:val="en-AU"/>
        </w:rPr>
        <w:t>. The stock is likely not experiencing overfishing (80% probability F&lt;F</w:t>
      </w:r>
      <w:r w:rsidRPr="000B3805">
        <w:rPr>
          <w:color w:val="auto"/>
          <w:sz w:val="22"/>
          <w:szCs w:val="22"/>
          <w:vertAlign w:val="subscript"/>
          <w:lang w:val="en-AU"/>
        </w:rPr>
        <w:t>MSY</w:t>
      </w:r>
      <w:r w:rsidRPr="000B3805">
        <w:rPr>
          <w:color w:val="auto"/>
          <w:sz w:val="22"/>
          <w:szCs w:val="22"/>
          <w:lang w:val="en-AU"/>
        </w:rPr>
        <w:t xml:space="preserve"> and 20% probability F&gt;F</w:t>
      </w:r>
      <w:r w:rsidRPr="000B3805">
        <w:rPr>
          <w:color w:val="auto"/>
          <w:sz w:val="22"/>
          <w:szCs w:val="22"/>
          <w:vertAlign w:val="subscript"/>
          <w:lang w:val="en-AU"/>
        </w:rPr>
        <w:t>MSY</w:t>
      </w:r>
      <w:r w:rsidRPr="000B3805">
        <w:rPr>
          <w:color w:val="auto"/>
          <w:sz w:val="22"/>
          <w:szCs w:val="22"/>
          <w:lang w:val="en-AU"/>
        </w:rPr>
        <w:t>) and is likely not in an overfished condition (13% probability that SB</w:t>
      </w:r>
      <w:r w:rsidRPr="000B3805">
        <w:rPr>
          <w:color w:val="auto"/>
          <w:sz w:val="22"/>
          <w:szCs w:val="22"/>
          <w:vertAlign w:val="subscript"/>
          <w:lang w:val="en-AU"/>
        </w:rPr>
        <w:t>latest</w:t>
      </w:r>
      <w:r w:rsidRPr="000B3805">
        <w:rPr>
          <w:color w:val="auto"/>
          <w:sz w:val="22"/>
          <w:szCs w:val="22"/>
          <w:lang w:val="en-AU"/>
        </w:rPr>
        <w:t>/SB</w:t>
      </w:r>
      <w:r w:rsidRPr="000B3805">
        <w:rPr>
          <w:color w:val="auto"/>
          <w:sz w:val="22"/>
          <w:szCs w:val="22"/>
          <w:vertAlign w:val="subscript"/>
          <w:lang w:val="en-AU"/>
        </w:rPr>
        <w:t>MSY</w:t>
      </w:r>
      <w:r w:rsidRPr="000B3805">
        <w:rPr>
          <w:color w:val="auto"/>
          <w:sz w:val="22"/>
          <w:szCs w:val="22"/>
          <w:lang w:val="en-AU"/>
        </w:rPr>
        <w:t xml:space="preserve"> &lt; 1 and a 10% probability that SB</w:t>
      </w:r>
      <w:r w:rsidRPr="000B3805">
        <w:rPr>
          <w:color w:val="auto"/>
          <w:sz w:val="22"/>
          <w:szCs w:val="22"/>
          <w:vertAlign w:val="subscript"/>
          <w:lang w:val="en-AU"/>
        </w:rPr>
        <w:t>latest</w:t>
      </w:r>
      <w:r w:rsidRPr="000B3805">
        <w:rPr>
          <w:color w:val="auto"/>
          <w:sz w:val="22"/>
          <w:szCs w:val="22"/>
          <w:lang w:val="en-AU"/>
        </w:rPr>
        <w:t>/SB</w:t>
      </w:r>
      <w:r w:rsidRPr="000B3805">
        <w:rPr>
          <w:color w:val="auto"/>
          <w:sz w:val="22"/>
          <w:szCs w:val="22"/>
          <w:vertAlign w:val="subscript"/>
          <w:lang w:val="en-AU"/>
        </w:rPr>
        <w:t>F=0</w:t>
      </w:r>
      <w:r w:rsidRPr="000B3805">
        <w:rPr>
          <w:color w:val="auto"/>
          <w:sz w:val="22"/>
          <w:szCs w:val="22"/>
          <w:lang w:val="en-AU"/>
        </w:rPr>
        <w:t xml:space="preserve">&lt;0.2). </w:t>
      </w:r>
    </w:p>
    <w:p w14:paraId="05AA3AAC" w14:textId="77777777" w:rsidR="00AD090D" w:rsidRPr="000B3805" w:rsidRDefault="00AD090D" w:rsidP="00307A7F">
      <w:pPr>
        <w:autoSpaceDE w:val="0"/>
        <w:autoSpaceDN w:val="0"/>
        <w:adjustRightInd w:val="0"/>
        <w:snapToGrid w:val="0"/>
        <w:spacing w:after="0" w:line="240" w:lineRule="auto"/>
        <w:jc w:val="both"/>
        <w:rPr>
          <w:rFonts w:ascii="Times New Roman" w:hAnsi="Times New Roman" w:cs="Times New Roman"/>
          <w:lang w:val="en-AU"/>
        </w:rPr>
      </w:pPr>
    </w:p>
    <w:p w14:paraId="6E998B22"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 xml:space="preserve"> SC17 noted that the levels of fishing mortality and depletion in the diagnostic case differ between the two model regions, with fishing mortality higher in Region 1 but spawning biomass depletion greater (more depleted) in Region 2. SC17 noted that over the past two decades, the majority of catch has been taken by a combination of swordfish targeting fleets (in the area south of 20°S; 42%</w:t>
      </w:r>
      <w:bookmarkStart w:id="4" w:name="_Hlk83821751"/>
      <w:r w:rsidRPr="000B3805">
        <w:rPr>
          <w:color w:val="auto"/>
          <w:sz w:val="22"/>
          <w:szCs w:val="22"/>
        </w:rPr>
        <w:t xml:space="preserve"> of catches</w:t>
      </w:r>
      <w:bookmarkEnd w:id="4"/>
      <w:r w:rsidRPr="000B3805">
        <w:rPr>
          <w:color w:val="auto"/>
          <w:sz w:val="22"/>
          <w:szCs w:val="22"/>
          <w:lang w:val="en-AU"/>
        </w:rPr>
        <w:t>) and fleets taking swordfish as a bycatch on the high seas (in particular in the eastern stock area north of 20°S; 34%</w:t>
      </w:r>
      <w:r w:rsidRPr="000B3805">
        <w:rPr>
          <w:color w:val="auto"/>
          <w:sz w:val="22"/>
          <w:szCs w:val="22"/>
        </w:rPr>
        <w:t xml:space="preserve"> of catches</w:t>
      </w:r>
      <w:r w:rsidRPr="000B3805">
        <w:rPr>
          <w:color w:val="auto"/>
          <w:sz w:val="22"/>
          <w:szCs w:val="22"/>
          <w:lang w:val="en-AU"/>
        </w:rPr>
        <w:t>).</w:t>
      </w:r>
    </w:p>
    <w:p w14:paraId="137B8F77" w14:textId="77777777" w:rsidR="00AD090D" w:rsidRPr="000B3805" w:rsidRDefault="00AD090D" w:rsidP="00307A7F">
      <w:pPr>
        <w:autoSpaceDE w:val="0"/>
        <w:autoSpaceDN w:val="0"/>
        <w:adjustRightInd w:val="0"/>
        <w:snapToGrid w:val="0"/>
        <w:spacing w:after="0" w:line="240" w:lineRule="auto"/>
        <w:jc w:val="both"/>
        <w:rPr>
          <w:rFonts w:ascii="Times New Roman" w:hAnsi="Times New Roman" w:cs="Times New Roman"/>
          <w:lang w:val="en-AU"/>
        </w:rPr>
      </w:pPr>
    </w:p>
    <w:p w14:paraId="063B824E"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 xml:space="preserve">While SC17 advocated for the adoption of the new ensemble approach, it is nevertheless important that the Commission understand the implications of the new approach and that additional work is required to refine this approach. </w:t>
      </w:r>
    </w:p>
    <w:p w14:paraId="3402950C" w14:textId="77777777" w:rsidR="00AD090D" w:rsidRPr="000B3805" w:rsidRDefault="00AD090D" w:rsidP="00307A7F">
      <w:pPr>
        <w:autoSpaceDE w:val="0"/>
        <w:autoSpaceDN w:val="0"/>
        <w:adjustRightInd w:val="0"/>
        <w:snapToGrid w:val="0"/>
        <w:spacing w:after="0" w:line="240" w:lineRule="auto"/>
        <w:jc w:val="both"/>
        <w:rPr>
          <w:rFonts w:ascii="Times New Roman" w:hAnsi="Times New Roman" w:cs="Times New Roman"/>
          <w:lang w:val="en-AU"/>
        </w:rPr>
      </w:pPr>
    </w:p>
    <w:p w14:paraId="621CB55D"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 xml:space="preserve">SC17 noted the significant unresolved uncertainties in the assessment relating to the reliability of CPUE indices, longitudinal movements, spatial connectivity and absolute population size. These uncertainties, combined with the need to further refine and review the new ensemble approach, </w:t>
      </w:r>
      <w:r w:rsidRPr="000B3805">
        <w:rPr>
          <w:color w:val="auto"/>
          <w:sz w:val="22"/>
          <w:szCs w:val="22"/>
          <w:lang w:val="en-AU" w:eastAsia="en-AU"/>
        </w:rPr>
        <w:t>suggest additional caution may be appropriate when interpreting the current assessment outcomes to guide management decisions.</w:t>
      </w:r>
      <w:r w:rsidRPr="000B3805">
        <w:rPr>
          <w:color w:val="auto"/>
          <w:sz w:val="22"/>
          <w:szCs w:val="22"/>
          <w:lang w:val="en-AU"/>
        </w:rPr>
        <w:t xml:space="preserve"> SC17 recommended that research priorities for this stock include directed longitudinal tagging of swordfish and a feasibility study on the utility of Close Kin Mark Recapture (CKMR).</w:t>
      </w:r>
    </w:p>
    <w:p w14:paraId="02669FFC" w14:textId="77777777" w:rsidR="00AD090D" w:rsidRPr="000B3805" w:rsidRDefault="00AD090D" w:rsidP="00307A7F">
      <w:pPr>
        <w:autoSpaceDE w:val="0"/>
        <w:autoSpaceDN w:val="0"/>
        <w:adjustRightInd w:val="0"/>
        <w:snapToGrid w:val="0"/>
        <w:spacing w:after="0" w:line="240" w:lineRule="auto"/>
        <w:jc w:val="both"/>
        <w:rPr>
          <w:rFonts w:ascii="Times New Roman" w:hAnsi="Times New Roman" w:cs="Times New Roman"/>
          <w:lang w:val="en-AU"/>
        </w:rPr>
      </w:pPr>
    </w:p>
    <w:p w14:paraId="361428F1"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SC17</w:t>
      </w:r>
      <w:r w:rsidRPr="000B3805">
        <w:rPr>
          <w:color w:val="auto"/>
          <w:sz w:val="22"/>
          <w:szCs w:val="22"/>
          <w:lang w:val="en-AU" w:eastAsia="en-AU"/>
        </w:rPr>
        <w:t xml:space="preserve"> noted the current measure (CMM 2009-03) for this stock does not contain provisions to limit total fishing mortality on the stock and emphasized the continued importance of WCPFC to develop a revised and strengthened CMM that will ensure the ongoing future sustainability of the Southwest Pacific swordfish. SC17 noted that the suite of catch projections requested by WCPFC16, which are to be undertaken by the SSP post-SC17 and prior to WCPFC18, are intended to test the future likely state of the stock under a range of potential future catch or effort scenarios. This information will inform the revision of the future measure.</w:t>
      </w:r>
    </w:p>
    <w:p w14:paraId="3E736757" w14:textId="77777777" w:rsidR="00AD090D" w:rsidRPr="000B3805" w:rsidRDefault="00AD090D" w:rsidP="00307A7F">
      <w:pPr>
        <w:autoSpaceDE w:val="0"/>
        <w:autoSpaceDN w:val="0"/>
        <w:adjustRightInd w:val="0"/>
        <w:snapToGrid w:val="0"/>
        <w:spacing w:after="0" w:line="240" w:lineRule="auto"/>
        <w:jc w:val="both"/>
        <w:rPr>
          <w:rFonts w:ascii="Times New Roman" w:hAnsi="Times New Roman" w:cs="Times New Roman"/>
          <w:lang w:val="en-AU"/>
        </w:rPr>
      </w:pPr>
    </w:p>
    <w:p w14:paraId="6C505184"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SC17 recommended that a number of additional projection runs be explored alongside the WCPFC16 requested projections to be presented for consideration at WCPFC18:</w:t>
      </w:r>
    </w:p>
    <w:p w14:paraId="605417C8" w14:textId="77777777" w:rsidR="00AD090D" w:rsidRPr="000B3805" w:rsidRDefault="00AD090D" w:rsidP="00307A7F">
      <w:pPr>
        <w:numPr>
          <w:ilvl w:val="0"/>
          <w:numId w:val="21"/>
        </w:numPr>
        <w:autoSpaceDE w:val="0"/>
        <w:autoSpaceDN w:val="0"/>
        <w:adjustRightInd w:val="0"/>
        <w:snapToGrid w:val="0"/>
        <w:spacing w:after="0" w:line="240" w:lineRule="auto"/>
        <w:ind w:left="1080"/>
        <w:jc w:val="both"/>
        <w:rPr>
          <w:rFonts w:ascii="Times New Roman" w:hAnsi="Times New Roman" w:cs="Times New Roman"/>
          <w:lang w:val="en-AU"/>
        </w:rPr>
      </w:pPr>
      <w:r w:rsidRPr="000B3805">
        <w:rPr>
          <w:rFonts w:ascii="Times New Roman" w:hAnsi="Times New Roman" w:cs="Times New Roman"/>
          <w:lang w:val="en-AU"/>
        </w:rPr>
        <w:t>No change to recent catch and effort levels.</w:t>
      </w:r>
    </w:p>
    <w:p w14:paraId="152143FA" w14:textId="77777777" w:rsidR="00AD090D" w:rsidRPr="000B3805" w:rsidRDefault="00AD090D" w:rsidP="00307A7F">
      <w:pPr>
        <w:numPr>
          <w:ilvl w:val="0"/>
          <w:numId w:val="21"/>
        </w:numPr>
        <w:autoSpaceDE w:val="0"/>
        <w:autoSpaceDN w:val="0"/>
        <w:adjustRightInd w:val="0"/>
        <w:snapToGrid w:val="0"/>
        <w:spacing w:after="0" w:line="240" w:lineRule="auto"/>
        <w:ind w:left="1080"/>
        <w:jc w:val="both"/>
        <w:rPr>
          <w:rFonts w:ascii="Times New Roman" w:hAnsi="Times New Roman" w:cs="Times New Roman"/>
          <w:lang w:val="en-AU"/>
        </w:rPr>
      </w:pPr>
      <w:r w:rsidRPr="000B3805">
        <w:rPr>
          <w:rFonts w:ascii="Times New Roman" w:hAnsi="Times New Roman" w:cs="Times New Roman"/>
          <w:lang w:val="en-AU"/>
        </w:rPr>
        <w:t xml:space="preserve">10% and 20%reduction in total swordfish catch. </w:t>
      </w:r>
    </w:p>
    <w:p w14:paraId="38398C03" w14:textId="77777777" w:rsidR="00AD090D" w:rsidRPr="000B3805" w:rsidRDefault="00AD090D" w:rsidP="00307A7F">
      <w:pPr>
        <w:autoSpaceDE w:val="0"/>
        <w:autoSpaceDN w:val="0"/>
        <w:adjustRightInd w:val="0"/>
        <w:snapToGrid w:val="0"/>
        <w:spacing w:after="0" w:line="240" w:lineRule="auto"/>
        <w:jc w:val="both"/>
        <w:rPr>
          <w:rFonts w:ascii="Times New Roman" w:hAnsi="Times New Roman" w:cs="Times New Roman"/>
          <w:lang w:val="en-AU"/>
        </w:rPr>
      </w:pPr>
    </w:p>
    <w:p w14:paraId="12BD1FCA" w14:textId="77777777" w:rsidR="00AD090D" w:rsidRPr="000B3805" w:rsidRDefault="00AD090D" w:rsidP="00307A7F">
      <w:pPr>
        <w:pStyle w:val="SCtext"/>
        <w:adjustRightInd w:val="0"/>
        <w:ind w:left="0" w:firstLine="0"/>
        <w:rPr>
          <w:color w:val="auto"/>
          <w:sz w:val="22"/>
          <w:szCs w:val="22"/>
          <w:lang w:val="en-AU"/>
        </w:rPr>
      </w:pPr>
      <w:r w:rsidRPr="000B3805">
        <w:rPr>
          <w:color w:val="auto"/>
          <w:sz w:val="22"/>
          <w:szCs w:val="22"/>
          <w:lang w:val="en-AU"/>
        </w:rPr>
        <w:t xml:space="preserve">SC17 noted that the current CMM does not cover catches north of 20°S. SC17 recommends that the Commission take note of the swordfish projections in framing any future CMM. </w:t>
      </w:r>
    </w:p>
    <w:p w14:paraId="7C7953E8" w14:textId="77777777" w:rsidR="00AD090D" w:rsidRPr="000B3805" w:rsidRDefault="00AD090D" w:rsidP="00307A7F">
      <w:pPr>
        <w:adjustRightInd w:val="0"/>
        <w:snapToGrid w:val="0"/>
        <w:spacing w:after="0" w:line="240" w:lineRule="auto"/>
        <w:rPr>
          <w:rFonts w:ascii="Times New Roman" w:hAnsi="Times New Roman" w:cs="Times New Roman"/>
          <w:lang w:val="en-AU"/>
        </w:rPr>
      </w:pPr>
    </w:p>
    <w:p w14:paraId="5594EF14" w14:textId="77777777" w:rsidR="00AD090D" w:rsidRPr="000B3805" w:rsidRDefault="00AD090D" w:rsidP="00307A7F">
      <w:pPr>
        <w:adjustRightInd w:val="0"/>
        <w:snapToGrid w:val="0"/>
        <w:spacing w:after="0" w:line="240" w:lineRule="auto"/>
        <w:rPr>
          <w:rFonts w:ascii="Times New Roman" w:hAnsi="Times New Roman" w:cs="Times New Roman"/>
          <w:lang w:val="en-AU"/>
        </w:rPr>
      </w:pPr>
    </w:p>
    <w:p w14:paraId="4DA4BF96" w14:textId="77777777" w:rsidR="00AD090D" w:rsidRPr="000B3805" w:rsidRDefault="00AD090D" w:rsidP="00307A7F">
      <w:pPr>
        <w:adjustRightInd w:val="0"/>
        <w:snapToGrid w:val="0"/>
        <w:spacing w:after="0" w:line="240" w:lineRule="auto"/>
        <w:rPr>
          <w:rFonts w:ascii="Times New Roman" w:hAnsi="Times New Roman" w:cs="Times New Roman"/>
          <w:lang w:val="en-AU"/>
        </w:rPr>
      </w:pPr>
    </w:p>
    <w:p w14:paraId="4456B7DB" w14:textId="77777777" w:rsidR="00AD090D" w:rsidRPr="000B3805" w:rsidRDefault="00AD090D" w:rsidP="00307A7F">
      <w:pPr>
        <w:pStyle w:val="ListParagraph"/>
        <w:numPr>
          <w:ilvl w:val="0"/>
          <w:numId w:val="22"/>
        </w:numPr>
        <w:adjustRightInd w:val="0"/>
        <w:snapToGrid w:val="0"/>
        <w:ind w:left="0" w:firstLine="0"/>
        <w:contextualSpacing w:val="0"/>
        <w:rPr>
          <w:rFonts w:ascii="Times New Roman" w:hAnsi="Times New Roman"/>
          <w:b/>
          <w:bCs/>
          <w:lang w:val="en-AU"/>
        </w:rPr>
      </w:pPr>
      <w:r w:rsidRPr="000B3805">
        <w:rPr>
          <w:rFonts w:ascii="Times New Roman" w:hAnsi="Times New Roman"/>
          <w:b/>
          <w:bCs/>
          <w:lang w:val="en-AU"/>
        </w:rPr>
        <w:t>Future research recommendations</w:t>
      </w:r>
    </w:p>
    <w:p w14:paraId="4DD828A5" w14:textId="77777777" w:rsidR="00AD090D" w:rsidRPr="000B3805" w:rsidRDefault="00AD090D" w:rsidP="00307A7F">
      <w:pPr>
        <w:adjustRightInd w:val="0"/>
        <w:snapToGrid w:val="0"/>
        <w:spacing w:after="0" w:line="240" w:lineRule="auto"/>
        <w:jc w:val="both"/>
        <w:rPr>
          <w:rFonts w:ascii="Times New Roman" w:hAnsi="Times New Roman" w:cs="Times New Roman"/>
          <w:lang w:val="en-AU"/>
        </w:rPr>
      </w:pPr>
    </w:p>
    <w:p w14:paraId="789C24D8" w14:textId="77777777" w:rsidR="00AD090D" w:rsidRPr="000B3805" w:rsidRDefault="00AD090D" w:rsidP="00307A7F">
      <w:pPr>
        <w:pStyle w:val="SCtext"/>
        <w:adjustRightInd w:val="0"/>
        <w:ind w:left="0" w:firstLine="0"/>
        <w:rPr>
          <w:color w:val="auto"/>
          <w:sz w:val="22"/>
          <w:szCs w:val="22"/>
        </w:rPr>
      </w:pPr>
      <w:r w:rsidRPr="000B3805">
        <w:rPr>
          <w:color w:val="auto"/>
          <w:sz w:val="22"/>
          <w:szCs w:val="22"/>
          <w:lang w:eastAsia="ja-JP"/>
        </w:rPr>
        <w:t>Contingent</w:t>
      </w:r>
      <w:r w:rsidRPr="000B3805">
        <w:rPr>
          <w:color w:val="auto"/>
          <w:sz w:val="22"/>
          <w:szCs w:val="22"/>
        </w:rPr>
        <w:t xml:space="preserve"> on the collection of comprehensive sex-specific catch and size composition data, SC17 recommended to continue progress on developing a sex-disaggregated model to better account for the significant differences in life history between male and female swordfish. Implementation of a sex-disaggregated model applied to comprehensive sex-specific data could reduce bias in the model results. The Scientific Services Provider however did note that lack of sex specific size composition data was a major limitation to a sex disaggregate approach that would need to be improved.</w:t>
      </w:r>
    </w:p>
    <w:p w14:paraId="193E69AF" w14:textId="77777777" w:rsidR="00AD090D" w:rsidRPr="000B3805" w:rsidRDefault="00AD090D" w:rsidP="00307A7F">
      <w:pPr>
        <w:pStyle w:val="SCtext"/>
        <w:numPr>
          <w:ilvl w:val="0"/>
          <w:numId w:val="0"/>
        </w:numPr>
        <w:adjustRightInd w:val="0"/>
        <w:rPr>
          <w:color w:val="auto"/>
          <w:sz w:val="22"/>
          <w:szCs w:val="22"/>
        </w:rPr>
      </w:pPr>
    </w:p>
    <w:p w14:paraId="0A6911C1"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The SPC investigated the application of a length-weight relationship bias correction factor during SC17. The analysis concluded that applying the bias-correction factor would not qualitatively change the management advice in this instance as it resulted in a 2-3% reduction in the risks to both the SW swordfish stock undergoing overfishing and being overfished. The Co-Convener advocated not to change the assessment runs for SC17 and to consider the correction for the next assessment.</w:t>
      </w:r>
    </w:p>
    <w:p w14:paraId="7BDACEE9" w14:textId="77777777" w:rsidR="00AD090D" w:rsidRPr="000B3805" w:rsidRDefault="00AD090D" w:rsidP="00307A7F">
      <w:pPr>
        <w:pStyle w:val="SCtext"/>
        <w:numPr>
          <w:ilvl w:val="0"/>
          <w:numId w:val="0"/>
        </w:numPr>
        <w:adjustRightInd w:val="0"/>
        <w:ind w:left="1080"/>
        <w:rPr>
          <w:color w:val="auto"/>
          <w:sz w:val="22"/>
          <w:szCs w:val="22"/>
        </w:rPr>
      </w:pPr>
    </w:p>
    <w:p w14:paraId="1440AA85" w14:textId="77777777" w:rsidR="00AD090D" w:rsidRPr="000B3805" w:rsidRDefault="00AD090D" w:rsidP="00307A7F">
      <w:pPr>
        <w:pStyle w:val="SCtext"/>
        <w:adjustRightInd w:val="0"/>
        <w:ind w:left="0" w:firstLine="0"/>
        <w:rPr>
          <w:color w:val="auto"/>
          <w:sz w:val="22"/>
          <w:szCs w:val="22"/>
        </w:rPr>
      </w:pPr>
      <w:r w:rsidRPr="000B3805">
        <w:rPr>
          <w:color w:val="auto"/>
          <w:sz w:val="22"/>
          <w:szCs w:val="22"/>
        </w:rPr>
        <w:t xml:space="preserve">The </w:t>
      </w:r>
      <w:r w:rsidRPr="000B3805">
        <w:rPr>
          <w:color w:val="auto"/>
          <w:sz w:val="22"/>
          <w:szCs w:val="22"/>
          <w:lang w:eastAsia="ja-JP"/>
        </w:rPr>
        <w:t>following</w:t>
      </w:r>
      <w:r w:rsidRPr="000B3805">
        <w:rPr>
          <w:color w:val="auto"/>
          <w:sz w:val="22"/>
          <w:szCs w:val="22"/>
        </w:rPr>
        <w:t xml:space="preserve"> three key research needs were identified in undertaking the assessment that should be investigated either internally or through directed research. </w:t>
      </w:r>
    </w:p>
    <w:p w14:paraId="0FDA7D1F" w14:textId="77777777" w:rsidR="00AD090D" w:rsidRPr="000B3805" w:rsidRDefault="00AD090D" w:rsidP="00307A7F">
      <w:pPr>
        <w:pStyle w:val="WCPFC"/>
        <w:numPr>
          <w:ilvl w:val="0"/>
          <w:numId w:val="20"/>
        </w:numPr>
        <w:adjustRightInd w:val="0"/>
        <w:spacing w:after="0"/>
        <w:ind w:left="1080"/>
        <w:rPr>
          <w:rFonts w:cs="Times New Roman"/>
        </w:rPr>
      </w:pPr>
      <w:r w:rsidRPr="000B3805">
        <w:rPr>
          <w:rFonts w:cs="Times New Roman"/>
        </w:rPr>
        <w:t>Directed longitudinal tagging of swordfish to reduce the uncertainty in movement rates, and a feasibility study to explore applying CKMR techniques to Southwest Pacific swordfish are the two most critical research items.</w:t>
      </w:r>
    </w:p>
    <w:p w14:paraId="4BFEC8B5" w14:textId="77777777" w:rsidR="00AD090D" w:rsidRPr="000B3805" w:rsidRDefault="00AD090D" w:rsidP="00307A7F">
      <w:pPr>
        <w:pStyle w:val="ListParagraph"/>
        <w:numPr>
          <w:ilvl w:val="0"/>
          <w:numId w:val="20"/>
        </w:numPr>
        <w:adjustRightInd w:val="0"/>
        <w:snapToGrid w:val="0"/>
        <w:ind w:left="1080"/>
        <w:contextualSpacing w:val="0"/>
        <w:rPr>
          <w:rFonts w:ascii="Times New Roman" w:hAnsi="Times New Roman"/>
          <w:lang w:eastAsia="en-NZ"/>
        </w:rPr>
      </w:pPr>
      <w:r w:rsidRPr="000B3805">
        <w:rPr>
          <w:rFonts w:ascii="Times New Roman" w:hAnsi="Times New Roman"/>
        </w:rPr>
        <w:t>Development of a statistically robust sampling plan for the collection of fisheries dependent biological samples (by sex), including but not limited to age, catch, size frequency data, and genetic samples.</w:t>
      </w:r>
    </w:p>
    <w:p w14:paraId="0866954F" w14:textId="77777777" w:rsidR="00AD090D" w:rsidRPr="000B3805" w:rsidRDefault="00AD090D" w:rsidP="00307A7F">
      <w:pPr>
        <w:pStyle w:val="ListParagraph"/>
        <w:numPr>
          <w:ilvl w:val="0"/>
          <w:numId w:val="20"/>
        </w:numPr>
        <w:adjustRightInd w:val="0"/>
        <w:snapToGrid w:val="0"/>
        <w:ind w:left="1080"/>
        <w:contextualSpacing w:val="0"/>
        <w:rPr>
          <w:rFonts w:ascii="Times New Roman" w:hAnsi="Times New Roman"/>
          <w:lang w:eastAsia="en-NZ"/>
        </w:rPr>
      </w:pPr>
      <w:r w:rsidRPr="000B3805">
        <w:rPr>
          <w:rFonts w:ascii="Times New Roman" w:hAnsi="Times New Roman"/>
          <w:lang w:eastAsia="en-NZ"/>
        </w:rPr>
        <w:t xml:space="preserve">In order to improve quality of abundance indices there is a need to expand minimum reporting requirements for longline operational characteristics to include: </w:t>
      </w:r>
      <w:r w:rsidRPr="000B3805">
        <w:rPr>
          <w:rFonts w:ascii="Times New Roman" w:hAnsi="Times New Roman"/>
          <w:i/>
          <w:iCs/>
          <w:lang w:eastAsia="en-NZ"/>
        </w:rPr>
        <w:t>a priori</w:t>
      </w:r>
      <w:r w:rsidRPr="000B3805">
        <w:rPr>
          <w:rFonts w:ascii="Times New Roman" w:hAnsi="Times New Roman"/>
          <w:lang w:eastAsia="en-NZ"/>
        </w:rPr>
        <w:t xml:space="preserve"> target species, light stick use, bait type, setting time (or fraction of night-time soak), and gear settings that influence fishing depth (e.g., hooks between floats, branch line length, float line length, and/or line setting speed).</w:t>
      </w:r>
    </w:p>
    <w:p w14:paraId="627AAB19" w14:textId="77777777" w:rsidR="00AD090D" w:rsidRPr="000B3805" w:rsidRDefault="00AD090D" w:rsidP="00307A7F">
      <w:pPr>
        <w:adjustRightInd w:val="0"/>
        <w:snapToGrid w:val="0"/>
        <w:spacing w:after="0" w:line="240" w:lineRule="auto"/>
        <w:rPr>
          <w:rFonts w:ascii="Times New Roman" w:hAnsi="Times New Roman" w:cs="Times New Roman"/>
          <w:lang w:val="en-AU"/>
        </w:rPr>
      </w:pPr>
    </w:p>
    <w:p w14:paraId="185C2FA0" w14:textId="77777777" w:rsidR="00AD090D" w:rsidRPr="000B3805" w:rsidRDefault="00AD090D" w:rsidP="00307A7F">
      <w:pPr>
        <w:spacing w:after="0" w:line="240" w:lineRule="auto"/>
        <w:rPr>
          <w:rFonts w:ascii="Times New Roman" w:hAnsi="Times New Roman" w:cs="Times New Roman"/>
        </w:rPr>
      </w:pPr>
    </w:p>
    <w:p w14:paraId="519E8510" w14:textId="04751597" w:rsidR="004B4A19" w:rsidRPr="000B3805" w:rsidRDefault="004B4A19" w:rsidP="004B4A19">
      <w:pPr>
        <w:pStyle w:val="Heading1"/>
        <w:adjustRightInd w:val="0"/>
        <w:spacing w:before="0" w:line="240" w:lineRule="auto"/>
        <w:rPr>
          <w:rFonts w:ascii="Times New Roman" w:hAnsi="Times New Roman" w:cs="Times New Roman"/>
          <w:b/>
          <w:bCs/>
          <w:color w:val="auto"/>
          <w:sz w:val="28"/>
          <w:szCs w:val="28"/>
        </w:rPr>
      </w:pPr>
      <w:bookmarkStart w:id="5" w:name="_Toc95983120"/>
      <w:r w:rsidRPr="000B3805">
        <w:rPr>
          <w:rFonts w:ascii="Times New Roman" w:hAnsi="Times New Roman" w:cs="Times New Roman"/>
          <w:b/>
          <w:bCs/>
          <w:color w:val="auto"/>
          <w:sz w:val="28"/>
          <w:szCs w:val="28"/>
        </w:rPr>
        <w:t>SC16</w:t>
      </w:r>
      <w:r w:rsidR="000B3805" w:rsidRPr="000B3805">
        <w:rPr>
          <w:rFonts w:ascii="Times New Roman" w:hAnsi="Times New Roman" w:cs="Times New Roman"/>
          <w:b/>
          <w:bCs/>
          <w:color w:val="auto"/>
          <w:sz w:val="28"/>
          <w:szCs w:val="28"/>
        </w:rPr>
        <w:t>-</w:t>
      </w:r>
      <w:r w:rsidRPr="000B3805">
        <w:rPr>
          <w:rFonts w:ascii="Times New Roman" w:hAnsi="Times New Roman" w:cs="Times New Roman"/>
          <w:b/>
          <w:bCs/>
          <w:color w:val="auto"/>
          <w:sz w:val="28"/>
          <w:szCs w:val="28"/>
        </w:rPr>
        <w:t>2020 (NO STOCK ASSESSMENT)</w:t>
      </w:r>
      <w:bookmarkEnd w:id="5"/>
    </w:p>
    <w:p w14:paraId="18495DC1" w14:textId="368629B0" w:rsidR="004B4A19" w:rsidRPr="000B3805" w:rsidRDefault="004B4A19" w:rsidP="00F44783">
      <w:pPr>
        <w:pStyle w:val="Heading1"/>
        <w:adjustRightInd w:val="0"/>
        <w:spacing w:before="0" w:line="240" w:lineRule="auto"/>
        <w:rPr>
          <w:rFonts w:ascii="Times New Roman" w:hAnsi="Times New Roman" w:cs="Times New Roman"/>
          <w:b/>
          <w:bCs/>
          <w:color w:val="auto"/>
          <w:sz w:val="28"/>
          <w:szCs w:val="28"/>
        </w:rPr>
      </w:pPr>
    </w:p>
    <w:p w14:paraId="53FA0992" w14:textId="3F9623BC" w:rsidR="004B4A19" w:rsidRPr="000B3805" w:rsidRDefault="004B4A19" w:rsidP="00AD090D">
      <w:pPr>
        <w:jc w:val="both"/>
        <w:rPr>
          <w:rFonts w:ascii="Times New Roman" w:hAnsi="Times New Roman" w:cs="Times New Roman"/>
        </w:rPr>
      </w:pPr>
      <w:r w:rsidRPr="000B3805">
        <w:rPr>
          <w:rFonts w:ascii="Times New Roman" w:hAnsi="Times New Roman" w:cs="Times New Roman"/>
        </w:rPr>
        <w:t xml:space="preserve">There was no stock assessment for south Pacific swordfish in 2020. This was not discussed at SC17 due to its streamlined agenda and discussion were conducted virtually due to the impacts of COVID-19 pandemic. Therefore, the stock status descriptions and management advice from SC13 are still current for south Pacific swordfish. </w:t>
      </w:r>
    </w:p>
    <w:p w14:paraId="7DE5C4DA" w14:textId="77777777" w:rsidR="00AD090D" w:rsidRPr="000B3805" w:rsidRDefault="00AD090D" w:rsidP="00AD090D">
      <w:pPr>
        <w:jc w:val="both"/>
        <w:rPr>
          <w:rFonts w:ascii="Times New Roman" w:hAnsi="Times New Roman" w:cs="Times New Roman"/>
        </w:rPr>
      </w:pPr>
    </w:p>
    <w:p w14:paraId="138372A5" w14:textId="52C3F94E" w:rsidR="00F44783" w:rsidRPr="00D46683" w:rsidRDefault="00F44783" w:rsidP="00F44783">
      <w:pPr>
        <w:pStyle w:val="Heading1"/>
        <w:adjustRightInd w:val="0"/>
        <w:spacing w:before="0" w:line="240" w:lineRule="auto"/>
        <w:rPr>
          <w:rFonts w:ascii="Times New Roman" w:hAnsi="Times New Roman" w:cs="Times New Roman"/>
          <w:b/>
          <w:bCs/>
          <w:sz w:val="28"/>
          <w:szCs w:val="28"/>
        </w:rPr>
      </w:pPr>
      <w:bookmarkStart w:id="6" w:name="_Toc95983121"/>
      <w:r w:rsidRPr="00D46683">
        <w:rPr>
          <w:rFonts w:ascii="Times New Roman" w:hAnsi="Times New Roman" w:cs="Times New Roman"/>
          <w:b/>
          <w:bCs/>
          <w:sz w:val="28"/>
          <w:szCs w:val="28"/>
        </w:rPr>
        <w:t>SC15</w:t>
      </w:r>
      <w:r w:rsidR="000B3805">
        <w:rPr>
          <w:rFonts w:ascii="Times New Roman" w:hAnsi="Times New Roman" w:cs="Times New Roman"/>
          <w:b/>
          <w:bCs/>
          <w:sz w:val="28"/>
          <w:szCs w:val="28"/>
        </w:rPr>
        <w:t>-</w:t>
      </w:r>
      <w:r w:rsidRPr="00D46683">
        <w:rPr>
          <w:rFonts w:ascii="Times New Roman" w:hAnsi="Times New Roman" w:cs="Times New Roman"/>
          <w:b/>
          <w:bCs/>
          <w:sz w:val="28"/>
          <w:szCs w:val="28"/>
        </w:rPr>
        <w:t>2019 (NO STOCK ASSESSMENT)</w:t>
      </w:r>
      <w:bookmarkEnd w:id="6"/>
    </w:p>
    <w:p w14:paraId="34D1DD0A" w14:textId="77777777" w:rsidR="00F44783" w:rsidRPr="00D46683" w:rsidRDefault="00F44783" w:rsidP="00F44783">
      <w:pPr>
        <w:tabs>
          <w:tab w:val="left" w:pos="820"/>
        </w:tabs>
        <w:adjustRightInd w:val="0"/>
        <w:spacing w:after="0" w:line="240" w:lineRule="auto"/>
        <w:rPr>
          <w:rFonts w:ascii="Times New Roman" w:hAnsi="Times New Roman" w:cs="Times New Roman"/>
          <w:b/>
          <w:sz w:val="24"/>
          <w:szCs w:val="24"/>
        </w:rPr>
      </w:pPr>
    </w:p>
    <w:p w14:paraId="652370BE" w14:textId="77777777" w:rsidR="00F44783" w:rsidRPr="00D46683" w:rsidRDefault="00F44783" w:rsidP="00F44783">
      <w:pPr>
        <w:pStyle w:val="ListParagraph"/>
        <w:numPr>
          <w:ilvl w:val="1"/>
          <w:numId w:val="13"/>
        </w:numPr>
        <w:kinsoku w:val="0"/>
        <w:overflowPunct w:val="0"/>
        <w:autoSpaceDE w:val="0"/>
        <w:autoSpaceDN w:val="0"/>
        <w:adjustRightInd w:val="0"/>
        <w:ind w:left="0" w:firstLine="0"/>
        <w:contextualSpacing w:val="0"/>
        <w:rPr>
          <w:rFonts w:ascii="Times New Roman" w:hAnsi="Times New Roman"/>
          <w:b/>
          <w:bCs/>
        </w:rPr>
      </w:pPr>
      <w:r w:rsidRPr="00D46683">
        <w:rPr>
          <w:rFonts w:ascii="Times New Roman" w:hAnsi="Times New Roman"/>
          <w:b/>
          <w:bCs/>
        </w:rPr>
        <w:t>Stock Status and trends</w:t>
      </w:r>
    </w:p>
    <w:p w14:paraId="1BA9233C" w14:textId="77777777" w:rsidR="00F44783" w:rsidRPr="00D46683" w:rsidRDefault="00F44783" w:rsidP="00F44783">
      <w:pPr>
        <w:pStyle w:val="ListParagraph"/>
        <w:kinsoku w:val="0"/>
        <w:overflowPunct w:val="0"/>
        <w:autoSpaceDE w:val="0"/>
        <w:autoSpaceDN w:val="0"/>
        <w:adjustRightInd w:val="0"/>
        <w:ind w:left="0"/>
        <w:contextualSpacing w:val="0"/>
        <w:rPr>
          <w:rFonts w:ascii="Times New Roman" w:hAnsi="Times New Roman"/>
        </w:rPr>
      </w:pPr>
    </w:p>
    <w:p w14:paraId="42B97217" w14:textId="77777777" w:rsidR="00F44783" w:rsidRPr="00307A7F" w:rsidRDefault="00F44783" w:rsidP="00307A7F">
      <w:pPr>
        <w:pStyle w:val="WCPFC"/>
        <w:numPr>
          <w:ilvl w:val="0"/>
          <w:numId w:val="24"/>
        </w:numPr>
        <w:adjustRightInd w:val="0"/>
        <w:snapToGrid/>
        <w:spacing w:after="0"/>
        <w:rPr>
          <w:rFonts w:cs="Times New Roman"/>
        </w:rPr>
      </w:pPr>
      <w:r w:rsidRPr="00307A7F">
        <w:rPr>
          <w:rFonts w:cs="Times New Roman"/>
        </w:rPr>
        <w:t xml:space="preserve">SC15 noted that no stock assessments were conducted for south Pacific swordfish in 2019. Therefore, the stock status descriptions from SC13 are still current for south Pacific swordfish. </w:t>
      </w:r>
      <w:bookmarkStart w:id="7" w:name="_Hlk23849438"/>
      <w:r w:rsidRPr="00307A7F">
        <w:rPr>
          <w:rFonts w:cs="Times New Roman"/>
        </w:rPr>
        <w:t xml:space="preserve">For further information on the stock status and trends from SC13, please see </w:t>
      </w:r>
      <w:hyperlink r:id="rId16" w:history="1">
        <w:r w:rsidRPr="00307A7F">
          <w:rPr>
            <w:rStyle w:val="Hyperlink"/>
            <w:rFonts w:cs="Times New Roman"/>
          </w:rPr>
          <w:t>https://www.wcpfc.int/node/29904</w:t>
        </w:r>
      </w:hyperlink>
      <w:r w:rsidRPr="00307A7F">
        <w:rPr>
          <w:rFonts w:cs="Times New Roman"/>
          <w:color w:val="0000FF"/>
        </w:rPr>
        <w:t xml:space="preserve">. </w:t>
      </w:r>
      <w:bookmarkEnd w:id="7"/>
      <w:r w:rsidRPr="00307A7F">
        <w:rPr>
          <w:rFonts w:cs="Times New Roman"/>
        </w:rPr>
        <w:t>Updated information on catches was not compiled for and reviewed by SC15.</w:t>
      </w:r>
    </w:p>
    <w:p w14:paraId="5F5AA629" w14:textId="77777777" w:rsidR="00F44783" w:rsidRPr="00D46683" w:rsidRDefault="00F44783" w:rsidP="00F44783">
      <w:pPr>
        <w:kinsoku w:val="0"/>
        <w:overflowPunct w:val="0"/>
        <w:autoSpaceDE w:val="0"/>
        <w:autoSpaceDN w:val="0"/>
        <w:adjustRightInd w:val="0"/>
        <w:spacing w:after="0" w:line="240" w:lineRule="auto"/>
        <w:jc w:val="both"/>
        <w:rPr>
          <w:rFonts w:ascii="Times New Roman" w:hAnsi="Times New Roman" w:cs="Times New Roman"/>
          <w:b/>
          <w:bCs/>
        </w:rPr>
      </w:pPr>
    </w:p>
    <w:p w14:paraId="33A54983" w14:textId="77777777" w:rsidR="00F44783" w:rsidRPr="00D46683" w:rsidRDefault="00F44783" w:rsidP="00F44783">
      <w:pPr>
        <w:pStyle w:val="ListParagraph"/>
        <w:numPr>
          <w:ilvl w:val="0"/>
          <w:numId w:val="14"/>
        </w:numPr>
        <w:kinsoku w:val="0"/>
        <w:overflowPunct w:val="0"/>
        <w:autoSpaceDE w:val="0"/>
        <w:autoSpaceDN w:val="0"/>
        <w:adjustRightInd w:val="0"/>
        <w:ind w:left="0" w:firstLine="0"/>
        <w:contextualSpacing w:val="0"/>
        <w:rPr>
          <w:rFonts w:ascii="Times New Roman" w:hAnsi="Times New Roman"/>
          <w:b/>
          <w:bCs/>
        </w:rPr>
      </w:pPr>
      <w:r w:rsidRPr="00D46683">
        <w:rPr>
          <w:rFonts w:ascii="Times New Roman" w:hAnsi="Times New Roman"/>
          <w:b/>
          <w:bCs/>
        </w:rPr>
        <w:t>Management Advice and implications</w:t>
      </w:r>
    </w:p>
    <w:p w14:paraId="6701FF87" w14:textId="77777777" w:rsidR="00F44783" w:rsidRPr="00D46683" w:rsidRDefault="00F44783" w:rsidP="00F44783">
      <w:pPr>
        <w:kinsoku w:val="0"/>
        <w:overflowPunct w:val="0"/>
        <w:autoSpaceDE w:val="0"/>
        <w:autoSpaceDN w:val="0"/>
        <w:adjustRightInd w:val="0"/>
        <w:spacing w:after="0" w:line="240" w:lineRule="auto"/>
        <w:jc w:val="both"/>
        <w:rPr>
          <w:rFonts w:ascii="Times New Roman" w:hAnsi="Times New Roman" w:cs="Times New Roman"/>
        </w:rPr>
      </w:pPr>
    </w:p>
    <w:p w14:paraId="52B4CF2F" w14:textId="77777777" w:rsidR="00F44783" w:rsidRPr="00D46683" w:rsidRDefault="00F44783" w:rsidP="00F44783">
      <w:pPr>
        <w:pStyle w:val="WCPFC"/>
        <w:adjustRightInd w:val="0"/>
        <w:snapToGrid/>
        <w:spacing w:after="0"/>
        <w:rPr>
          <w:rFonts w:cs="Times New Roman"/>
        </w:rPr>
      </w:pPr>
      <w:r w:rsidRPr="00D46683">
        <w:rPr>
          <w:rFonts w:cs="Times New Roman"/>
        </w:rPr>
        <w:t xml:space="preserve">SC15 noted that no management advice has been provided since SC13 for south Pacific swordfish. Therefore, previous advice should be maintained, pending a new assessment or other new information. For further information on the management advice and implications from SC13, please see </w:t>
      </w:r>
      <w:hyperlink r:id="rId17" w:history="1">
        <w:r w:rsidRPr="00D46683">
          <w:rPr>
            <w:rStyle w:val="Hyperlink"/>
            <w:rFonts w:cs="Times New Roman"/>
          </w:rPr>
          <w:t>https://www.wcpfc.int/node/29904</w:t>
        </w:r>
      </w:hyperlink>
    </w:p>
    <w:p w14:paraId="5916B4AF" w14:textId="5E5D9ADF" w:rsidR="00F44783" w:rsidRPr="00D46683" w:rsidRDefault="00F44783" w:rsidP="00F44783">
      <w:pPr>
        <w:pStyle w:val="BodyText"/>
        <w:adjustRightInd w:val="0"/>
        <w:rPr>
          <w:rFonts w:cs="Times New Roman"/>
          <w:sz w:val="22"/>
          <w:szCs w:val="22"/>
          <w:lang w:val="en-NZ"/>
        </w:rPr>
      </w:pPr>
    </w:p>
    <w:p w14:paraId="480B3AD2" w14:textId="77777777" w:rsidR="00F44783" w:rsidRPr="00D46683" w:rsidRDefault="00F44783" w:rsidP="00F44783">
      <w:pPr>
        <w:pStyle w:val="BodyText"/>
        <w:adjustRightInd w:val="0"/>
        <w:rPr>
          <w:rFonts w:cs="Times New Roman"/>
          <w:sz w:val="22"/>
          <w:szCs w:val="22"/>
          <w:lang w:val="en-NZ"/>
        </w:rPr>
      </w:pPr>
    </w:p>
    <w:p w14:paraId="7D5592A5" w14:textId="0C1E5124" w:rsidR="00927C45" w:rsidRPr="00D46683" w:rsidRDefault="00927C45" w:rsidP="00F44783">
      <w:pPr>
        <w:pStyle w:val="Heading1"/>
        <w:adjustRightInd w:val="0"/>
        <w:spacing w:before="0" w:line="240" w:lineRule="auto"/>
        <w:rPr>
          <w:rFonts w:ascii="Times New Roman" w:hAnsi="Times New Roman" w:cs="Times New Roman"/>
          <w:b/>
          <w:bCs/>
          <w:sz w:val="28"/>
          <w:szCs w:val="28"/>
        </w:rPr>
      </w:pPr>
      <w:bookmarkStart w:id="8" w:name="_Toc95983122"/>
      <w:r w:rsidRPr="00D46683">
        <w:rPr>
          <w:rFonts w:ascii="Times New Roman" w:hAnsi="Times New Roman" w:cs="Times New Roman"/>
          <w:b/>
          <w:bCs/>
          <w:sz w:val="28"/>
          <w:szCs w:val="28"/>
        </w:rPr>
        <w:t>SC14</w:t>
      </w:r>
      <w:r w:rsidR="000B3805">
        <w:rPr>
          <w:rFonts w:ascii="Times New Roman" w:hAnsi="Times New Roman" w:cs="Times New Roman"/>
          <w:b/>
          <w:bCs/>
          <w:sz w:val="28"/>
          <w:szCs w:val="28"/>
        </w:rPr>
        <w:t>-</w:t>
      </w:r>
      <w:r w:rsidRPr="00D46683">
        <w:rPr>
          <w:rFonts w:ascii="Times New Roman" w:hAnsi="Times New Roman" w:cs="Times New Roman"/>
          <w:b/>
          <w:bCs/>
          <w:sz w:val="28"/>
          <w:szCs w:val="28"/>
        </w:rPr>
        <w:t>2018</w:t>
      </w:r>
      <w:r w:rsidR="00F44783" w:rsidRPr="00D46683">
        <w:rPr>
          <w:rFonts w:ascii="Times New Roman" w:hAnsi="Times New Roman" w:cs="Times New Roman"/>
          <w:b/>
          <w:bCs/>
          <w:sz w:val="28"/>
          <w:szCs w:val="28"/>
        </w:rPr>
        <w:t xml:space="preserve"> (NO STOCK ASSESSMENT)</w:t>
      </w:r>
      <w:bookmarkEnd w:id="8"/>
    </w:p>
    <w:p w14:paraId="56E7AD37" w14:textId="77777777" w:rsidR="00927C45" w:rsidRPr="00D46683" w:rsidRDefault="00927C45" w:rsidP="00F44783">
      <w:pPr>
        <w:tabs>
          <w:tab w:val="left" w:pos="820"/>
        </w:tabs>
        <w:adjustRightInd w:val="0"/>
        <w:spacing w:after="0" w:line="240" w:lineRule="auto"/>
        <w:rPr>
          <w:rFonts w:ascii="Times New Roman" w:hAnsi="Times New Roman" w:cs="Times New Roman"/>
          <w:b/>
          <w:sz w:val="24"/>
          <w:szCs w:val="24"/>
        </w:rPr>
      </w:pPr>
    </w:p>
    <w:p w14:paraId="0B8EFFD2" w14:textId="3EB7C919" w:rsidR="00F44783" w:rsidRPr="00D46683" w:rsidRDefault="00F44783" w:rsidP="00F44783">
      <w:pPr>
        <w:pStyle w:val="SCa"/>
        <w:numPr>
          <w:ilvl w:val="0"/>
          <w:numId w:val="17"/>
        </w:numPr>
        <w:tabs>
          <w:tab w:val="clear" w:pos="1080"/>
        </w:tabs>
        <w:snapToGrid/>
        <w:spacing w:after="0"/>
        <w:ind w:left="0" w:firstLine="0"/>
      </w:pPr>
      <w:r w:rsidRPr="00D46683">
        <w:t>Stock status and trends</w:t>
      </w:r>
    </w:p>
    <w:p w14:paraId="07F8C002" w14:textId="77777777" w:rsidR="00F44783" w:rsidRPr="00D46683" w:rsidRDefault="00F44783" w:rsidP="00F44783">
      <w:pPr>
        <w:pStyle w:val="SCa"/>
        <w:snapToGrid/>
        <w:spacing w:after="0"/>
      </w:pPr>
    </w:p>
    <w:p w14:paraId="6CEAC05A" w14:textId="77777777" w:rsidR="00F44783" w:rsidRPr="00D46683" w:rsidRDefault="00F44783" w:rsidP="00F44783">
      <w:pPr>
        <w:pStyle w:val="WCPFC"/>
        <w:numPr>
          <w:ilvl w:val="0"/>
          <w:numId w:val="15"/>
        </w:numPr>
        <w:autoSpaceDE w:val="0"/>
        <w:autoSpaceDN w:val="0"/>
        <w:adjustRightInd w:val="0"/>
        <w:snapToGrid/>
        <w:spacing w:after="0"/>
        <w:rPr>
          <w:rFonts w:cs="Times New Roman"/>
        </w:rPr>
      </w:pPr>
      <w:r w:rsidRPr="00D46683">
        <w:rPr>
          <w:rFonts w:cs="Times New Roman"/>
        </w:rPr>
        <w:t>SC14 noted that no stock assessments were conducted for south Pacific swordfish in 2018. Therefore, the stock status descriptions from SC13 are still current for south Pacific swordfish. Updated information on catches was compiled but not reviewed by</w:t>
      </w:r>
      <w:r w:rsidRPr="00D46683">
        <w:rPr>
          <w:rFonts w:cs="Times New Roman"/>
          <w:spacing w:val="-19"/>
        </w:rPr>
        <w:t xml:space="preserve"> </w:t>
      </w:r>
      <w:r w:rsidRPr="00D46683">
        <w:rPr>
          <w:rFonts w:cs="Times New Roman"/>
        </w:rPr>
        <w:t xml:space="preserve">SC14. </w:t>
      </w:r>
    </w:p>
    <w:p w14:paraId="04E21C4F" w14:textId="77777777" w:rsidR="00F44783" w:rsidRPr="00D46683" w:rsidRDefault="00F44783" w:rsidP="00F44783">
      <w:pPr>
        <w:autoSpaceDE w:val="0"/>
        <w:autoSpaceDN w:val="0"/>
        <w:adjustRightInd w:val="0"/>
        <w:spacing w:after="0" w:line="240" w:lineRule="auto"/>
        <w:jc w:val="both"/>
        <w:rPr>
          <w:rFonts w:ascii="Times New Roman" w:hAnsi="Times New Roman" w:cs="Times New Roman"/>
          <w:b/>
        </w:rPr>
      </w:pPr>
    </w:p>
    <w:p w14:paraId="7164AD7B" w14:textId="77777777" w:rsidR="00F44783" w:rsidRPr="00D46683" w:rsidRDefault="00F44783" w:rsidP="00F44783">
      <w:pPr>
        <w:pStyle w:val="SCa"/>
        <w:tabs>
          <w:tab w:val="clear" w:pos="1080"/>
        </w:tabs>
        <w:snapToGrid/>
        <w:spacing w:after="0"/>
        <w:ind w:left="0"/>
      </w:pPr>
      <w:r w:rsidRPr="00D46683">
        <w:t>b.</w:t>
      </w:r>
      <w:r w:rsidRPr="00D46683">
        <w:tab/>
        <w:t>Management advice and implications</w:t>
      </w:r>
    </w:p>
    <w:p w14:paraId="3E603D06" w14:textId="77777777" w:rsidR="00F44783" w:rsidRPr="00D46683" w:rsidRDefault="00F44783" w:rsidP="00F44783">
      <w:pPr>
        <w:pStyle w:val="SCa"/>
        <w:snapToGrid/>
        <w:spacing w:after="0"/>
      </w:pPr>
    </w:p>
    <w:p w14:paraId="0D11D40B" w14:textId="3180F40B" w:rsidR="00F44783" w:rsidRPr="00D46683" w:rsidRDefault="00F44783" w:rsidP="00F44783">
      <w:pPr>
        <w:numPr>
          <w:ilvl w:val="0"/>
          <w:numId w:val="2"/>
        </w:numPr>
        <w:autoSpaceDE w:val="0"/>
        <w:autoSpaceDN w:val="0"/>
        <w:adjustRightInd w:val="0"/>
        <w:spacing w:after="0" w:line="240" w:lineRule="auto"/>
        <w:jc w:val="both"/>
        <w:rPr>
          <w:rFonts w:ascii="Times New Roman" w:eastAsia="Batang" w:hAnsi="Times New Roman" w:cs="Times New Roman"/>
          <w:lang w:eastAsia="ko-KR"/>
        </w:rPr>
      </w:pPr>
      <w:r w:rsidRPr="00D46683">
        <w:rPr>
          <w:rFonts w:ascii="Times New Roman" w:hAnsi="Times New Roman" w:cs="Times New Roman"/>
          <w:lang w:val="en-NZ" w:eastAsia="en-NZ"/>
        </w:rPr>
        <w:t>SC14 noted that no management advice has been provided since SC13 for south Pacific</w:t>
      </w:r>
      <w:r w:rsidRPr="00D46683">
        <w:rPr>
          <w:rFonts w:ascii="Times New Roman" w:eastAsia="Batang" w:hAnsi="Times New Roman" w:cs="Times New Roman"/>
          <w:lang w:eastAsia="ko-KR"/>
        </w:rPr>
        <w:t xml:space="preserve"> swordfish. Therefore, previous advice should be maintained, pending a new assessment or other new information. </w:t>
      </w:r>
      <w:r w:rsidRPr="00D46683">
        <w:rPr>
          <w:rFonts w:ascii="Times New Roman" w:eastAsia="Batang" w:hAnsi="Times New Roman" w:cs="Times New Roman"/>
          <w:lang w:val="en-AU" w:eastAsia="ko-KR"/>
        </w:rPr>
        <w:t xml:space="preserve">For further information on the management advice and implications from SC13, please see </w:t>
      </w:r>
      <w:hyperlink r:id="rId18" w:history="1">
        <w:r w:rsidRPr="00D46683">
          <w:rPr>
            <w:rStyle w:val="Hyperlink"/>
            <w:rFonts w:ascii="Times New Roman" w:hAnsi="Times New Roman" w:cs="Times New Roman"/>
          </w:rPr>
          <w:t>https://www.wcpfc.int/node/29904</w:t>
        </w:r>
      </w:hyperlink>
      <w:r w:rsidRPr="00D46683">
        <w:rPr>
          <w:rStyle w:val="Hyperlink"/>
          <w:rFonts w:ascii="Times New Roman" w:eastAsiaTheme="minorEastAsia" w:hAnsi="Times New Roman" w:cs="Times New Roman"/>
          <w:lang w:eastAsia="ko-KR"/>
        </w:rPr>
        <w:t xml:space="preserve"> </w:t>
      </w:r>
      <w:r w:rsidRPr="00D46683">
        <w:rPr>
          <w:rFonts w:ascii="Times New Roman" w:eastAsia="Batang" w:hAnsi="Times New Roman" w:cs="Times New Roman"/>
          <w:u w:val="single"/>
          <w:lang w:val="en-AU" w:eastAsia="ko-KR"/>
        </w:rPr>
        <w:t xml:space="preserve"> </w:t>
      </w:r>
    </w:p>
    <w:p w14:paraId="00005AB4" w14:textId="6755CDBE" w:rsidR="00F44783" w:rsidRPr="00D46683" w:rsidRDefault="00F44783" w:rsidP="00F44783">
      <w:pPr>
        <w:autoSpaceDE w:val="0"/>
        <w:autoSpaceDN w:val="0"/>
        <w:adjustRightInd w:val="0"/>
        <w:spacing w:after="0" w:line="240" w:lineRule="auto"/>
        <w:jc w:val="both"/>
        <w:rPr>
          <w:rFonts w:ascii="Times New Roman" w:eastAsia="Batang" w:hAnsi="Times New Roman" w:cs="Times New Roman"/>
          <w:b/>
          <w:lang w:eastAsia="ko-KR"/>
        </w:rPr>
      </w:pPr>
    </w:p>
    <w:p w14:paraId="61C2DF7E" w14:textId="77777777" w:rsidR="00F44783" w:rsidRPr="00D46683" w:rsidRDefault="00F44783" w:rsidP="00F44783">
      <w:pPr>
        <w:autoSpaceDE w:val="0"/>
        <w:autoSpaceDN w:val="0"/>
        <w:adjustRightInd w:val="0"/>
        <w:spacing w:after="0" w:line="240" w:lineRule="auto"/>
        <w:jc w:val="both"/>
        <w:rPr>
          <w:rFonts w:ascii="Times New Roman" w:eastAsia="Batang" w:hAnsi="Times New Roman" w:cs="Times New Roman"/>
          <w:b/>
          <w:lang w:eastAsia="ko-KR"/>
        </w:rPr>
      </w:pPr>
    </w:p>
    <w:p w14:paraId="0E11B94A" w14:textId="73F9749A" w:rsidR="004B05DF" w:rsidRPr="00D46683" w:rsidRDefault="004B05DF" w:rsidP="00F44783">
      <w:pPr>
        <w:pStyle w:val="Heading1"/>
        <w:adjustRightInd w:val="0"/>
        <w:spacing w:before="0" w:line="240" w:lineRule="auto"/>
        <w:rPr>
          <w:rFonts w:ascii="Times New Roman Bold" w:hAnsi="Times New Roman Bold" w:cs="Times New Roman" w:hint="eastAsia"/>
          <w:b/>
          <w:caps/>
          <w:sz w:val="28"/>
        </w:rPr>
      </w:pPr>
      <w:bookmarkStart w:id="9" w:name="_Toc95983123"/>
      <w:r w:rsidRPr="00D46683">
        <w:rPr>
          <w:rFonts w:ascii="Times New Roman Bold" w:hAnsi="Times New Roman Bold" w:cs="Times New Roman"/>
          <w:b/>
          <w:caps/>
          <w:sz w:val="28"/>
        </w:rPr>
        <w:t>SC13</w:t>
      </w:r>
      <w:r w:rsidR="000B3805">
        <w:rPr>
          <w:rFonts w:ascii="Times New Roman Bold" w:hAnsi="Times New Roman Bold" w:cs="Times New Roman"/>
          <w:b/>
          <w:caps/>
          <w:sz w:val="28"/>
        </w:rPr>
        <w:t>-</w:t>
      </w:r>
      <w:r w:rsidRPr="00D46683">
        <w:rPr>
          <w:rFonts w:ascii="Times New Roman Bold" w:hAnsi="Times New Roman Bold" w:cs="Times New Roman"/>
          <w:b/>
          <w:caps/>
          <w:sz w:val="28"/>
        </w:rPr>
        <w:t xml:space="preserve">2017 </w:t>
      </w:r>
      <w:r w:rsidR="00DC50D2" w:rsidRPr="00D46683">
        <w:rPr>
          <w:rFonts w:ascii="Times New Roman Bold" w:hAnsi="Times New Roman Bold" w:cs="Times New Roman"/>
          <w:b/>
          <w:caps/>
          <w:sz w:val="28"/>
        </w:rPr>
        <w:t>(Stock Assessment Conducted</w:t>
      </w:r>
      <w:r w:rsidR="004F5329" w:rsidRPr="00D46683">
        <w:rPr>
          <w:rFonts w:ascii="Times New Roman Bold" w:hAnsi="Times New Roman Bold" w:cs="Times New Roman"/>
          <w:b/>
          <w:caps/>
          <w:sz w:val="28"/>
        </w:rPr>
        <w:t>)</w:t>
      </w:r>
      <w:bookmarkEnd w:id="9"/>
    </w:p>
    <w:p w14:paraId="58FDF3F8" w14:textId="77777777" w:rsidR="004F5329" w:rsidRPr="00D46683" w:rsidRDefault="004F5329" w:rsidP="00F44783">
      <w:pPr>
        <w:adjustRightInd w:val="0"/>
        <w:spacing w:after="0" w:line="240" w:lineRule="auto"/>
        <w:rPr>
          <w:rFonts w:ascii="Times New Roman" w:hAnsi="Times New Roman" w:cs="Times New Roman"/>
        </w:rPr>
      </w:pPr>
    </w:p>
    <w:p w14:paraId="30DB897B" w14:textId="77777777" w:rsidR="00F44783" w:rsidRPr="00D46683" w:rsidRDefault="00F44783" w:rsidP="00F44783">
      <w:pPr>
        <w:pStyle w:val="WCPFC"/>
        <w:numPr>
          <w:ilvl w:val="0"/>
          <w:numId w:val="18"/>
        </w:numPr>
        <w:adjustRightInd w:val="0"/>
        <w:snapToGrid/>
        <w:spacing w:after="0"/>
        <w:rPr>
          <w:rFonts w:cs="Times New Roman"/>
          <w:bCs/>
          <w:lang w:val="en-US"/>
        </w:rPr>
      </w:pPr>
      <w:bookmarkStart w:id="10" w:name="_Toc495323856"/>
      <w:r w:rsidRPr="00D46683">
        <w:rPr>
          <w:rFonts w:cs="Times New Roman"/>
          <w:bCs/>
          <w:lang w:val="en-US"/>
        </w:rPr>
        <w:t xml:space="preserve">SC13 endorsed the 2017 SWO stock assessment as the best and most up to date scientific information available for this species. </w:t>
      </w:r>
    </w:p>
    <w:p w14:paraId="7135F11F" w14:textId="77777777" w:rsidR="00F44783" w:rsidRPr="00D46683" w:rsidRDefault="00F44783" w:rsidP="00F44783">
      <w:pPr>
        <w:pStyle w:val="ListParagraph"/>
        <w:adjustRightInd w:val="0"/>
        <w:ind w:left="0" w:firstLine="0"/>
        <w:contextualSpacing w:val="0"/>
        <w:rPr>
          <w:rFonts w:ascii="Times New Roman" w:hAnsi="Times New Roman"/>
          <w:bCs/>
          <w:lang w:val="en-US"/>
        </w:rPr>
      </w:pPr>
    </w:p>
    <w:p w14:paraId="3D70305E" w14:textId="77777777" w:rsidR="00F44783" w:rsidRPr="00D46683" w:rsidRDefault="00F44783" w:rsidP="00F44783">
      <w:pPr>
        <w:pStyle w:val="WCPFC"/>
        <w:adjustRightInd w:val="0"/>
        <w:snapToGrid/>
        <w:spacing w:after="0"/>
        <w:rPr>
          <w:rFonts w:cs="Times New Roman"/>
          <w:bCs/>
          <w:lang w:val="en-US"/>
        </w:rPr>
      </w:pPr>
      <w:r w:rsidRPr="00D46683">
        <w:rPr>
          <w:rFonts w:cs="Times New Roman"/>
          <w:bCs/>
          <w:lang w:val="en-US"/>
        </w:rPr>
        <w:t xml:space="preserve">SC13 also endorsed the use of the SWO assessment model uncertainty grid to characterize stock status and management advice and implications. </w:t>
      </w:r>
    </w:p>
    <w:p w14:paraId="13FC549A" w14:textId="77777777" w:rsidR="00F44783" w:rsidRPr="00D46683" w:rsidRDefault="00F44783" w:rsidP="00F44783">
      <w:pPr>
        <w:pStyle w:val="WCPFC"/>
        <w:numPr>
          <w:ilvl w:val="0"/>
          <w:numId w:val="0"/>
        </w:numPr>
        <w:adjustRightInd w:val="0"/>
        <w:snapToGrid/>
        <w:spacing w:after="0"/>
        <w:ind w:left="567"/>
        <w:rPr>
          <w:rFonts w:cs="Times New Roman"/>
          <w:lang w:val="en-US"/>
        </w:rPr>
      </w:pPr>
    </w:p>
    <w:p w14:paraId="5246523D" w14:textId="77777777" w:rsidR="00F44783" w:rsidRPr="00D46683" w:rsidRDefault="00F44783" w:rsidP="00F44783">
      <w:pPr>
        <w:pStyle w:val="ListParagraph"/>
        <w:numPr>
          <w:ilvl w:val="0"/>
          <w:numId w:val="11"/>
        </w:numPr>
        <w:adjustRightInd w:val="0"/>
        <w:ind w:left="0" w:firstLine="0"/>
        <w:contextualSpacing w:val="0"/>
        <w:rPr>
          <w:rFonts w:ascii="Times New Roman" w:eastAsia="Times New Roman" w:hAnsi="Times New Roman"/>
          <w:b/>
          <w:lang w:val="en-US" w:eastAsia="ja-JP"/>
        </w:rPr>
      </w:pPr>
      <w:r w:rsidRPr="00D46683">
        <w:rPr>
          <w:rFonts w:ascii="Times New Roman" w:eastAsia="Times New Roman" w:hAnsi="Times New Roman"/>
          <w:b/>
          <w:lang w:val="en-US" w:eastAsia="ja-JP"/>
        </w:rPr>
        <w:t>Stock status and trends</w:t>
      </w:r>
    </w:p>
    <w:p w14:paraId="6ECDD423" w14:textId="77777777" w:rsidR="00F44783" w:rsidRPr="00D46683" w:rsidRDefault="00F44783" w:rsidP="00F44783">
      <w:pPr>
        <w:pStyle w:val="ListParagraph"/>
        <w:adjustRightInd w:val="0"/>
        <w:ind w:firstLine="0"/>
        <w:contextualSpacing w:val="0"/>
        <w:rPr>
          <w:rFonts w:ascii="Times New Roman" w:eastAsia="Times New Roman" w:hAnsi="Times New Roman"/>
          <w:b/>
          <w:lang w:val="en-US" w:eastAsia="ja-JP"/>
        </w:rPr>
      </w:pPr>
    </w:p>
    <w:p w14:paraId="695024B8"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The median values of relative recent (2012-2015) spawning biomass (SB</w:t>
      </w:r>
      <w:r w:rsidRPr="00D46683">
        <w:rPr>
          <w:rFonts w:ascii="Times New Roman" w:hAnsi="Times New Roman" w:cs="Times New Roman"/>
          <w:bCs/>
          <w:vertAlign w:val="subscript"/>
          <w:lang w:val="en-AU"/>
        </w:rPr>
        <w:t>recent</w:t>
      </w:r>
      <w:r w:rsidRPr="00D46683">
        <w:rPr>
          <w:rFonts w:ascii="Times New Roman" w:hAnsi="Times New Roman" w:cs="Times New Roman"/>
          <w:bCs/>
          <w:lang w:val="en-AU"/>
        </w:rPr>
        <w:t>/SB</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and relative recent fishing mortality (F</w:t>
      </w:r>
      <w:r w:rsidRPr="00D46683">
        <w:rPr>
          <w:rFonts w:ascii="Times New Roman" w:hAnsi="Times New Roman" w:cs="Times New Roman"/>
          <w:bCs/>
          <w:vertAlign w:val="subscript"/>
          <w:lang w:val="en-AU"/>
        </w:rPr>
        <w:t>recent</w:t>
      </w:r>
      <w:r w:rsidRPr="00D46683">
        <w:rPr>
          <w:rFonts w:ascii="Times New Roman" w:hAnsi="Times New Roman" w:cs="Times New Roman"/>
          <w:bCs/>
          <w:lang w:val="en-AU"/>
        </w:rPr>
        <w:t>/F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429D9729" w14:textId="77777777" w:rsidR="00F44783" w:rsidRPr="00D46683" w:rsidRDefault="00F44783" w:rsidP="00F44783">
      <w:pPr>
        <w:autoSpaceDE w:val="0"/>
        <w:autoSpaceDN w:val="0"/>
        <w:adjustRightInd w:val="0"/>
        <w:spacing w:after="0" w:line="240" w:lineRule="auto"/>
        <w:rPr>
          <w:rFonts w:ascii="Times New Roman" w:hAnsi="Times New Roman" w:cs="Times New Roman"/>
          <w:bCs/>
          <w:lang w:val="en-AU"/>
        </w:rPr>
      </w:pPr>
    </w:p>
    <w:p w14:paraId="32BCE473" w14:textId="029F8134" w:rsidR="00F44783" w:rsidRPr="00D46683" w:rsidRDefault="00F44783" w:rsidP="00F44783">
      <w:pPr>
        <w:pStyle w:val="WCPFC"/>
        <w:adjustRightInd w:val="0"/>
        <w:spacing w:after="0"/>
        <w:rPr>
          <w:rFonts w:cs="Times New Roman"/>
        </w:rPr>
      </w:pPr>
      <w:r w:rsidRPr="00D46683">
        <w:rPr>
          <w:rFonts w:cs="Times New Roman"/>
        </w:rPr>
        <w:t xml:space="preserve">Description of the updated structural sensitivity grid used to characterize uncertainty in the assessment is provided in Table SWO-1. Time trends in estimated catch, recruitment, biomass, fishing mortality and depletion are shown in Figures SWO-1 – 5.  Figures SWO-6 and SWO-7 show Majuro plot summarising the results for each of the models in the structural uncertainty grid retained for management advice. Kobe plots are shown in Figures SWO-8 and SWO-9. </w:t>
      </w:r>
      <w:r w:rsidRPr="00D46683">
        <w:rPr>
          <w:rFonts w:cs="Times New Roman"/>
          <w:lang w:eastAsia="ko-KR"/>
        </w:rPr>
        <w:t>Figure SWO-10 provides estimated</w:t>
      </w:r>
      <w:r w:rsidRPr="00D46683">
        <w:rPr>
          <w:rFonts w:cs="Times New Roman"/>
        </w:rPr>
        <w:t xml:space="preserve"> time-series (or “dynamic”) Majuro and Kobe plots from the SW Pacific swordfish ‘diagnostic case’ model run</w:t>
      </w:r>
      <w:r w:rsidRPr="00D46683">
        <w:rPr>
          <w:rFonts w:cs="Times New Roman"/>
          <w:lang w:eastAsia="ko-KR"/>
        </w:rPr>
        <w:t xml:space="preserve">. </w:t>
      </w:r>
      <w:r w:rsidRPr="00D46683">
        <w:rPr>
          <w:rFonts w:eastAsia="PMingLiU" w:cs="Times New Roman"/>
          <w:lang w:eastAsia="zh-TW"/>
        </w:rPr>
        <w:t xml:space="preserve">Figure </w:t>
      </w:r>
      <w:r w:rsidRPr="00D46683">
        <w:rPr>
          <w:rFonts w:eastAsia="Times New Roman" w:cs="Times New Roman"/>
          <w:lang w:eastAsia="ja-JP"/>
        </w:rPr>
        <w:t>SWO-1</w:t>
      </w:r>
      <w:r w:rsidRPr="00D46683">
        <w:rPr>
          <w:rFonts w:cs="Times New Roman"/>
          <w:lang w:eastAsia="ko-KR"/>
        </w:rPr>
        <w:t>1 shows</w:t>
      </w:r>
      <w:r w:rsidRPr="00D46683">
        <w:rPr>
          <w:rFonts w:eastAsia="PMingLiU" w:cs="Times New Roman"/>
          <w:lang w:eastAsia="zh-TW"/>
        </w:rPr>
        <w:t xml:space="preserve"> Estimates of reduction in spawning potential due to fishing by region, and over all regions (lower </w:t>
      </w:r>
      <w:r w:rsidRPr="00D46683">
        <w:rPr>
          <w:rFonts w:eastAsia="Times New Roman" w:cs="Times New Roman"/>
          <w:lang w:eastAsia="ja-JP"/>
        </w:rPr>
        <w:t>left</w:t>
      </w:r>
      <w:r w:rsidRPr="00D46683">
        <w:rPr>
          <w:rFonts w:eastAsia="PMingLiU" w:cs="Times New Roman"/>
          <w:lang w:eastAsia="zh-TW"/>
        </w:rPr>
        <w:t xml:space="preserve"> panel), attributed to various fishery groups (distant water ‘north’, ‘central’ and ‘south’, corresponding to the model regions, and a combined domestic fleet) for the diagnostic case model.</w:t>
      </w:r>
      <w:r w:rsidRPr="00D46683">
        <w:rPr>
          <w:rFonts w:eastAsia="Times New Roman" w:cs="Times New Roman"/>
          <w:lang w:eastAsia="ja-JP"/>
        </w:rPr>
        <w:t xml:space="preserve"> </w:t>
      </w:r>
      <w:r w:rsidRPr="00D46683">
        <w:rPr>
          <w:rFonts w:cs="Times New Roman"/>
        </w:rPr>
        <w:t xml:space="preserve">Summary of reference points over all 72 individual models in the structural uncertainty grid are shown in Table SWO-2.  </w:t>
      </w:r>
    </w:p>
    <w:p w14:paraId="1394E07A" w14:textId="77777777" w:rsidR="00F44783" w:rsidRPr="00D46683" w:rsidRDefault="00F44783" w:rsidP="00F44783">
      <w:pPr>
        <w:pStyle w:val="WCPFC"/>
        <w:numPr>
          <w:ilvl w:val="0"/>
          <w:numId w:val="0"/>
        </w:numPr>
        <w:adjustRightInd w:val="0"/>
        <w:snapToGrid/>
        <w:spacing w:after="0"/>
        <w:ind w:left="567"/>
        <w:rPr>
          <w:rFonts w:cs="Times New Roman"/>
          <w:lang w:val="en-US"/>
        </w:rPr>
      </w:pPr>
    </w:p>
    <w:p w14:paraId="517473D9" w14:textId="77777777" w:rsidR="00F44783" w:rsidRPr="00D46683" w:rsidRDefault="00F44783" w:rsidP="00F44783">
      <w:pPr>
        <w:adjustRightInd w:val="0"/>
        <w:spacing w:after="0" w:line="240" w:lineRule="auto"/>
        <w:rPr>
          <w:rFonts w:ascii="Times New Roman" w:eastAsia="MS Mincho" w:hAnsi="Times New Roman" w:cs="Times New Roman"/>
        </w:rPr>
      </w:pPr>
      <w:r w:rsidRPr="00D46683">
        <w:rPr>
          <w:rFonts w:ascii="Times New Roman" w:eastAsia="MS Mincho" w:hAnsi="Times New Roman" w:cs="Times New Roman"/>
          <w:b/>
          <w:bCs/>
        </w:rPr>
        <w:t>Table SWO-1</w:t>
      </w:r>
      <w:r w:rsidRPr="00D46683">
        <w:rPr>
          <w:rFonts w:ascii="Times New Roman" w:eastAsia="MS Mincho" w:hAnsi="Times New Roman" w:cs="Times New Roman"/>
          <w:b/>
        </w:rPr>
        <w:t xml:space="preserve">: </w:t>
      </w:r>
      <w:r w:rsidRPr="00D46683">
        <w:rPr>
          <w:rFonts w:ascii="Times New Roman" w:eastAsia="MS Mincho" w:hAnsi="Times New Roman" w:cs="Times New Roman"/>
        </w:rPr>
        <w:t>Description of the structural sensitivity grid used to characterize uncertainty in the assessment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80"/>
        <w:gridCol w:w="3081"/>
        <w:gridCol w:w="3081"/>
      </w:tblGrid>
      <w:tr w:rsidR="00F44783" w:rsidRPr="00D46683" w14:paraId="40762182" w14:textId="77777777" w:rsidTr="00573C70">
        <w:tc>
          <w:tcPr>
            <w:tcW w:w="3080" w:type="dxa"/>
            <w:tcBorders>
              <w:bottom w:val="single" w:sz="4" w:space="0" w:color="auto"/>
            </w:tcBorders>
            <w:shd w:val="clear" w:color="auto" w:fill="auto"/>
          </w:tcPr>
          <w:p w14:paraId="7B8D2944"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Axis</w:t>
            </w:r>
          </w:p>
        </w:tc>
        <w:tc>
          <w:tcPr>
            <w:tcW w:w="3081" w:type="dxa"/>
            <w:tcBorders>
              <w:bottom w:val="single" w:sz="4" w:space="0" w:color="auto"/>
            </w:tcBorders>
            <w:shd w:val="clear" w:color="auto" w:fill="auto"/>
          </w:tcPr>
          <w:p w14:paraId="717502F2"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Levels</w:t>
            </w:r>
          </w:p>
        </w:tc>
        <w:tc>
          <w:tcPr>
            <w:tcW w:w="3081" w:type="dxa"/>
            <w:tcBorders>
              <w:bottom w:val="single" w:sz="4" w:space="0" w:color="auto"/>
            </w:tcBorders>
            <w:shd w:val="clear" w:color="auto" w:fill="auto"/>
          </w:tcPr>
          <w:p w14:paraId="30FEF7D3"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Option</w:t>
            </w:r>
          </w:p>
        </w:tc>
      </w:tr>
      <w:tr w:rsidR="00F44783" w:rsidRPr="00D46683" w14:paraId="17822202" w14:textId="77777777" w:rsidTr="00573C70">
        <w:tc>
          <w:tcPr>
            <w:tcW w:w="3080" w:type="dxa"/>
            <w:tcBorders>
              <w:bottom w:val="nil"/>
            </w:tcBorders>
            <w:shd w:val="clear" w:color="auto" w:fill="auto"/>
          </w:tcPr>
          <w:p w14:paraId="0EF0597D"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Steepness</w:t>
            </w:r>
          </w:p>
        </w:tc>
        <w:tc>
          <w:tcPr>
            <w:tcW w:w="3081" w:type="dxa"/>
            <w:tcBorders>
              <w:bottom w:val="nil"/>
            </w:tcBorders>
            <w:shd w:val="clear" w:color="auto" w:fill="auto"/>
          </w:tcPr>
          <w:p w14:paraId="35A5BB0C"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3</w:t>
            </w:r>
          </w:p>
        </w:tc>
        <w:tc>
          <w:tcPr>
            <w:tcW w:w="3081" w:type="dxa"/>
            <w:tcBorders>
              <w:bottom w:val="nil"/>
            </w:tcBorders>
            <w:shd w:val="clear" w:color="auto" w:fill="auto"/>
          </w:tcPr>
          <w:p w14:paraId="32057C66"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0.65, 0.80, 0.95</w:t>
            </w:r>
          </w:p>
        </w:tc>
      </w:tr>
      <w:tr w:rsidR="00F44783" w:rsidRPr="00D46683" w14:paraId="058CE710" w14:textId="77777777" w:rsidTr="00573C70">
        <w:tc>
          <w:tcPr>
            <w:tcW w:w="3080" w:type="dxa"/>
            <w:tcBorders>
              <w:top w:val="nil"/>
              <w:bottom w:val="nil"/>
            </w:tcBorders>
            <w:shd w:val="clear" w:color="auto" w:fill="auto"/>
          </w:tcPr>
          <w:p w14:paraId="765F6F1B"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Diffusion rate</w:t>
            </w:r>
          </w:p>
        </w:tc>
        <w:tc>
          <w:tcPr>
            <w:tcW w:w="3081" w:type="dxa"/>
            <w:tcBorders>
              <w:top w:val="nil"/>
              <w:bottom w:val="nil"/>
            </w:tcBorders>
            <w:shd w:val="clear" w:color="auto" w:fill="auto"/>
          </w:tcPr>
          <w:p w14:paraId="46364A7B"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3</w:t>
            </w:r>
          </w:p>
        </w:tc>
        <w:tc>
          <w:tcPr>
            <w:tcW w:w="3081" w:type="dxa"/>
            <w:tcBorders>
              <w:top w:val="nil"/>
              <w:bottom w:val="nil"/>
            </w:tcBorders>
            <w:shd w:val="clear" w:color="auto" w:fill="auto"/>
          </w:tcPr>
          <w:p w14:paraId="2BD42B46"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0, 0.11, 0.25</w:t>
            </w:r>
          </w:p>
        </w:tc>
      </w:tr>
      <w:tr w:rsidR="00F44783" w:rsidRPr="00D46683" w14:paraId="01145821" w14:textId="77777777" w:rsidTr="00573C70">
        <w:tc>
          <w:tcPr>
            <w:tcW w:w="3080" w:type="dxa"/>
            <w:tcBorders>
              <w:top w:val="nil"/>
              <w:bottom w:val="nil"/>
            </w:tcBorders>
            <w:shd w:val="clear" w:color="auto" w:fill="auto"/>
          </w:tcPr>
          <w:p w14:paraId="098900FF"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Size frequency weighting</w:t>
            </w:r>
          </w:p>
        </w:tc>
        <w:tc>
          <w:tcPr>
            <w:tcW w:w="3081" w:type="dxa"/>
            <w:tcBorders>
              <w:top w:val="nil"/>
              <w:bottom w:val="nil"/>
            </w:tcBorders>
            <w:shd w:val="clear" w:color="auto" w:fill="auto"/>
          </w:tcPr>
          <w:p w14:paraId="67F7E23E"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2</w:t>
            </w:r>
          </w:p>
        </w:tc>
        <w:tc>
          <w:tcPr>
            <w:tcW w:w="3081" w:type="dxa"/>
            <w:tcBorders>
              <w:top w:val="nil"/>
              <w:bottom w:val="nil"/>
            </w:tcBorders>
            <w:shd w:val="clear" w:color="auto" w:fill="auto"/>
          </w:tcPr>
          <w:p w14:paraId="2BAF59CA"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Sample size divided by 20,40</w:t>
            </w:r>
          </w:p>
        </w:tc>
      </w:tr>
      <w:tr w:rsidR="00F44783" w:rsidRPr="00D46683" w14:paraId="0487B306" w14:textId="77777777" w:rsidTr="00573C70">
        <w:tc>
          <w:tcPr>
            <w:tcW w:w="3080" w:type="dxa"/>
            <w:tcBorders>
              <w:top w:val="nil"/>
            </w:tcBorders>
            <w:shd w:val="clear" w:color="auto" w:fill="auto"/>
          </w:tcPr>
          <w:p w14:paraId="048590E1"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Natural mortality vectors</w:t>
            </w:r>
          </w:p>
        </w:tc>
        <w:tc>
          <w:tcPr>
            <w:tcW w:w="3081" w:type="dxa"/>
            <w:tcBorders>
              <w:top w:val="nil"/>
            </w:tcBorders>
            <w:shd w:val="clear" w:color="auto" w:fill="auto"/>
          </w:tcPr>
          <w:p w14:paraId="1313C5A2"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4</w:t>
            </w:r>
          </w:p>
        </w:tc>
        <w:tc>
          <w:tcPr>
            <w:tcW w:w="3081" w:type="dxa"/>
            <w:tcBorders>
              <w:top w:val="nil"/>
            </w:tcBorders>
            <w:shd w:val="clear" w:color="auto" w:fill="auto"/>
          </w:tcPr>
          <w:p w14:paraId="7891982B" w14:textId="77777777" w:rsidR="00F44783" w:rsidRPr="00D46683" w:rsidRDefault="00F44783" w:rsidP="00F44783">
            <w:pPr>
              <w:adjustRightInd w:val="0"/>
              <w:spacing w:after="0" w:line="240" w:lineRule="auto"/>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M1,M2,M3, M4</w:t>
            </w:r>
          </w:p>
        </w:tc>
      </w:tr>
    </w:tbl>
    <w:p w14:paraId="64EBAD8B" w14:textId="77777777" w:rsidR="00F44783" w:rsidRPr="00D46683" w:rsidRDefault="00F44783" w:rsidP="00F44783">
      <w:pPr>
        <w:adjustRightInd w:val="0"/>
        <w:spacing w:after="0" w:line="240" w:lineRule="auto"/>
        <w:rPr>
          <w:rFonts w:ascii="Times New Roman" w:eastAsia="MS Mincho" w:hAnsi="Times New Roman" w:cs="Times New Roman"/>
        </w:rPr>
      </w:pPr>
    </w:p>
    <w:p w14:paraId="406D8876" w14:textId="77777777" w:rsidR="00F44783" w:rsidRPr="00D46683" w:rsidRDefault="00F44783" w:rsidP="00F44783">
      <w:pPr>
        <w:adjustRightInd w:val="0"/>
        <w:spacing w:after="0" w:line="240" w:lineRule="auto"/>
        <w:rPr>
          <w:rFonts w:ascii="Times New Roman" w:eastAsia="MS Mincho" w:hAnsi="Times New Roman" w:cs="Times New Roman"/>
        </w:rPr>
      </w:pPr>
    </w:p>
    <w:p w14:paraId="4518DDF9" w14:textId="77777777" w:rsidR="00F44783" w:rsidRPr="00D46683" w:rsidRDefault="00F44783" w:rsidP="00F44783">
      <w:pPr>
        <w:adjustRightInd w:val="0"/>
        <w:spacing w:after="0" w:line="240" w:lineRule="auto"/>
        <w:rPr>
          <w:rFonts w:ascii="Times New Roman" w:eastAsia="MS Mincho"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563"/>
      </w:tblGrid>
      <w:tr w:rsidR="00F44783" w:rsidRPr="00D46683" w14:paraId="54600471" w14:textId="77777777" w:rsidTr="00573C70">
        <w:tc>
          <w:tcPr>
            <w:tcW w:w="4788" w:type="dxa"/>
          </w:tcPr>
          <w:p w14:paraId="660881C1" w14:textId="77777777" w:rsidR="00F44783" w:rsidRPr="00D46683" w:rsidRDefault="00F44783" w:rsidP="00F44783">
            <w:pPr>
              <w:adjustRightInd w:val="0"/>
              <w:rPr>
                <w:rFonts w:ascii="Times New Roman" w:eastAsia="MS Mincho" w:hAnsi="Times New Roman" w:cs="Times New Roman"/>
              </w:rPr>
            </w:pPr>
            <w:r w:rsidRPr="00D46683">
              <w:rPr>
                <w:rFonts w:ascii="Times New Roman" w:eastAsia="MS Mincho" w:hAnsi="Times New Roman" w:cs="Times New Roman"/>
                <w:noProof/>
                <w:lang w:eastAsia="zh-CN" w:bidi="mn-Mong-CN"/>
              </w:rPr>
              <w:drawing>
                <wp:inline distT="0" distB="0" distL="0" distR="0" wp14:anchorId="4F310049" wp14:editId="25E4E243">
                  <wp:extent cx="2949454" cy="1690576"/>
                  <wp:effectExtent l="0" t="0" r="3810" b="5080"/>
                  <wp:docPr id="97"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668" cy="1690125"/>
                          </a:xfrm>
                          <a:prstGeom prst="rect">
                            <a:avLst/>
                          </a:prstGeom>
                          <a:noFill/>
                          <a:ln>
                            <a:noFill/>
                          </a:ln>
                        </pic:spPr>
                      </pic:pic>
                    </a:graphicData>
                  </a:graphic>
                </wp:inline>
              </w:drawing>
            </w:r>
          </w:p>
        </w:tc>
        <w:tc>
          <w:tcPr>
            <w:tcW w:w="4788" w:type="dxa"/>
          </w:tcPr>
          <w:p w14:paraId="6F66C352" w14:textId="77777777" w:rsidR="00F44783" w:rsidRPr="00D46683" w:rsidRDefault="00F44783" w:rsidP="00F44783">
            <w:pPr>
              <w:adjustRightInd w:val="0"/>
              <w:rPr>
                <w:rFonts w:ascii="Times New Roman" w:eastAsia="MS Mincho" w:hAnsi="Times New Roman" w:cs="Times New Roman"/>
              </w:rPr>
            </w:pPr>
            <w:r w:rsidRPr="00D46683">
              <w:rPr>
                <w:rFonts w:ascii="Times New Roman" w:hAnsi="Times New Roman" w:cs="Times New Roman"/>
                <w:noProof/>
                <w:lang w:eastAsia="zh-CN" w:bidi="mn-Mong-CN"/>
              </w:rPr>
              <w:drawing>
                <wp:inline distT="0" distB="0" distL="0" distR="0" wp14:anchorId="58C8F3D6" wp14:editId="303F4E3B">
                  <wp:extent cx="2892056" cy="1661934"/>
                  <wp:effectExtent l="0" t="0" r="3810" b="0"/>
                  <wp:docPr id="98" name="Picture 37" descr="Fig18_Rec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18_Rec_di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3668" cy="1662860"/>
                          </a:xfrm>
                          <a:prstGeom prst="rect">
                            <a:avLst/>
                          </a:prstGeom>
                          <a:noFill/>
                          <a:ln>
                            <a:noFill/>
                          </a:ln>
                        </pic:spPr>
                      </pic:pic>
                    </a:graphicData>
                  </a:graphic>
                </wp:inline>
              </w:drawing>
            </w:r>
          </w:p>
        </w:tc>
      </w:tr>
      <w:tr w:rsidR="00F44783" w:rsidRPr="00D46683" w14:paraId="5F0B7ED3" w14:textId="77777777" w:rsidTr="00573C70">
        <w:tc>
          <w:tcPr>
            <w:tcW w:w="4788" w:type="dxa"/>
          </w:tcPr>
          <w:p w14:paraId="0297535F" w14:textId="77777777" w:rsidR="00F44783" w:rsidRPr="00D46683" w:rsidRDefault="00F44783" w:rsidP="00F44783">
            <w:pPr>
              <w:adjustRightInd w:val="0"/>
              <w:rPr>
                <w:rFonts w:ascii="Times New Roman" w:eastAsia="MS Mincho" w:hAnsi="Times New Roman" w:cs="Times New Roman"/>
              </w:rPr>
            </w:pPr>
            <w:r w:rsidRPr="00D46683">
              <w:rPr>
                <w:rFonts w:ascii="Times New Roman" w:eastAsia="MS Mincho" w:hAnsi="Times New Roman" w:cs="Times New Roman"/>
                <w:b/>
                <w:bCs/>
              </w:rPr>
              <w:t>Figure SWO-1</w:t>
            </w:r>
            <w:r w:rsidRPr="00D46683">
              <w:rPr>
                <w:rFonts w:ascii="Times New Roman" w:eastAsia="MS PMincho" w:hAnsi="Times New Roman" w:cs="Times New Roman"/>
              </w:rPr>
              <w:t xml:space="preserve">. </w:t>
            </w:r>
            <w:r w:rsidRPr="00D46683">
              <w:rPr>
                <w:rFonts w:ascii="Times New Roman" w:hAnsi="Times New Roman" w:cs="Times New Roman"/>
              </w:rPr>
              <w:t>Total swordfish catches in weight grouped by major longline-method fisheries in the model regions, 1952–2011. (DW1 - distant water fleet region 1; AUS – Australian region 1; Other1 - Other fisheries region 1; DW2 - distant water fleet region 2; NZ2 - New Zealand region 2; EU2 – EU (Spanish) region 2; Other2 - other fisheries region 2)</w:t>
            </w:r>
          </w:p>
          <w:p w14:paraId="026621B5" w14:textId="77777777" w:rsidR="00F44783" w:rsidRPr="00D46683" w:rsidRDefault="00F44783" w:rsidP="00F44783">
            <w:pPr>
              <w:adjustRightInd w:val="0"/>
              <w:rPr>
                <w:rFonts w:ascii="Times New Roman" w:eastAsia="MS Mincho" w:hAnsi="Times New Roman" w:cs="Times New Roman"/>
              </w:rPr>
            </w:pPr>
          </w:p>
        </w:tc>
        <w:tc>
          <w:tcPr>
            <w:tcW w:w="4788" w:type="dxa"/>
          </w:tcPr>
          <w:p w14:paraId="2327C718" w14:textId="77777777" w:rsidR="00F44783" w:rsidRPr="00D46683" w:rsidRDefault="00F44783" w:rsidP="00F44783">
            <w:pPr>
              <w:adjustRightInd w:val="0"/>
              <w:rPr>
                <w:rFonts w:ascii="Times New Roman" w:eastAsia="PMingLiU" w:hAnsi="Times New Roman" w:cs="Times New Roman"/>
                <w:lang w:val="en-AU" w:eastAsia="zh-TW"/>
              </w:rPr>
            </w:pPr>
            <w:r w:rsidRPr="00D46683">
              <w:rPr>
                <w:rFonts w:ascii="Times New Roman" w:eastAsia="PMingLiU" w:hAnsi="Times New Roman" w:cs="Times New Roman"/>
                <w:b/>
                <w:bCs/>
                <w:lang w:val="en-AU" w:eastAsia="zh-TW"/>
              </w:rPr>
              <w:t xml:space="preserve">Figure </w:t>
            </w:r>
            <w:r w:rsidRPr="00D46683">
              <w:rPr>
                <w:rFonts w:ascii="Times New Roman" w:hAnsi="Times New Roman" w:cs="Times New Roman"/>
                <w:b/>
                <w:bCs/>
                <w:lang w:val="en-AU" w:eastAsia="ja-JP"/>
              </w:rPr>
              <w:t>SWO</w:t>
            </w:r>
            <w:r w:rsidRPr="00D46683">
              <w:rPr>
                <w:rFonts w:ascii="Times New Roman" w:eastAsia="PMingLiU" w:hAnsi="Times New Roman" w:cs="Times New Roman"/>
                <w:b/>
                <w:bCs/>
                <w:lang w:val="en-AU" w:eastAsia="zh-TW"/>
              </w:rPr>
              <w:t>2</w:t>
            </w:r>
            <w:r w:rsidRPr="00D46683">
              <w:rPr>
                <w:rFonts w:ascii="Times New Roman" w:eastAsia="PMingLiU" w:hAnsi="Times New Roman" w:cs="Times New Roman"/>
                <w:b/>
                <w:lang w:val="en-AU" w:eastAsia="zh-TW"/>
              </w:rPr>
              <w:t xml:space="preserve">. </w:t>
            </w:r>
            <w:r w:rsidRPr="00D46683">
              <w:rPr>
                <w:rFonts w:ascii="Times New Roman" w:eastAsia="PMingLiU" w:hAnsi="Times New Roman" w:cs="Times New Roman"/>
                <w:lang w:val="en-AU" w:eastAsia="zh-TW"/>
              </w:rPr>
              <w:t>Estimated annual average recruitment by model region for the diagnostic case model, showing the relative sizes among regions.</w:t>
            </w:r>
          </w:p>
          <w:p w14:paraId="480D9FE2" w14:textId="77777777" w:rsidR="00F44783" w:rsidRPr="00D46683" w:rsidRDefault="00F44783" w:rsidP="00F44783">
            <w:pPr>
              <w:adjustRightInd w:val="0"/>
              <w:rPr>
                <w:rFonts w:ascii="Times New Roman" w:eastAsiaTheme="minorEastAsia" w:hAnsi="Times New Roman" w:cs="Times New Roman"/>
                <w:lang w:eastAsia="ko-KR"/>
              </w:rPr>
            </w:pPr>
          </w:p>
          <w:p w14:paraId="4DBB6DD4" w14:textId="77777777" w:rsidR="00F44783" w:rsidRPr="00D46683" w:rsidRDefault="00F44783" w:rsidP="00F44783">
            <w:pPr>
              <w:adjustRightInd w:val="0"/>
              <w:rPr>
                <w:rFonts w:ascii="Times New Roman" w:eastAsiaTheme="minorEastAsia" w:hAnsi="Times New Roman" w:cs="Times New Roman"/>
                <w:lang w:eastAsia="ko-KR"/>
              </w:rPr>
            </w:pPr>
          </w:p>
          <w:p w14:paraId="2A7137DB" w14:textId="77777777" w:rsidR="00F44783" w:rsidRPr="00D46683" w:rsidRDefault="00F44783" w:rsidP="00F44783">
            <w:pPr>
              <w:adjustRightInd w:val="0"/>
              <w:rPr>
                <w:rFonts w:ascii="Times New Roman" w:eastAsiaTheme="minorEastAsia" w:hAnsi="Times New Roman" w:cs="Times New Roman"/>
                <w:lang w:eastAsia="ko-KR"/>
              </w:rPr>
            </w:pPr>
          </w:p>
          <w:p w14:paraId="54789E3B" w14:textId="77777777" w:rsidR="00F44783" w:rsidRPr="00D46683" w:rsidRDefault="00F44783" w:rsidP="00F44783">
            <w:pPr>
              <w:adjustRightInd w:val="0"/>
              <w:rPr>
                <w:rFonts w:ascii="Times New Roman" w:eastAsiaTheme="minorEastAsia" w:hAnsi="Times New Roman" w:cs="Times New Roman"/>
                <w:lang w:eastAsia="ko-KR"/>
              </w:rPr>
            </w:pPr>
          </w:p>
          <w:p w14:paraId="325B16D3" w14:textId="77777777" w:rsidR="00F44783" w:rsidRPr="00D46683" w:rsidRDefault="00F44783" w:rsidP="00F44783">
            <w:pPr>
              <w:adjustRightInd w:val="0"/>
              <w:rPr>
                <w:rFonts w:ascii="Times New Roman" w:eastAsiaTheme="minorEastAsia" w:hAnsi="Times New Roman" w:cs="Times New Roman"/>
                <w:lang w:eastAsia="ko-KR"/>
              </w:rPr>
            </w:pPr>
          </w:p>
          <w:p w14:paraId="6B876AE0" w14:textId="77777777" w:rsidR="00F44783" w:rsidRPr="00D46683" w:rsidRDefault="00F44783" w:rsidP="00F44783">
            <w:pPr>
              <w:adjustRightInd w:val="0"/>
              <w:rPr>
                <w:rFonts w:ascii="Times New Roman" w:eastAsiaTheme="minorEastAsia" w:hAnsi="Times New Roman" w:cs="Times New Roman"/>
                <w:lang w:eastAsia="ko-KR"/>
              </w:rPr>
            </w:pPr>
          </w:p>
          <w:p w14:paraId="451C057E" w14:textId="77777777" w:rsidR="00F44783" w:rsidRPr="00D46683" w:rsidRDefault="00F44783" w:rsidP="00F44783">
            <w:pPr>
              <w:adjustRightInd w:val="0"/>
              <w:rPr>
                <w:rFonts w:ascii="Times New Roman" w:eastAsiaTheme="minorEastAsia" w:hAnsi="Times New Roman" w:cs="Times New Roman"/>
                <w:lang w:eastAsia="ko-KR"/>
              </w:rPr>
            </w:pPr>
          </w:p>
        </w:tc>
      </w:tr>
      <w:tr w:rsidR="00F44783" w:rsidRPr="00D46683" w14:paraId="19CEFD5C" w14:textId="77777777" w:rsidTr="00573C70">
        <w:tc>
          <w:tcPr>
            <w:tcW w:w="4788" w:type="dxa"/>
          </w:tcPr>
          <w:p w14:paraId="570D4C80" w14:textId="77777777" w:rsidR="00F44783" w:rsidRPr="00D46683" w:rsidRDefault="00F44783" w:rsidP="00F44783">
            <w:pPr>
              <w:adjustRightInd w:val="0"/>
              <w:rPr>
                <w:rFonts w:ascii="Times New Roman" w:eastAsia="MS Mincho" w:hAnsi="Times New Roman" w:cs="Times New Roman"/>
              </w:rPr>
            </w:pPr>
            <w:r w:rsidRPr="00D46683">
              <w:rPr>
                <w:rFonts w:ascii="Times New Roman" w:eastAsia="PMingLiU" w:hAnsi="Times New Roman" w:cs="Times New Roman"/>
                <w:noProof/>
                <w:lang w:eastAsia="zh-CN" w:bidi="mn-Mong-CN"/>
              </w:rPr>
              <w:drawing>
                <wp:inline distT="0" distB="0" distL="0" distR="0" wp14:anchorId="07A90015" wp14:editId="7974E683">
                  <wp:extent cx="3051544" cy="1739952"/>
                  <wp:effectExtent l="0" t="0" r="0" b="0"/>
                  <wp:docPr id="99" name="Picture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0658" cy="1739447"/>
                          </a:xfrm>
                          <a:prstGeom prst="rect">
                            <a:avLst/>
                          </a:prstGeom>
                          <a:noFill/>
                          <a:ln>
                            <a:noFill/>
                          </a:ln>
                        </pic:spPr>
                      </pic:pic>
                    </a:graphicData>
                  </a:graphic>
                </wp:inline>
              </w:drawing>
            </w:r>
          </w:p>
        </w:tc>
        <w:tc>
          <w:tcPr>
            <w:tcW w:w="4788" w:type="dxa"/>
          </w:tcPr>
          <w:p w14:paraId="343CC143" w14:textId="77777777" w:rsidR="00F44783" w:rsidRPr="00D46683" w:rsidRDefault="00F44783" w:rsidP="00F44783">
            <w:pPr>
              <w:adjustRightInd w:val="0"/>
              <w:rPr>
                <w:rFonts w:ascii="Times New Roman" w:eastAsia="MS Mincho" w:hAnsi="Times New Roman" w:cs="Times New Roman"/>
              </w:rPr>
            </w:pPr>
            <w:r w:rsidRPr="00D46683">
              <w:rPr>
                <w:rFonts w:ascii="Times New Roman" w:hAnsi="Times New Roman" w:cs="Times New Roman"/>
                <w:noProof/>
                <w:lang w:eastAsia="zh-CN" w:bidi="mn-Mong-CN"/>
              </w:rPr>
              <w:drawing>
                <wp:inline distT="0" distB="0" distL="0" distR="0" wp14:anchorId="14BC3B56" wp14:editId="143CFC94">
                  <wp:extent cx="2869495" cy="1648046"/>
                  <wp:effectExtent l="0" t="0" r="7620" b="0"/>
                  <wp:docPr id="100" name="Picture 35" descr="Fig25_FAAtrend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25_FAAtrenddi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693" cy="1652755"/>
                          </a:xfrm>
                          <a:prstGeom prst="rect">
                            <a:avLst/>
                          </a:prstGeom>
                          <a:noFill/>
                          <a:ln>
                            <a:noFill/>
                          </a:ln>
                        </pic:spPr>
                      </pic:pic>
                    </a:graphicData>
                  </a:graphic>
                </wp:inline>
              </w:drawing>
            </w:r>
          </w:p>
        </w:tc>
      </w:tr>
      <w:tr w:rsidR="00F44783" w:rsidRPr="00D46683" w14:paraId="55C2805C" w14:textId="77777777" w:rsidTr="00573C70">
        <w:tc>
          <w:tcPr>
            <w:tcW w:w="4788" w:type="dxa"/>
          </w:tcPr>
          <w:p w14:paraId="34DA79FB" w14:textId="77777777" w:rsidR="00F44783" w:rsidRPr="00D46683" w:rsidRDefault="00F44783" w:rsidP="00F44783">
            <w:pPr>
              <w:adjustRightInd w:val="0"/>
              <w:rPr>
                <w:rFonts w:ascii="Times New Roman" w:eastAsia="PMingLiU" w:hAnsi="Times New Roman" w:cs="Times New Roman"/>
                <w:lang w:val="en-AU" w:eastAsia="zh-TW"/>
              </w:rPr>
            </w:pPr>
            <w:r w:rsidRPr="00D46683">
              <w:rPr>
                <w:rFonts w:ascii="Times New Roman" w:eastAsia="PMingLiU" w:hAnsi="Times New Roman" w:cs="Times New Roman"/>
                <w:b/>
                <w:lang w:val="en-AU" w:eastAsia="zh-TW"/>
              </w:rPr>
              <w:t xml:space="preserve">Figure SWO3. </w:t>
            </w:r>
            <w:r w:rsidRPr="00D46683">
              <w:rPr>
                <w:rFonts w:ascii="Times New Roman" w:eastAsia="PMingLiU" w:hAnsi="Times New Roman" w:cs="Times New Roman"/>
                <w:lang w:val="en-AU" w:eastAsia="zh-TW"/>
              </w:rPr>
              <w:t>Estimated annual average spawning potential by model region for the diagnostic case model, showing the relative sizes among regions.</w:t>
            </w:r>
          </w:p>
          <w:p w14:paraId="3C865791" w14:textId="77777777" w:rsidR="00F44783" w:rsidRPr="00D46683" w:rsidRDefault="00F44783" w:rsidP="00F44783">
            <w:pPr>
              <w:adjustRightInd w:val="0"/>
              <w:rPr>
                <w:rFonts w:ascii="Times New Roman" w:eastAsia="MS Mincho" w:hAnsi="Times New Roman" w:cs="Times New Roman"/>
              </w:rPr>
            </w:pPr>
          </w:p>
        </w:tc>
        <w:tc>
          <w:tcPr>
            <w:tcW w:w="4788" w:type="dxa"/>
          </w:tcPr>
          <w:p w14:paraId="08DA3729" w14:textId="6655C1E0" w:rsidR="00F44783" w:rsidRPr="00D46683" w:rsidRDefault="00F44783" w:rsidP="00F44783">
            <w:pPr>
              <w:adjustRightInd w:val="0"/>
              <w:rPr>
                <w:rFonts w:ascii="Times New Roman" w:eastAsia="MS Mincho" w:hAnsi="Times New Roman" w:cs="Times New Roman"/>
              </w:rPr>
            </w:pPr>
            <w:r w:rsidRPr="00D46683">
              <w:rPr>
                <w:rFonts w:ascii="Times New Roman" w:eastAsia="MS Mincho" w:hAnsi="Times New Roman" w:cs="Times New Roman"/>
                <w:b/>
              </w:rPr>
              <w:t xml:space="preserve">Figure SWO-4. </w:t>
            </w:r>
            <w:r w:rsidRPr="00D46683">
              <w:rPr>
                <w:rFonts w:ascii="Times New Roman" w:eastAsia="MS Mincho" w:hAnsi="Times New Roman" w:cs="Times New Roman"/>
              </w:rPr>
              <w:t>Estimated annual average juvenile (age classes 1-3), maturing adult (4-6) and adult (7+) fishing mortality for the diagnostic case model.</w:t>
            </w:r>
          </w:p>
          <w:p w14:paraId="02FB97A7" w14:textId="08F59D04" w:rsidR="00F44783" w:rsidRPr="00D46683" w:rsidRDefault="00F44783" w:rsidP="00F44783">
            <w:pPr>
              <w:adjustRightInd w:val="0"/>
              <w:rPr>
                <w:rFonts w:ascii="Times New Roman" w:eastAsia="MS Mincho" w:hAnsi="Times New Roman" w:cs="Times New Roman"/>
                <w:bCs/>
              </w:rPr>
            </w:pPr>
          </w:p>
          <w:p w14:paraId="51955089" w14:textId="77777777" w:rsidR="00F44783" w:rsidRPr="00D46683" w:rsidRDefault="00F44783" w:rsidP="00F44783">
            <w:pPr>
              <w:adjustRightInd w:val="0"/>
              <w:rPr>
                <w:rFonts w:ascii="Times New Roman" w:eastAsia="PMingLiU" w:hAnsi="Times New Roman" w:cs="Times New Roman"/>
                <w:bCs/>
                <w:lang w:eastAsia="zh-TW"/>
              </w:rPr>
            </w:pPr>
          </w:p>
          <w:p w14:paraId="3682DF6F" w14:textId="77777777" w:rsidR="00F44783" w:rsidRPr="00D46683" w:rsidRDefault="00F44783" w:rsidP="00F44783">
            <w:pPr>
              <w:adjustRightInd w:val="0"/>
              <w:rPr>
                <w:rFonts w:ascii="Times New Roman" w:eastAsia="MS Mincho" w:hAnsi="Times New Roman" w:cs="Times New Roman"/>
              </w:rPr>
            </w:pPr>
          </w:p>
        </w:tc>
      </w:tr>
    </w:tbl>
    <w:p w14:paraId="21C33DDD" w14:textId="77777777" w:rsidR="00F44783" w:rsidRPr="00D46683" w:rsidRDefault="00F44783" w:rsidP="00F44783">
      <w:pPr>
        <w:adjustRightInd w:val="0"/>
        <w:spacing w:after="0" w:line="240" w:lineRule="auto"/>
        <w:rPr>
          <w:rFonts w:ascii="Times New Roman" w:hAnsi="Times New Roman" w:cs="Times New Roman"/>
          <w:lang w:val="en-AU"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633"/>
      </w:tblGrid>
      <w:tr w:rsidR="00F44783" w:rsidRPr="00D46683" w14:paraId="72B58AA9" w14:textId="77777777" w:rsidTr="00573C70">
        <w:tc>
          <w:tcPr>
            <w:tcW w:w="9576" w:type="dxa"/>
            <w:gridSpan w:val="2"/>
          </w:tcPr>
          <w:p w14:paraId="5A29051A" w14:textId="77777777" w:rsidR="00F44783" w:rsidRPr="00D46683" w:rsidRDefault="00F44783" w:rsidP="00F44783">
            <w:pPr>
              <w:adjustRightInd w:val="0"/>
              <w:jc w:val="center"/>
              <w:rPr>
                <w:rFonts w:ascii="Times New Roman" w:hAnsi="Times New Roman" w:cs="Times New Roman"/>
                <w:lang w:val="en-AU" w:eastAsia="ko-KR"/>
              </w:rPr>
            </w:pPr>
            <w:r w:rsidRPr="00D46683">
              <w:rPr>
                <w:rFonts w:ascii="Times New Roman" w:eastAsia="MS Mincho" w:hAnsi="Times New Roman" w:cs="Times New Roman"/>
                <w:b/>
                <w:noProof/>
                <w:lang w:eastAsia="zh-CN" w:bidi="mn-Mong-CN"/>
              </w:rPr>
              <w:drawing>
                <wp:inline distT="0" distB="0" distL="0" distR="0" wp14:anchorId="02B2854C" wp14:editId="741F6F6E">
                  <wp:extent cx="3986900" cy="2987899"/>
                  <wp:effectExtent l="0" t="0" r="0" b="3175"/>
                  <wp:docPr id="101" name="Picture 34" descr="Fig28d_plot_depletion_compare_2017Grid_steep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28d_plot_depletion_compare_2017Grid_steepne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1319" cy="2998705"/>
                          </a:xfrm>
                          <a:prstGeom prst="rect">
                            <a:avLst/>
                          </a:prstGeom>
                          <a:noFill/>
                          <a:ln>
                            <a:noFill/>
                          </a:ln>
                        </pic:spPr>
                      </pic:pic>
                    </a:graphicData>
                  </a:graphic>
                </wp:inline>
              </w:drawing>
            </w:r>
          </w:p>
        </w:tc>
      </w:tr>
      <w:tr w:rsidR="00F44783" w:rsidRPr="00D46683" w14:paraId="4D4475B0" w14:textId="77777777" w:rsidTr="00573C70">
        <w:tc>
          <w:tcPr>
            <w:tcW w:w="9576" w:type="dxa"/>
            <w:gridSpan w:val="2"/>
          </w:tcPr>
          <w:p w14:paraId="39957BE4" w14:textId="77777777" w:rsidR="00F44783" w:rsidRPr="00D46683" w:rsidRDefault="00F44783" w:rsidP="00F44783">
            <w:pPr>
              <w:adjustRightInd w:val="0"/>
              <w:rPr>
                <w:rFonts w:ascii="Times New Roman" w:eastAsiaTheme="minorEastAsia" w:hAnsi="Times New Roman" w:cs="Times New Roman"/>
                <w:lang w:eastAsia="ko-KR"/>
              </w:rPr>
            </w:pPr>
            <w:r w:rsidRPr="00D46683">
              <w:rPr>
                <w:rFonts w:ascii="Times New Roman" w:eastAsia="MS Mincho" w:hAnsi="Times New Roman" w:cs="Times New Roman"/>
                <w:b/>
                <w:bCs/>
              </w:rPr>
              <w:t>Figure SWO-5</w:t>
            </w:r>
            <w:r w:rsidRPr="00D46683">
              <w:rPr>
                <w:rFonts w:ascii="Times New Roman" w:eastAsia="MS PMincho" w:hAnsi="Times New Roman" w:cs="Times New Roman"/>
                <w:b/>
              </w:rPr>
              <w:t xml:space="preserve">. </w:t>
            </w:r>
            <w:r w:rsidRPr="00D46683">
              <w:rPr>
                <w:rFonts w:ascii="Times New Roman" w:eastAsia="MS PMincho" w:hAnsi="Times New Roman" w:cs="Times New Roman"/>
              </w:rPr>
              <w:t>Plot showing the trajectories of fishing depletion (of spawning potential) for the 72 model runs retained for the structural uncertainty grid used for management advice. The colours depict the models in the grid with three levels of steepness (0.65, 0.8 and 0.95).</w:t>
            </w:r>
          </w:p>
          <w:p w14:paraId="36BEB577" w14:textId="77777777" w:rsidR="00F44783" w:rsidRPr="00D46683" w:rsidRDefault="00F44783" w:rsidP="00F44783">
            <w:pPr>
              <w:adjustRightInd w:val="0"/>
              <w:rPr>
                <w:rFonts w:ascii="Times New Roman" w:eastAsiaTheme="minorEastAsia" w:hAnsi="Times New Roman" w:cs="Times New Roman"/>
                <w:lang w:val="en-AU" w:eastAsia="ko-KR"/>
              </w:rPr>
            </w:pPr>
          </w:p>
        </w:tc>
      </w:tr>
      <w:tr w:rsidR="00F44783" w:rsidRPr="00D46683" w14:paraId="7E42FB28" w14:textId="77777777" w:rsidTr="00573C70">
        <w:tc>
          <w:tcPr>
            <w:tcW w:w="4833" w:type="dxa"/>
            <w:vAlign w:val="center"/>
          </w:tcPr>
          <w:p w14:paraId="5663CA83" w14:textId="77777777" w:rsidR="00F44783" w:rsidRPr="00D46683" w:rsidRDefault="00F44783" w:rsidP="00F44783">
            <w:pPr>
              <w:adjustRightInd w:val="0"/>
              <w:jc w:val="center"/>
              <w:rPr>
                <w:rFonts w:ascii="Times New Roman" w:hAnsi="Times New Roman" w:cs="Times New Roman"/>
                <w:lang w:val="en-AU" w:eastAsia="ko-KR"/>
              </w:rPr>
            </w:pPr>
            <w:r w:rsidRPr="00D46683">
              <w:rPr>
                <w:rFonts w:ascii="Times New Roman" w:eastAsia="MS PMincho" w:hAnsi="Times New Roman" w:cs="Times New Roman"/>
                <w:noProof/>
                <w:lang w:eastAsia="zh-CN" w:bidi="mn-Mong-CN"/>
              </w:rPr>
              <w:drawing>
                <wp:inline distT="0" distB="0" distL="0" distR="0" wp14:anchorId="2C1FDF76" wp14:editId="5DCC75E7">
                  <wp:extent cx="2818356" cy="2635214"/>
                  <wp:effectExtent l="0" t="0" r="1270" b="0"/>
                  <wp:docPr id="102" name="Picture 33" descr="Majuro-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juro-summary-re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0372" cy="2637099"/>
                          </a:xfrm>
                          <a:prstGeom prst="rect">
                            <a:avLst/>
                          </a:prstGeom>
                          <a:noFill/>
                          <a:ln>
                            <a:noFill/>
                          </a:ln>
                        </pic:spPr>
                      </pic:pic>
                    </a:graphicData>
                  </a:graphic>
                </wp:inline>
              </w:drawing>
            </w:r>
          </w:p>
        </w:tc>
        <w:tc>
          <w:tcPr>
            <w:tcW w:w="4743" w:type="dxa"/>
            <w:vAlign w:val="center"/>
          </w:tcPr>
          <w:p w14:paraId="4D5CDACE" w14:textId="77777777" w:rsidR="00F44783" w:rsidRPr="00D46683" w:rsidRDefault="00F44783" w:rsidP="00F44783">
            <w:pPr>
              <w:adjustRightInd w:val="0"/>
              <w:jc w:val="center"/>
              <w:rPr>
                <w:rFonts w:ascii="Times New Roman" w:hAnsi="Times New Roman" w:cs="Times New Roman"/>
                <w:lang w:val="en-AU" w:eastAsia="ko-KR"/>
              </w:rPr>
            </w:pPr>
            <w:r w:rsidRPr="00D46683">
              <w:rPr>
                <w:rFonts w:ascii="Times New Roman" w:eastAsia="MS Mincho" w:hAnsi="Times New Roman" w:cs="Times New Roman"/>
                <w:noProof/>
                <w:lang w:eastAsia="zh-CN" w:bidi="mn-Mong-CN"/>
              </w:rPr>
              <w:drawing>
                <wp:inline distT="0" distB="0" distL="0" distR="0" wp14:anchorId="07D3F610" wp14:editId="699380CD">
                  <wp:extent cx="2768252" cy="2635946"/>
                  <wp:effectExtent l="0" t="0" r="0" b="0"/>
                  <wp:docPr id="103" name="Picture 103" descr="Majuro-SBrec-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juro-SBrec-summary-re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7680" cy="2635401"/>
                          </a:xfrm>
                          <a:prstGeom prst="rect">
                            <a:avLst/>
                          </a:prstGeom>
                          <a:noFill/>
                          <a:ln>
                            <a:noFill/>
                          </a:ln>
                        </pic:spPr>
                      </pic:pic>
                    </a:graphicData>
                  </a:graphic>
                </wp:inline>
              </w:drawing>
            </w:r>
          </w:p>
        </w:tc>
      </w:tr>
      <w:tr w:rsidR="00F44783" w:rsidRPr="00D46683" w14:paraId="7A0333BA" w14:textId="77777777" w:rsidTr="00573C70">
        <w:tc>
          <w:tcPr>
            <w:tcW w:w="4788" w:type="dxa"/>
          </w:tcPr>
          <w:p w14:paraId="6AAA2411" w14:textId="77777777" w:rsidR="00F44783" w:rsidRPr="00D46683" w:rsidRDefault="00F44783" w:rsidP="00F44783">
            <w:pPr>
              <w:adjustRightInd w:val="0"/>
              <w:rPr>
                <w:rFonts w:ascii="Times New Roman" w:eastAsia="MS Mincho" w:hAnsi="Times New Roman" w:cs="Times New Roman"/>
                <w:b/>
                <w:bCs/>
              </w:rPr>
            </w:pPr>
            <w:r w:rsidRPr="00D46683">
              <w:rPr>
                <w:rFonts w:ascii="Times New Roman" w:eastAsia="MS Mincho" w:hAnsi="Times New Roman" w:cs="Times New Roman"/>
                <w:b/>
                <w:bCs/>
              </w:rPr>
              <w:t>Figure SWO-6.</w:t>
            </w:r>
            <w:r w:rsidRPr="00D46683">
              <w:rPr>
                <w:rFonts w:ascii="Times New Roman" w:eastAsia="MS Mincho" w:hAnsi="Times New Roman" w:cs="Times New Roman"/>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D46683">
              <w:rPr>
                <w:rFonts w:ascii="Times New Roman" w:eastAsia="MS Mincho" w:hAnsi="Times New Roman" w:cs="Times New Roman"/>
                <w:vertAlign w:val="subscript"/>
              </w:rPr>
              <w:t>MSY</w:t>
            </w:r>
            <w:r w:rsidRPr="00D46683">
              <w:rPr>
                <w:rFonts w:ascii="Times New Roman" w:eastAsia="MS Mincho" w:hAnsi="Times New Roman" w:cs="Times New Roman"/>
              </w:rPr>
              <w:t xml:space="preserve"> (F</w:t>
            </w:r>
            <w:r w:rsidRPr="00D46683">
              <w:rPr>
                <w:rFonts w:ascii="Times New Roman" w:eastAsia="MS Mincho" w:hAnsi="Times New Roman" w:cs="Times New Roman"/>
                <w:vertAlign w:val="subscript"/>
              </w:rPr>
              <w:t>MSY</w:t>
            </w:r>
            <w:r w:rsidRPr="00D46683">
              <w:rPr>
                <w:rFonts w:ascii="Times New Roman" w:eastAsia="MS Mincho" w:hAnsi="Times New Roman" w:cs="Times New Roman"/>
              </w:rPr>
              <w:t xml:space="preserve"> is marked with </w:t>
            </w:r>
            <w:r w:rsidRPr="00D46683">
              <w:rPr>
                <w:rFonts w:ascii="Times New Roman" w:eastAsia="MS Mincho" w:hAnsi="Times New Roman" w:cs="Times New Roman"/>
              </w:rPr>
              <w:lastRenderedPageBreak/>
              <w:t>the black dashed line). The points represent SB</w:t>
            </w:r>
            <w:r w:rsidRPr="00D46683">
              <w:rPr>
                <w:rFonts w:ascii="Times New Roman" w:eastAsia="MS Mincho" w:hAnsi="Times New Roman" w:cs="Times New Roman"/>
                <w:vertAlign w:val="subscript"/>
              </w:rPr>
              <w:t>latest</w:t>
            </w:r>
            <w:r w:rsidRPr="00D46683" w:rsidDel="00300F08">
              <w:rPr>
                <w:rFonts w:ascii="Times New Roman" w:eastAsia="MS Mincho" w:hAnsi="Times New Roman" w:cs="Times New Roman"/>
              </w:rPr>
              <w:t xml:space="preserve"> </w:t>
            </w:r>
            <w:r w:rsidRPr="00D46683">
              <w:rPr>
                <w:rFonts w:ascii="Times New Roman" w:eastAsia="MS Mincho" w:hAnsi="Times New Roman" w:cs="Times New Roman"/>
              </w:rPr>
              <w:t>/SB</w:t>
            </w:r>
            <w:r w:rsidRPr="00D46683">
              <w:rPr>
                <w:rFonts w:ascii="Times New Roman" w:eastAsia="MS Mincho" w:hAnsi="Times New Roman" w:cs="Times New Roman"/>
                <w:vertAlign w:val="subscript"/>
              </w:rPr>
              <w:t>F=0</w:t>
            </w:r>
            <w:r w:rsidRPr="00D46683">
              <w:rPr>
                <w:rFonts w:ascii="Times New Roman" w:eastAsia="MS Mincho" w:hAnsi="Times New Roman" w:cs="Times New Roman"/>
              </w:rPr>
              <w:t xml:space="preserve">, and the colours depict the models in the grid </w:t>
            </w:r>
            <w:r w:rsidRPr="00D46683">
              <w:rPr>
                <w:rFonts w:ascii="Times New Roman" w:eastAsia="MS PMincho" w:hAnsi="Times New Roman" w:cs="Times New Roman"/>
              </w:rPr>
              <w:t>with three levels of steepness (0.65, 0.8 and 0.95).</w:t>
            </w:r>
          </w:p>
          <w:p w14:paraId="1C3687CE" w14:textId="77777777" w:rsidR="00F44783" w:rsidRPr="00D46683" w:rsidRDefault="00F44783" w:rsidP="00F44783">
            <w:pPr>
              <w:adjustRightInd w:val="0"/>
              <w:rPr>
                <w:rFonts w:ascii="Times New Roman" w:hAnsi="Times New Roman" w:cs="Times New Roman"/>
                <w:lang w:val="en-AU" w:eastAsia="ko-KR"/>
              </w:rPr>
            </w:pPr>
          </w:p>
        </w:tc>
        <w:tc>
          <w:tcPr>
            <w:tcW w:w="4788" w:type="dxa"/>
          </w:tcPr>
          <w:p w14:paraId="7304A554" w14:textId="77777777" w:rsidR="00F44783" w:rsidRPr="00D46683" w:rsidRDefault="00F44783" w:rsidP="00F44783">
            <w:pPr>
              <w:adjustRightInd w:val="0"/>
              <w:rPr>
                <w:rFonts w:ascii="Times New Roman" w:eastAsiaTheme="minorEastAsia" w:hAnsi="Times New Roman" w:cs="Times New Roman"/>
                <w:lang w:val="en-AU" w:eastAsia="ko-KR"/>
              </w:rPr>
            </w:pPr>
            <w:r w:rsidRPr="00D46683">
              <w:rPr>
                <w:rFonts w:ascii="Times New Roman" w:eastAsia="PMingLiU" w:hAnsi="Times New Roman" w:cs="Times New Roman"/>
                <w:b/>
                <w:bCs/>
                <w:lang w:val="en-AU" w:eastAsia="zh-TW"/>
              </w:rPr>
              <w:lastRenderedPageBreak/>
              <w:t xml:space="preserve">Figure </w:t>
            </w:r>
            <w:r w:rsidRPr="00D46683">
              <w:rPr>
                <w:rFonts w:ascii="Times New Roman" w:hAnsi="Times New Roman" w:cs="Times New Roman"/>
                <w:b/>
                <w:bCs/>
                <w:lang w:val="en-AU" w:eastAsia="ja-JP"/>
              </w:rPr>
              <w:t>SWO-7</w:t>
            </w:r>
            <w:r w:rsidRPr="00D46683">
              <w:rPr>
                <w:rFonts w:ascii="Times New Roman" w:eastAsia="PMingLiU" w:hAnsi="Times New Roman" w:cs="Times New Roman"/>
                <w:lang w:val="en-AU" w:eastAsia="zh-TW"/>
              </w:rPr>
              <w:t>.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D46683">
              <w:rPr>
                <w:rFonts w:ascii="Times New Roman" w:eastAsia="PMingLiU" w:hAnsi="Times New Roman" w:cs="Times New Roman"/>
                <w:vertAlign w:val="subscript"/>
                <w:lang w:val="en-AU" w:eastAsia="zh-TW"/>
              </w:rPr>
              <w:t xml:space="preserve">MSY </w:t>
            </w:r>
            <w:r w:rsidRPr="00D46683">
              <w:rPr>
                <w:rFonts w:ascii="Times New Roman" w:eastAsia="PMingLiU" w:hAnsi="Times New Roman" w:cs="Times New Roman"/>
                <w:lang w:val="en-AU" w:eastAsia="zh-TW"/>
              </w:rPr>
              <w:t>(F</w:t>
            </w:r>
            <w:r w:rsidRPr="00D46683">
              <w:rPr>
                <w:rFonts w:ascii="Times New Roman" w:eastAsia="PMingLiU" w:hAnsi="Times New Roman" w:cs="Times New Roman"/>
                <w:vertAlign w:val="subscript"/>
                <w:lang w:val="en-AU" w:eastAsia="zh-TW"/>
              </w:rPr>
              <w:t>MSY</w:t>
            </w:r>
            <w:r w:rsidRPr="00D46683">
              <w:rPr>
                <w:rFonts w:ascii="Times New Roman" w:eastAsia="PMingLiU" w:hAnsi="Times New Roman" w:cs="Times New Roman"/>
                <w:lang w:val="en-AU" w:eastAsia="zh-TW"/>
              </w:rPr>
              <w:t xml:space="preserve"> is marked with </w:t>
            </w:r>
            <w:r w:rsidRPr="00D46683">
              <w:rPr>
                <w:rFonts w:ascii="Times New Roman" w:eastAsia="PMingLiU" w:hAnsi="Times New Roman" w:cs="Times New Roman"/>
                <w:lang w:val="en-AU" w:eastAsia="zh-TW"/>
              </w:rPr>
              <w:lastRenderedPageBreak/>
              <w:t>the black dashed line). The points represent SB</w:t>
            </w:r>
            <w:r w:rsidRPr="00D46683">
              <w:rPr>
                <w:rFonts w:ascii="Times New Roman" w:hAnsi="Times New Roman" w:cs="Times New Roman"/>
                <w:i/>
                <w:vertAlign w:val="subscript"/>
                <w:lang w:val="en-AU" w:eastAsia="ja-JP"/>
              </w:rPr>
              <w:t>recent</w:t>
            </w:r>
            <w:r w:rsidRPr="00D46683">
              <w:rPr>
                <w:rFonts w:ascii="Times New Roman" w:eastAsia="PMingLiU" w:hAnsi="Times New Roman" w:cs="Times New Roman"/>
                <w:lang w:val="en-AU" w:eastAsia="zh-TW"/>
              </w:rPr>
              <w:t>/SB</w:t>
            </w:r>
            <w:r w:rsidRPr="00D46683">
              <w:rPr>
                <w:rFonts w:ascii="Times New Roman" w:eastAsia="PMingLiU" w:hAnsi="Times New Roman" w:cs="Times New Roman"/>
                <w:i/>
                <w:vertAlign w:val="subscript"/>
                <w:lang w:val="en-AU" w:eastAsia="zh-TW"/>
              </w:rPr>
              <w:t>F=0</w:t>
            </w:r>
            <w:r w:rsidRPr="00D46683">
              <w:rPr>
                <w:rFonts w:ascii="Times New Roman" w:eastAsia="PMingLiU" w:hAnsi="Times New Roman" w:cs="Times New Roman"/>
                <w:lang w:val="en-AU" w:eastAsia="zh-TW"/>
              </w:rPr>
              <w:t xml:space="preserve">, and the colours depict the models in the grid </w:t>
            </w:r>
            <w:r w:rsidRPr="00D46683">
              <w:rPr>
                <w:rFonts w:ascii="Times New Roman" w:eastAsia="MS PMincho" w:hAnsi="Times New Roman" w:cs="Times New Roman"/>
                <w:lang w:val="en-AU" w:eastAsia="zh-TW"/>
              </w:rPr>
              <w:t xml:space="preserve">with </w:t>
            </w:r>
            <w:r w:rsidRPr="00D46683">
              <w:rPr>
                <w:rFonts w:ascii="Times New Roman" w:eastAsia="MS PMincho" w:hAnsi="Times New Roman" w:cs="Times New Roman"/>
                <w:lang w:val="en-AU" w:eastAsia="ja-JP"/>
              </w:rPr>
              <w:t>three levels of steepness (0.65, 0.8 and 0.95)</w:t>
            </w:r>
            <w:r w:rsidRPr="00D46683">
              <w:rPr>
                <w:rFonts w:ascii="Times New Roman" w:eastAsia="MS PMincho" w:hAnsi="Times New Roman" w:cs="Times New Roman"/>
                <w:lang w:val="en-AU" w:eastAsia="zh-TW"/>
              </w:rPr>
              <w:t>.</w:t>
            </w:r>
            <w:r w:rsidRPr="00D46683">
              <w:rPr>
                <w:rFonts w:ascii="Times New Roman" w:eastAsia="MS PMincho" w:hAnsi="Times New Roman" w:cs="Times New Roman"/>
                <w:lang w:val="en-AU" w:eastAsia="ja-JP"/>
              </w:rPr>
              <w:t xml:space="preserve"> Note, SB</w:t>
            </w:r>
            <w:r w:rsidRPr="00D46683">
              <w:rPr>
                <w:rFonts w:ascii="Times New Roman" w:hAnsi="Times New Roman" w:cs="Times New Roman"/>
                <w:i/>
                <w:vertAlign w:val="subscript"/>
                <w:lang w:val="en-AU" w:eastAsia="ja-JP"/>
              </w:rPr>
              <w:t>recent</w:t>
            </w:r>
            <w:r w:rsidRPr="00D46683">
              <w:rPr>
                <w:rFonts w:ascii="Times New Roman" w:hAnsi="Times New Roman" w:cs="Times New Roman"/>
                <w:i/>
                <w:lang w:val="en-AU" w:eastAsia="ja-JP"/>
              </w:rPr>
              <w:t xml:space="preserve"> </w:t>
            </w:r>
            <w:r w:rsidRPr="00D46683">
              <w:rPr>
                <w:rFonts w:ascii="Times New Roman" w:eastAsia="MS PMincho" w:hAnsi="Times New Roman" w:cs="Times New Roman"/>
                <w:lang w:val="en-AU" w:eastAsia="ja-JP"/>
              </w:rPr>
              <w:t>is defined as the mean of SB over 2012-2015.</w:t>
            </w:r>
          </w:p>
          <w:p w14:paraId="144769E6" w14:textId="77777777" w:rsidR="00F44783" w:rsidRPr="00D46683" w:rsidRDefault="00F44783" w:rsidP="00F44783">
            <w:pPr>
              <w:adjustRightInd w:val="0"/>
              <w:rPr>
                <w:rFonts w:ascii="Times New Roman" w:eastAsiaTheme="minorEastAsia" w:hAnsi="Times New Roman" w:cs="Times New Roman"/>
                <w:lang w:val="en-AU" w:eastAsia="ko-KR"/>
              </w:rPr>
            </w:pPr>
          </w:p>
          <w:p w14:paraId="12B66311" w14:textId="77777777" w:rsidR="00F44783" w:rsidRPr="00D46683" w:rsidRDefault="00F44783" w:rsidP="00F44783">
            <w:pPr>
              <w:adjustRightInd w:val="0"/>
              <w:rPr>
                <w:rFonts w:ascii="Times New Roman" w:eastAsiaTheme="minorEastAsia" w:hAnsi="Times New Roman" w:cs="Times New Roman"/>
                <w:lang w:val="en-AU" w:eastAsia="ko-KR"/>
              </w:rPr>
            </w:pPr>
          </w:p>
        </w:tc>
      </w:tr>
      <w:tr w:rsidR="00F44783" w:rsidRPr="00D46683" w14:paraId="19F76CD4"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67E45B62" w14:textId="77777777" w:rsidR="00F44783" w:rsidRPr="00D46683" w:rsidRDefault="00F44783" w:rsidP="00F44783">
            <w:pPr>
              <w:adjustRightInd w:val="0"/>
              <w:rPr>
                <w:rFonts w:ascii="Times New Roman" w:eastAsia="PMingLiU" w:hAnsi="Times New Roman" w:cs="Times New Roman"/>
                <w:lang w:val="en-AU" w:eastAsia="ja-JP"/>
              </w:rPr>
            </w:pPr>
            <w:r w:rsidRPr="00D46683">
              <w:rPr>
                <w:rFonts w:ascii="Times New Roman" w:eastAsia="PMingLiU" w:hAnsi="Times New Roman" w:cs="Times New Roman"/>
                <w:noProof/>
                <w:lang w:eastAsia="zh-CN" w:bidi="mn-Mong-CN"/>
              </w:rPr>
              <w:lastRenderedPageBreak/>
              <w:drawing>
                <wp:inline distT="0" distB="0" distL="0" distR="0" wp14:anchorId="5AC13321" wp14:editId="40D36017">
                  <wp:extent cx="2977116" cy="297711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8 Kobe-summary-rep.png"/>
                          <pic:cNvPicPr/>
                        </pic:nvPicPr>
                        <pic:blipFill>
                          <a:blip r:embed="rId26">
                            <a:extLst>
                              <a:ext uri="{28A0092B-C50C-407E-A947-70E740481C1C}">
                                <a14:useLocalDpi xmlns:a14="http://schemas.microsoft.com/office/drawing/2010/main" val="0"/>
                              </a:ext>
                            </a:extLst>
                          </a:blip>
                          <a:stretch>
                            <a:fillRect/>
                          </a:stretch>
                        </pic:blipFill>
                        <pic:spPr>
                          <a:xfrm>
                            <a:off x="0" y="0"/>
                            <a:ext cx="2977117" cy="2977117"/>
                          </a:xfrm>
                          <a:prstGeom prst="rect">
                            <a:avLst/>
                          </a:prstGeom>
                        </pic:spPr>
                      </pic:pic>
                    </a:graphicData>
                  </a:graphic>
                </wp:inline>
              </w:drawing>
            </w:r>
          </w:p>
        </w:tc>
        <w:tc>
          <w:tcPr>
            <w:tcW w:w="4788" w:type="dxa"/>
            <w:tcBorders>
              <w:top w:val="nil"/>
              <w:left w:val="nil"/>
              <w:bottom w:val="nil"/>
              <w:right w:val="nil"/>
            </w:tcBorders>
          </w:tcPr>
          <w:p w14:paraId="3E929F56" w14:textId="77777777" w:rsidR="00F44783" w:rsidRPr="00D46683" w:rsidRDefault="00F44783" w:rsidP="00F44783">
            <w:pPr>
              <w:adjustRightInd w:val="0"/>
              <w:rPr>
                <w:rFonts w:ascii="Times New Roman" w:eastAsia="PMingLiU" w:hAnsi="Times New Roman" w:cs="Times New Roman"/>
                <w:lang w:val="en-AU" w:eastAsia="ja-JP"/>
              </w:rPr>
            </w:pPr>
            <w:r w:rsidRPr="00D46683">
              <w:rPr>
                <w:rFonts w:ascii="Times New Roman" w:hAnsi="Times New Roman" w:cs="Times New Roman"/>
                <w:noProof/>
                <w:lang w:eastAsia="zh-CN" w:bidi="mn-Mong-CN"/>
              </w:rPr>
              <w:drawing>
                <wp:inline distT="0" distB="0" distL="0" distR="0" wp14:anchorId="081A29CD" wp14:editId="6EC24FF9">
                  <wp:extent cx="2913320" cy="2913320"/>
                  <wp:effectExtent l="0" t="0" r="1905"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9 Kobe-SBrec-summary-rep.png"/>
                          <pic:cNvPicPr/>
                        </pic:nvPicPr>
                        <pic:blipFill>
                          <a:blip r:embed="rId27">
                            <a:extLst>
                              <a:ext uri="{28A0092B-C50C-407E-A947-70E740481C1C}">
                                <a14:useLocalDpi xmlns:a14="http://schemas.microsoft.com/office/drawing/2010/main" val="0"/>
                              </a:ext>
                            </a:extLst>
                          </a:blip>
                          <a:stretch>
                            <a:fillRect/>
                          </a:stretch>
                        </pic:blipFill>
                        <pic:spPr>
                          <a:xfrm>
                            <a:off x="0" y="0"/>
                            <a:ext cx="2913320" cy="2913320"/>
                          </a:xfrm>
                          <a:prstGeom prst="rect">
                            <a:avLst/>
                          </a:prstGeom>
                        </pic:spPr>
                      </pic:pic>
                    </a:graphicData>
                  </a:graphic>
                </wp:inline>
              </w:drawing>
            </w:r>
          </w:p>
        </w:tc>
      </w:tr>
      <w:tr w:rsidR="00F44783" w:rsidRPr="00D46683" w14:paraId="3A66F7FF"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4416B88A" w14:textId="77777777" w:rsidR="00F44783" w:rsidRPr="00D46683" w:rsidRDefault="00F44783" w:rsidP="00F44783">
            <w:pPr>
              <w:pStyle w:val="CommentText"/>
              <w:adjustRightInd w:val="0"/>
              <w:spacing w:after="0"/>
              <w:rPr>
                <w:rFonts w:ascii="Times New Roman" w:hAnsi="Times New Roman"/>
                <w:color w:val="FF0000"/>
              </w:rPr>
            </w:pPr>
            <w:r w:rsidRPr="00D46683">
              <w:rPr>
                <w:rFonts w:ascii="Times New Roman" w:eastAsia="PMingLiU" w:hAnsi="Times New Roman"/>
                <w:b/>
                <w:bCs/>
                <w:sz w:val="22"/>
                <w:szCs w:val="22"/>
                <w:lang w:val="en-AU" w:eastAsia="zh-TW"/>
              </w:rPr>
              <w:t xml:space="preserve">Figure </w:t>
            </w:r>
            <w:r w:rsidRPr="00D46683">
              <w:rPr>
                <w:rFonts w:ascii="Times New Roman" w:hAnsi="Times New Roman"/>
                <w:b/>
                <w:bCs/>
                <w:sz w:val="22"/>
                <w:szCs w:val="22"/>
                <w:lang w:val="en-AU" w:eastAsia="ja-JP"/>
              </w:rPr>
              <w:t>SWO-</w:t>
            </w:r>
            <w:r w:rsidRPr="00D46683">
              <w:rPr>
                <w:rFonts w:ascii="Times New Roman" w:eastAsia="PMingLiU" w:hAnsi="Times New Roman"/>
                <w:b/>
                <w:bCs/>
                <w:sz w:val="22"/>
                <w:szCs w:val="22"/>
                <w:lang w:val="en-AU" w:eastAsia="zh-TW"/>
              </w:rPr>
              <w:t xml:space="preserve">8. </w:t>
            </w:r>
            <w:r w:rsidRPr="00D46683">
              <w:rPr>
                <w:rFonts w:ascii="Times New Roman" w:eastAsia="PMingLiU" w:hAnsi="Times New Roman"/>
                <w:sz w:val="22"/>
                <w:szCs w:val="22"/>
                <w:lang w:val="en-AU" w:eastAsia="zh-TW"/>
              </w:rPr>
              <w:t xml:space="preserve">Kobe plot summarising the results for each of the models in the structural uncertainty grid, where the x-axis represents </w:t>
            </w:r>
            <w:r w:rsidRPr="00D46683">
              <w:rPr>
                <w:rFonts w:ascii="Times New Roman" w:eastAsia="MS Mincho" w:hAnsi="Times New Roman"/>
              </w:rPr>
              <w:t>SB</w:t>
            </w:r>
            <w:r w:rsidRPr="00D46683">
              <w:rPr>
                <w:rFonts w:ascii="Times New Roman" w:eastAsia="MS Mincho" w:hAnsi="Times New Roman"/>
                <w:vertAlign w:val="subscript"/>
              </w:rPr>
              <w:t>latest</w:t>
            </w:r>
            <w:r w:rsidRPr="00D46683" w:rsidDel="00300F08">
              <w:rPr>
                <w:rFonts w:ascii="Times New Roman" w:eastAsia="PMingLiU" w:hAnsi="Times New Roman"/>
                <w:sz w:val="22"/>
                <w:szCs w:val="22"/>
                <w:lang w:val="en-AU" w:eastAsia="zh-TW"/>
              </w:rPr>
              <w:t xml:space="preserve"> </w:t>
            </w:r>
            <w:r w:rsidRPr="00D46683">
              <w:rPr>
                <w:rFonts w:ascii="Times New Roman" w:eastAsia="PMingLiU" w:hAnsi="Times New Roman"/>
                <w:sz w:val="22"/>
                <w:szCs w:val="22"/>
                <w:lang w:val="en-AU" w:eastAsia="zh-TW"/>
              </w:rPr>
              <w:t>/SB</w:t>
            </w:r>
            <w:r w:rsidRPr="00D46683">
              <w:rPr>
                <w:rFonts w:ascii="Times New Roman" w:hAnsi="Times New Roman"/>
                <w:vertAlign w:val="subscript"/>
                <w:lang w:val="en-AU"/>
              </w:rPr>
              <w:t>MSY</w:t>
            </w:r>
            <w:r w:rsidRPr="00D46683">
              <w:rPr>
                <w:rFonts w:ascii="Times New Roman" w:eastAsia="PMingLiU" w:hAnsi="Times New Roman"/>
                <w:sz w:val="22"/>
                <w:szCs w:val="22"/>
                <w:lang w:val="en-AU" w:eastAsia="zh-TW"/>
              </w:rPr>
              <w:t>. The colours depict the models in the grid with</w:t>
            </w:r>
            <w:r w:rsidRPr="00D46683">
              <w:rPr>
                <w:rFonts w:ascii="Times New Roman" w:hAnsi="Times New Roman"/>
                <w:sz w:val="22"/>
                <w:szCs w:val="22"/>
                <w:lang w:val="en-AU" w:eastAsia="ja-JP"/>
              </w:rPr>
              <w:t xml:space="preserve"> three levels of steepness (0.65, 0.8 and 0.95)</w:t>
            </w:r>
            <w:r w:rsidRPr="00D46683">
              <w:rPr>
                <w:rFonts w:ascii="Times New Roman" w:eastAsia="PMingLiU" w:hAnsi="Times New Roman"/>
                <w:sz w:val="22"/>
                <w:szCs w:val="22"/>
                <w:lang w:val="en-AU" w:eastAsia="zh-TW"/>
              </w:rPr>
              <w:t xml:space="preserve">. </w:t>
            </w:r>
          </w:p>
          <w:p w14:paraId="36B25076" w14:textId="77777777" w:rsidR="00F44783" w:rsidRPr="00D46683" w:rsidRDefault="00F44783" w:rsidP="00F44783">
            <w:pPr>
              <w:adjustRightInd w:val="0"/>
              <w:rPr>
                <w:rFonts w:ascii="Times New Roman" w:eastAsia="PMingLiU" w:hAnsi="Times New Roman" w:cs="Times New Roman"/>
                <w:lang w:val="en-AU" w:eastAsia="ja-JP"/>
              </w:rPr>
            </w:pPr>
          </w:p>
        </w:tc>
        <w:tc>
          <w:tcPr>
            <w:tcW w:w="4788" w:type="dxa"/>
            <w:tcBorders>
              <w:top w:val="nil"/>
              <w:left w:val="nil"/>
              <w:bottom w:val="nil"/>
              <w:right w:val="nil"/>
            </w:tcBorders>
          </w:tcPr>
          <w:p w14:paraId="71C59FE6" w14:textId="77777777" w:rsidR="00F44783" w:rsidRPr="00D46683" w:rsidRDefault="00F44783" w:rsidP="00F44783">
            <w:pPr>
              <w:adjustRightInd w:val="0"/>
              <w:rPr>
                <w:rFonts w:ascii="Times New Roman" w:hAnsi="Times New Roman" w:cs="Times New Roman"/>
                <w:lang w:val="en-AU" w:eastAsia="ko-KR"/>
              </w:rPr>
            </w:pPr>
            <w:r w:rsidRPr="00D46683">
              <w:rPr>
                <w:rFonts w:ascii="Times New Roman" w:eastAsia="PMingLiU" w:hAnsi="Times New Roman" w:cs="Times New Roman"/>
                <w:b/>
                <w:bCs/>
                <w:lang w:val="en-AU" w:eastAsia="zh-TW"/>
              </w:rPr>
              <w:t xml:space="preserve">Figure </w:t>
            </w:r>
            <w:r w:rsidRPr="00D46683">
              <w:rPr>
                <w:rFonts w:ascii="Times New Roman" w:hAnsi="Times New Roman" w:cs="Times New Roman"/>
                <w:b/>
                <w:bCs/>
                <w:lang w:val="en-AU" w:eastAsia="ja-JP"/>
              </w:rPr>
              <w:t>SWO-9</w:t>
            </w:r>
            <w:r w:rsidRPr="00D46683">
              <w:rPr>
                <w:rFonts w:ascii="Times New Roman" w:eastAsia="PMingLiU" w:hAnsi="Times New Roman" w:cs="Times New Roman"/>
                <w:b/>
                <w:bCs/>
                <w:lang w:val="en-AU" w:eastAsia="zh-TW"/>
              </w:rPr>
              <w:t xml:space="preserve">. </w:t>
            </w:r>
            <w:r w:rsidRPr="00D46683">
              <w:rPr>
                <w:rFonts w:ascii="Times New Roman" w:eastAsia="PMingLiU" w:hAnsi="Times New Roman" w:cs="Times New Roman"/>
                <w:lang w:val="en-AU" w:eastAsia="zh-TW"/>
              </w:rPr>
              <w:t>Kobe plot summarising the results for each of the models in the structural uncertainty grid. The colours depict the models in the grid with</w:t>
            </w:r>
            <w:r w:rsidRPr="00D46683">
              <w:rPr>
                <w:rFonts w:ascii="Times New Roman" w:hAnsi="Times New Roman" w:cs="Times New Roman"/>
                <w:lang w:val="en-AU" w:eastAsia="ja-JP"/>
              </w:rPr>
              <w:t xml:space="preserve"> three levels of steepness (0.65, 0.8 and 0.95)</w:t>
            </w:r>
            <w:r w:rsidRPr="00D46683">
              <w:rPr>
                <w:rFonts w:ascii="Times New Roman" w:eastAsia="PMingLiU" w:hAnsi="Times New Roman" w:cs="Times New Roman"/>
                <w:lang w:val="en-AU" w:eastAsia="zh-TW"/>
              </w:rPr>
              <w:t>.</w:t>
            </w:r>
            <w:r w:rsidRPr="00D46683">
              <w:rPr>
                <w:rFonts w:ascii="Times New Roman" w:hAnsi="Times New Roman" w:cs="Times New Roman"/>
                <w:lang w:val="en-AU" w:eastAsia="ja-JP"/>
              </w:rPr>
              <w:t xml:space="preserve"> As in Figure SWO7, SB</w:t>
            </w:r>
            <w:r w:rsidRPr="00D46683">
              <w:rPr>
                <w:rFonts w:ascii="Times New Roman" w:hAnsi="Times New Roman" w:cs="Times New Roman"/>
                <w:i/>
                <w:vertAlign w:val="subscript"/>
                <w:lang w:val="en-AU" w:eastAsia="ja-JP"/>
              </w:rPr>
              <w:t>recent</w:t>
            </w:r>
            <w:r w:rsidRPr="00D46683">
              <w:rPr>
                <w:rFonts w:ascii="Times New Roman" w:hAnsi="Times New Roman" w:cs="Times New Roman"/>
                <w:i/>
                <w:lang w:val="en-AU" w:eastAsia="ja-JP"/>
              </w:rPr>
              <w:t xml:space="preserve"> </w:t>
            </w:r>
            <w:r w:rsidRPr="00D46683">
              <w:rPr>
                <w:rFonts w:ascii="Times New Roman" w:hAnsi="Times New Roman" w:cs="Times New Roman"/>
                <w:lang w:val="en-AU" w:eastAsia="ja-JP"/>
              </w:rPr>
              <w:t xml:space="preserve">was used instead of </w:t>
            </w:r>
            <w:r w:rsidRPr="00D46683">
              <w:rPr>
                <w:rFonts w:ascii="Times New Roman" w:eastAsia="MS Mincho" w:hAnsi="Times New Roman" w:cs="Times New Roman"/>
              </w:rPr>
              <w:t>SB</w:t>
            </w:r>
            <w:r w:rsidRPr="00D46683">
              <w:rPr>
                <w:rFonts w:ascii="Times New Roman" w:eastAsia="MS Mincho" w:hAnsi="Times New Roman" w:cs="Times New Roman"/>
                <w:i/>
                <w:iCs/>
                <w:vertAlign w:val="subscript"/>
              </w:rPr>
              <w:t>l</w:t>
            </w:r>
            <w:r w:rsidRPr="00D46683">
              <w:rPr>
                <w:rFonts w:ascii="Times New Roman" w:eastAsia="MS Mincho" w:hAnsi="Times New Roman" w:cs="Times New Roman"/>
                <w:i/>
                <w:vertAlign w:val="subscript"/>
              </w:rPr>
              <w:t>atest</w:t>
            </w:r>
            <w:r w:rsidRPr="00D46683">
              <w:rPr>
                <w:rFonts w:ascii="Times New Roman" w:hAnsi="Times New Roman" w:cs="Times New Roman"/>
                <w:lang w:val="en-AU" w:eastAsia="ja-JP"/>
              </w:rPr>
              <w:t>.</w:t>
            </w:r>
          </w:p>
          <w:p w14:paraId="45941D03" w14:textId="77777777" w:rsidR="00F44783" w:rsidRPr="00D46683" w:rsidRDefault="00F44783" w:rsidP="00F44783">
            <w:pPr>
              <w:adjustRightInd w:val="0"/>
              <w:rPr>
                <w:rFonts w:ascii="Times New Roman" w:eastAsiaTheme="minorEastAsia" w:hAnsi="Times New Roman" w:cs="Times New Roman"/>
                <w:lang w:val="en-AU" w:eastAsia="ko-KR"/>
              </w:rPr>
            </w:pPr>
          </w:p>
          <w:p w14:paraId="5E29C9A4" w14:textId="77777777" w:rsidR="00F44783" w:rsidRPr="00D46683" w:rsidRDefault="00F44783" w:rsidP="00F44783">
            <w:pPr>
              <w:adjustRightInd w:val="0"/>
              <w:rPr>
                <w:rFonts w:ascii="Times New Roman" w:eastAsiaTheme="minorEastAsia" w:hAnsi="Times New Roman" w:cs="Times New Roman"/>
                <w:lang w:val="en-AU" w:eastAsia="ko-KR"/>
              </w:rPr>
            </w:pPr>
          </w:p>
          <w:p w14:paraId="04297259" w14:textId="77777777" w:rsidR="00F44783" w:rsidRPr="00D46683" w:rsidRDefault="00F44783" w:rsidP="00F44783">
            <w:pPr>
              <w:adjustRightInd w:val="0"/>
              <w:rPr>
                <w:rFonts w:ascii="Times New Roman" w:eastAsiaTheme="minorEastAsia" w:hAnsi="Times New Roman" w:cs="Times New Roman"/>
                <w:lang w:val="en-AU" w:eastAsia="ko-KR"/>
              </w:rPr>
            </w:pPr>
          </w:p>
          <w:p w14:paraId="451464AC" w14:textId="77777777" w:rsidR="00F44783" w:rsidRPr="00D46683" w:rsidRDefault="00F44783" w:rsidP="00F44783">
            <w:pPr>
              <w:adjustRightInd w:val="0"/>
              <w:rPr>
                <w:rFonts w:ascii="Times New Roman" w:eastAsiaTheme="minorEastAsia" w:hAnsi="Times New Roman" w:cs="Times New Roman"/>
                <w:lang w:val="en-AU" w:eastAsia="ko-KR"/>
              </w:rPr>
            </w:pPr>
          </w:p>
        </w:tc>
      </w:tr>
      <w:tr w:rsidR="00F44783" w:rsidRPr="00D46683" w14:paraId="4F153328"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1B44BF7D" w14:textId="77777777" w:rsidR="00F44783" w:rsidRPr="00D46683" w:rsidRDefault="00F44783" w:rsidP="00F44783">
            <w:pPr>
              <w:adjustRightInd w:val="0"/>
              <w:rPr>
                <w:rFonts w:ascii="Times New Roman" w:eastAsia="PMingLiU" w:hAnsi="Times New Roman" w:cs="Times New Roman"/>
                <w:lang w:val="en-AU" w:eastAsia="ja-JP"/>
              </w:rPr>
            </w:pPr>
            <w:r w:rsidRPr="00D46683">
              <w:rPr>
                <w:rFonts w:ascii="Times New Roman" w:hAnsi="Times New Roman" w:cs="Times New Roman"/>
                <w:b/>
                <w:noProof/>
                <w:lang w:eastAsia="zh-CN" w:bidi="mn-Mong-CN"/>
              </w:rPr>
              <w:lastRenderedPageBreak/>
              <w:drawing>
                <wp:inline distT="0" distB="0" distL="0" distR="0" wp14:anchorId="2F82EDA2" wp14:editId="4CE3222A">
                  <wp:extent cx="2966484" cy="2966484"/>
                  <wp:effectExtent l="0" t="0" r="0" b="0"/>
                  <wp:docPr id="106" name="図 56" descr="Assessment/plots/Fig35a_Majuro.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ssessment/plots/Fig35a_Majuro.plot.pd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2350" cy="2972350"/>
                          </a:xfrm>
                          <a:prstGeom prst="rect">
                            <a:avLst/>
                          </a:prstGeom>
                          <a:noFill/>
                          <a:ln>
                            <a:noFill/>
                          </a:ln>
                        </pic:spPr>
                      </pic:pic>
                    </a:graphicData>
                  </a:graphic>
                </wp:inline>
              </w:drawing>
            </w:r>
          </w:p>
        </w:tc>
        <w:tc>
          <w:tcPr>
            <w:tcW w:w="4788" w:type="dxa"/>
            <w:tcBorders>
              <w:top w:val="nil"/>
              <w:left w:val="nil"/>
              <w:bottom w:val="nil"/>
              <w:right w:val="nil"/>
            </w:tcBorders>
          </w:tcPr>
          <w:p w14:paraId="3772EDAF" w14:textId="77777777" w:rsidR="00F44783" w:rsidRPr="00D46683" w:rsidRDefault="00F44783" w:rsidP="00F44783">
            <w:pPr>
              <w:adjustRightInd w:val="0"/>
              <w:rPr>
                <w:rFonts w:ascii="Times New Roman" w:eastAsia="PMingLiU" w:hAnsi="Times New Roman" w:cs="Times New Roman"/>
                <w:lang w:val="en-AU" w:eastAsia="ja-JP"/>
              </w:rPr>
            </w:pPr>
            <w:r w:rsidRPr="00D46683">
              <w:rPr>
                <w:rFonts w:ascii="Times New Roman" w:hAnsi="Times New Roman" w:cs="Times New Roman"/>
                <w:b/>
                <w:noProof/>
                <w:lang w:eastAsia="zh-CN" w:bidi="mn-Mong-CN"/>
              </w:rPr>
              <w:drawing>
                <wp:inline distT="0" distB="0" distL="0" distR="0" wp14:anchorId="40A27595" wp14:editId="3385A42E">
                  <wp:extent cx="2902688" cy="2902688"/>
                  <wp:effectExtent l="0" t="0" r="0" b="0"/>
                  <wp:docPr id="107" name="図 57" descr="Assessment/plots/Fig35b_Kobe.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ssessment/plots/Fig35b_Kobe.plot.pd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429" cy="2908429"/>
                          </a:xfrm>
                          <a:prstGeom prst="rect">
                            <a:avLst/>
                          </a:prstGeom>
                          <a:noFill/>
                          <a:ln>
                            <a:noFill/>
                          </a:ln>
                        </pic:spPr>
                      </pic:pic>
                    </a:graphicData>
                  </a:graphic>
                </wp:inline>
              </w:drawing>
            </w:r>
          </w:p>
        </w:tc>
      </w:tr>
      <w:tr w:rsidR="00F44783" w:rsidRPr="00D46683" w14:paraId="0915E844"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Borders>
              <w:top w:val="nil"/>
              <w:left w:val="nil"/>
              <w:bottom w:val="nil"/>
              <w:right w:val="nil"/>
            </w:tcBorders>
          </w:tcPr>
          <w:p w14:paraId="7B586489" w14:textId="77777777" w:rsidR="00F44783" w:rsidRPr="00D46683" w:rsidRDefault="00F44783" w:rsidP="00F44783">
            <w:pPr>
              <w:adjustRightInd w:val="0"/>
              <w:rPr>
                <w:rFonts w:ascii="Times New Roman" w:eastAsiaTheme="minorEastAsia" w:hAnsi="Times New Roman" w:cs="Times New Roman"/>
                <w:lang w:eastAsia="ko-KR"/>
              </w:rPr>
            </w:pPr>
            <w:r w:rsidRPr="00D46683">
              <w:rPr>
                <w:rFonts w:ascii="Times New Roman" w:eastAsia="PMingLiU" w:hAnsi="Times New Roman" w:cs="Times New Roman"/>
                <w:b/>
                <w:bCs/>
                <w:lang w:val="en-AU" w:eastAsia="zh-TW"/>
              </w:rPr>
              <w:t xml:space="preserve">Figure </w:t>
            </w:r>
            <w:r w:rsidRPr="00D46683">
              <w:rPr>
                <w:rFonts w:ascii="Times New Roman" w:hAnsi="Times New Roman" w:cs="Times New Roman"/>
                <w:b/>
                <w:bCs/>
                <w:lang w:val="en-AU" w:eastAsia="ja-JP"/>
              </w:rPr>
              <w:t>SWO-</w:t>
            </w:r>
            <w:r w:rsidRPr="00D46683">
              <w:rPr>
                <w:rFonts w:ascii="Times New Roman" w:hAnsi="Times New Roman" w:cs="Times New Roman"/>
                <w:b/>
                <w:bCs/>
                <w:lang w:val="en-AU" w:eastAsia="ko-KR"/>
              </w:rPr>
              <w:t>10</w:t>
            </w:r>
            <w:r w:rsidRPr="00D46683">
              <w:rPr>
                <w:rFonts w:ascii="Times New Roman" w:eastAsia="PMingLiU" w:hAnsi="Times New Roman" w:cs="Times New Roman"/>
                <w:b/>
                <w:bCs/>
                <w:lang w:val="en-AU" w:eastAsia="zh-TW"/>
              </w:rPr>
              <w:t>.</w:t>
            </w:r>
            <w:r w:rsidRPr="00D46683">
              <w:rPr>
                <w:rFonts w:ascii="Times New Roman" w:hAnsi="Times New Roman" w:cs="Times New Roman"/>
                <w:b/>
                <w:bCs/>
                <w:lang w:val="en-AU" w:eastAsia="ko-KR"/>
              </w:rPr>
              <w:t xml:space="preserve"> </w:t>
            </w:r>
            <w:r w:rsidRPr="00D46683">
              <w:rPr>
                <w:rFonts w:ascii="Times New Roman" w:hAnsi="Times New Roman" w:cs="Times New Roman"/>
              </w:rPr>
              <w:t>Estimated time-series (or “dynamic”) Majuro and Kobe plots from the SW Pacific swordfish  ‘diagnostic case’ model run.</w:t>
            </w:r>
          </w:p>
        </w:tc>
      </w:tr>
    </w:tbl>
    <w:p w14:paraId="287C1BFF" w14:textId="77777777" w:rsidR="00F44783" w:rsidRPr="00D46683" w:rsidRDefault="00F44783" w:rsidP="00F44783">
      <w:pPr>
        <w:adjustRightInd w:val="0"/>
        <w:spacing w:after="0" w:line="240" w:lineRule="auto"/>
        <w:rPr>
          <w:rFonts w:ascii="Times New Roman" w:eastAsia="PMingLiU" w:hAnsi="Times New Roman" w:cs="Times New Roman"/>
          <w:lang w:val="en-AU" w:eastAsia="ja-JP"/>
        </w:rPr>
      </w:pPr>
    </w:p>
    <w:p w14:paraId="3C4ACE51" w14:textId="77777777" w:rsidR="00F44783" w:rsidRPr="00D46683" w:rsidRDefault="00F44783" w:rsidP="00F44783">
      <w:pPr>
        <w:adjustRightInd w:val="0"/>
        <w:spacing w:after="0" w:line="240" w:lineRule="auto"/>
        <w:rPr>
          <w:rFonts w:ascii="Times New Roman" w:eastAsia="PMingLiU" w:hAnsi="Times New Roman" w:cs="Times New Roman"/>
          <w:lang w:val="en-AU" w:eastAsia="ja-JP"/>
        </w:rPr>
      </w:pPr>
    </w:p>
    <w:p w14:paraId="1CD9DA9C" w14:textId="77777777" w:rsidR="00F44783" w:rsidRPr="00D46683" w:rsidRDefault="00F44783" w:rsidP="00F44783">
      <w:pPr>
        <w:adjustRightInd w:val="0"/>
        <w:spacing w:after="0" w:line="240" w:lineRule="auto"/>
        <w:rPr>
          <w:rFonts w:ascii="Times New Roman" w:eastAsia="PMingLiU" w:hAnsi="Times New Roman" w:cs="Times New Roman"/>
          <w:lang w:val="en-AU" w:eastAsia="zh-TW"/>
        </w:rPr>
      </w:pPr>
    </w:p>
    <w:p w14:paraId="6CA45CB3" w14:textId="77777777" w:rsidR="00F44783" w:rsidRPr="00D46683" w:rsidRDefault="00F44783" w:rsidP="00F44783">
      <w:pPr>
        <w:adjustRightInd w:val="0"/>
        <w:spacing w:after="0" w:line="240" w:lineRule="auto"/>
        <w:jc w:val="center"/>
        <w:rPr>
          <w:rFonts w:ascii="Times New Roman" w:eastAsia="Times New Roman" w:hAnsi="Times New Roman" w:cs="Times New Roman"/>
          <w:b/>
          <w:bCs/>
          <w:noProof/>
          <w:lang w:val="en-AU" w:eastAsia="ja-JP"/>
        </w:rPr>
      </w:pPr>
      <w:r w:rsidRPr="00D46683">
        <w:rPr>
          <w:rFonts w:ascii="Times New Roman" w:eastAsia="Times New Roman" w:hAnsi="Times New Roman" w:cs="Times New Roman"/>
          <w:b/>
          <w:noProof/>
          <w:lang w:eastAsia="zh-CN" w:bidi="mn-Mong-CN"/>
        </w:rPr>
        <w:drawing>
          <wp:inline distT="0" distB="0" distL="0" distR="0" wp14:anchorId="28F84464" wp14:editId="48F7CAD2">
            <wp:extent cx="4211392" cy="2934335"/>
            <wp:effectExtent l="0" t="0" r="0" b="0"/>
            <wp:docPr id="108" name="Picture 29" descr="/Users/yukiot/Dropbox/MFCL/SC13/SWO/Assessment/plots/Fig36_splotimpactAdu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yukiot/Dropbox/MFCL/SC13/SWO/Assessment/plots/Fig36_splotimpactAdult.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4292" cy="2936356"/>
                    </a:xfrm>
                    <a:prstGeom prst="rect">
                      <a:avLst/>
                    </a:prstGeom>
                    <a:noFill/>
                    <a:ln>
                      <a:noFill/>
                    </a:ln>
                  </pic:spPr>
                </pic:pic>
              </a:graphicData>
            </a:graphic>
          </wp:inline>
        </w:drawing>
      </w:r>
    </w:p>
    <w:p w14:paraId="78852A8C" w14:textId="77777777" w:rsidR="00F44783" w:rsidRPr="00D46683" w:rsidRDefault="00F44783" w:rsidP="00F44783">
      <w:pPr>
        <w:autoSpaceDE w:val="0"/>
        <w:autoSpaceDN w:val="0"/>
        <w:adjustRightInd w:val="0"/>
        <w:spacing w:after="0" w:line="240" w:lineRule="auto"/>
        <w:rPr>
          <w:rFonts w:ascii="Times New Roman" w:eastAsia="Times New Roman" w:hAnsi="Times New Roman" w:cs="Times New Roman"/>
          <w:b/>
          <w:bCs/>
          <w:noProof/>
          <w:lang w:val="en-AU" w:eastAsia="ja-JP"/>
        </w:rPr>
      </w:pPr>
      <w:r w:rsidRPr="00D46683">
        <w:rPr>
          <w:rFonts w:ascii="Times New Roman" w:eastAsia="PMingLiU" w:hAnsi="Times New Roman" w:cs="Times New Roman"/>
          <w:b/>
          <w:bCs/>
          <w:lang w:val="en-AU" w:eastAsia="zh-TW"/>
        </w:rPr>
        <w:t xml:space="preserve">Figure </w:t>
      </w:r>
      <w:r w:rsidRPr="00D46683">
        <w:rPr>
          <w:rFonts w:ascii="Times New Roman" w:eastAsia="Times New Roman" w:hAnsi="Times New Roman" w:cs="Times New Roman"/>
          <w:b/>
          <w:bCs/>
          <w:lang w:val="en-AU" w:eastAsia="ja-JP"/>
        </w:rPr>
        <w:t>SWO-1</w:t>
      </w:r>
      <w:r w:rsidRPr="00D46683">
        <w:rPr>
          <w:rFonts w:ascii="Times New Roman" w:hAnsi="Times New Roman" w:cs="Times New Roman"/>
          <w:b/>
          <w:bCs/>
          <w:lang w:val="en-AU" w:eastAsia="ko-KR"/>
        </w:rPr>
        <w:t>1</w:t>
      </w:r>
      <w:r w:rsidRPr="00D46683">
        <w:rPr>
          <w:rFonts w:ascii="Times New Roman" w:eastAsia="PMingLiU" w:hAnsi="Times New Roman" w:cs="Times New Roman"/>
          <w:lang w:val="en-AU" w:eastAsia="zh-TW"/>
        </w:rPr>
        <w:t xml:space="preserve">. Estimates of reduction in spawning potential due to fishing by region, and over all regions (lower </w:t>
      </w:r>
      <w:r w:rsidRPr="00D46683">
        <w:rPr>
          <w:rFonts w:ascii="Times New Roman" w:eastAsia="Times New Roman" w:hAnsi="Times New Roman" w:cs="Times New Roman"/>
          <w:lang w:val="en-AU" w:eastAsia="ja-JP"/>
        </w:rPr>
        <w:t>left</w:t>
      </w:r>
      <w:r w:rsidRPr="00D46683">
        <w:rPr>
          <w:rFonts w:ascii="Times New Roman" w:eastAsia="PMingLiU" w:hAnsi="Times New Roman" w:cs="Times New Roman"/>
          <w:lang w:val="en-AU" w:eastAsia="zh-TW"/>
        </w:rPr>
        <w:t xml:space="preserve"> panel), attributed to various fishery groups (distant water ‘north’, ‘central’ and ‘south’, corresponding to the model regions, and a combined domestic fleet) for the diagnostic case model.</w:t>
      </w:r>
      <w:r w:rsidRPr="00D46683">
        <w:rPr>
          <w:rFonts w:ascii="Times New Roman" w:eastAsia="Times New Roman" w:hAnsi="Times New Roman" w:cs="Times New Roman"/>
          <w:lang w:val="en-AU" w:eastAsia="ja-JP"/>
        </w:rPr>
        <w:t xml:space="preserve"> </w:t>
      </w:r>
    </w:p>
    <w:p w14:paraId="27BE2FE0" w14:textId="77777777" w:rsidR="00F44783" w:rsidRPr="00D46683" w:rsidRDefault="00F44783" w:rsidP="00F44783">
      <w:pPr>
        <w:adjustRightInd w:val="0"/>
        <w:spacing w:after="0" w:line="240" w:lineRule="auto"/>
        <w:rPr>
          <w:rFonts w:ascii="Times New Roman" w:hAnsi="Times New Roman" w:cs="Times New Roman"/>
          <w:b/>
          <w:bCs/>
          <w:lang w:eastAsia="ko-KR"/>
        </w:rPr>
      </w:pPr>
    </w:p>
    <w:p w14:paraId="463F7752" w14:textId="77777777" w:rsidR="00F44783" w:rsidRPr="00D46683" w:rsidRDefault="00F44783" w:rsidP="00F44783">
      <w:pPr>
        <w:adjustRightInd w:val="0"/>
        <w:spacing w:after="0" w:line="240" w:lineRule="auto"/>
        <w:rPr>
          <w:rFonts w:ascii="Times New Roman" w:eastAsia="Times New Roman" w:hAnsi="Times New Roman" w:cs="Times New Roman"/>
          <w:lang w:val="en-AU" w:eastAsia="ja-JP"/>
        </w:rPr>
      </w:pPr>
      <w:r w:rsidRPr="00D46683">
        <w:rPr>
          <w:rFonts w:ascii="Times New Roman" w:eastAsia="PMingLiU" w:hAnsi="Times New Roman" w:cs="Times New Roman"/>
          <w:b/>
          <w:bCs/>
          <w:lang w:val="en-AU" w:eastAsia="zh-TW"/>
        </w:rPr>
        <w:t xml:space="preserve">Table </w:t>
      </w:r>
      <w:r w:rsidRPr="00D46683">
        <w:rPr>
          <w:rFonts w:ascii="Times New Roman" w:eastAsia="Times New Roman" w:hAnsi="Times New Roman" w:cs="Times New Roman"/>
          <w:b/>
          <w:bCs/>
          <w:lang w:val="en-AU" w:eastAsia="ja-JP"/>
        </w:rPr>
        <w:t>SWO-</w:t>
      </w:r>
      <w:r w:rsidRPr="00D46683">
        <w:rPr>
          <w:rFonts w:ascii="Times New Roman" w:eastAsia="PMingLiU" w:hAnsi="Times New Roman" w:cs="Times New Roman"/>
          <w:b/>
          <w:bCs/>
          <w:lang w:val="en-AU" w:eastAsia="zh-TW"/>
        </w:rPr>
        <w:t>2</w:t>
      </w:r>
      <w:r w:rsidRPr="00D46683">
        <w:rPr>
          <w:rFonts w:ascii="Times New Roman" w:eastAsia="PMingLiU" w:hAnsi="Times New Roman" w:cs="Times New Roman"/>
          <w:lang w:val="en-AU" w:eastAsia="zh-TW"/>
        </w:rPr>
        <w:t xml:space="preserve">. Summary of reference points over the </w:t>
      </w:r>
      <w:r w:rsidRPr="00D46683">
        <w:rPr>
          <w:rFonts w:ascii="Times New Roman" w:eastAsia="Times New Roman" w:hAnsi="Times New Roman" w:cs="Times New Roman"/>
          <w:lang w:val="en-AU" w:eastAsia="ja-JP"/>
        </w:rPr>
        <w:t>72</w:t>
      </w:r>
      <w:r w:rsidRPr="00D46683">
        <w:rPr>
          <w:rFonts w:ascii="Times New Roman" w:eastAsia="PMingLiU" w:hAnsi="Times New Roman" w:cs="Times New Roman"/>
          <w:lang w:val="en-AU" w:eastAsia="zh-TW"/>
        </w:rPr>
        <w:t xml:space="preserve"> models in the structural uncertainty grid for management advice. Note that SB</w:t>
      </w:r>
      <w:r w:rsidRPr="00D46683">
        <w:rPr>
          <w:rFonts w:ascii="Times New Roman" w:eastAsia="PMingLiU" w:hAnsi="Times New Roman" w:cs="Times New Roman"/>
          <w:i/>
          <w:vertAlign w:val="subscript"/>
          <w:lang w:val="en-AU" w:eastAsia="zh-TW"/>
        </w:rPr>
        <w:t>recent</w:t>
      </w:r>
      <w:r w:rsidRPr="00D46683">
        <w:rPr>
          <w:rFonts w:ascii="Times New Roman" w:eastAsia="PMingLiU" w:hAnsi="Times New Roman" w:cs="Times New Roman"/>
          <w:lang w:val="en-AU" w:eastAsia="zh-TW"/>
        </w:rPr>
        <w:t>/SB</w:t>
      </w:r>
      <w:r w:rsidRPr="00D46683">
        <w:rPr>
          <w:rFonts w:ascii="Times New Roman" w:eastAsia="PMingLiU" w:hAnsi="Times New Roman" w:cs="Times New Roman"/>
          <w:i/>
          <w:vertAlign w:val="subscript"/>
          <w:lang w:val="en-AU" w:eastAsia="zh-TW"/>
        </w:rPr>
        <w:t>F=0</w:t>
      </w:r>
      <w:r w:rsidRPr="00D46683">
        <w:rPr>
          <w:rFonts w:ascii="Times New Roman" w:eastAsia="PMingLiU" w:hAnsi="Times New Roman" w:cs="Times New Roman"/>
          <w:i/>
          <w:lang w:val="en-AU" w:eastAsia="zh-TW"/>
        </w:rPr>
        <w:t xml:space="preserve"> </w:t>
      </w:r>
      <w:r w:rsidRPr="00D46683">
        <w:rPr>
          <w:rFonts w:ascii="Times New Roman" w:eastAsia="PMingLiU" w:hAnsi="Times New Roman" w:cs="Times New Roman"/>
          <w:lang w:val="en-AU" w:eastAsia="zh-TW"/>
        </w:rPr>
        <w:t>is calculated where SB</w:t>
      </w:r>
      <w:r w:rsidRPr="00D46683">
        <w:rPr>
          <w:rFonts w:ascii="Times New Roman" w:eastAsia="PMingLiU" w:hAnsi="Times New Roman" w:cs="Times New Roman"/>
          <w:i/>
          <w:vertAlign w:val="subscript"/>
          <w:lang w:val="en-AU" w:eastAsia="zh-TW"/>
        </w:rPr>
        <w:t>recent</w:t>
      </w:r>
      <w:r w:rsidRPr="00D46683">
        <w:rPr>
          <w:rFonts w:ascii="Times New Roman" w:eastAsia="PMingLiU" w:hAnsi="Times New Roman" w:cs="Times New Roman"/>
          <w:i/>
          <w:lang w:val="en-AU" w:eastAsia="zh-TW"/>
        </w:rPr>
        <w:t xml:space="preserve"> </w:t>
      </w:r>
      <w:r w:rsidRPr="00D46683">
        <w:rPr>
          <w:rFonts w:ascii="Times New Roman" w:eastAsia="PMingLiU" w:hAnsi="Times New Roman" w:cs="Times New Roman"/>
          <w:lang w:val="en-AU" w:eastAsia="zh-TW"/>
        </w:rPr>
        <w:t>is the mean SB over 2012-2015 instead of 2011-2014 (used in the stock assessment report), at the request of the Scientific Committee.</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F44783" w:rsidRPr="00D46683" w14:paraId="7733F79C" w14:textId="77777777" w:rsidTr="00573C70">
        <w:tc>
          <w:tcPr>
            <w:tcW w:w="1732" w:type="dxa"/>
            <w:tcBorders>
              <w:top w:val="single" w:sz="4" w:space="0" w:color="auto"/>
              <w:bottom w:val="single" w:sz="4" w:space="0" w:color="auto"/>
            </w:tcBorders>
            <w:shd w:val="clear" w:color="auto" w:fill="auto"/>
          </w:tcPr>
          <w:p w14:paraId="0BD1618E" w14:textId="77777777" w:rsidR="00F44783" w:rsidRPr="00D46683" w:rsidRDefault="00F44783" w:rsidP="00F44783">
            <w:pPr>
              <w:adjustRightInd w:val="0"/>
              <w:spacing w:after="0" w:line="240" w:lineRule="auto"/>
              <w:rPr>
                <w:rFonts w:ascii="Times New Roman" w:eastAsia="Times New Roman" w:hAnsi="Times New Roman" w:cs="Times New Roman"/>
                <w:b/>
                <w:lang w:eastAsia="ja-JP"/>
              </w:rPr>
            </w:pPr>
          </w:p>
        </w:tc>
        <w:tc>
          <w:tcPr>
            <w:tcW w:w="1264" w:type="dxa"/>
            <w:tcBorders>
              <w:top w:val="single" w:sz="4" w:space="0" w:color="auto"/>
              <w:bottom w:val="single" w:sz="4" w:space="0" w:color="auto"/>
            </w:tcBorders>
            <w:shd w:val="clear" w:color="auto" w:fill="auto"/>
            <w:vAlign w:val="bottom"/>
          </w:tcPr>
          <w:p w14:paraId="7A98331D" w14:textId="77777777" w:rsidR="00F44783" w:rsidRPr="00D46683" w:rsidRDefault="00F44783" w:rsidP="00F44783">
            <w:pPr>
              <w:adjustRightInd w:val="0"/>
              <w:spacing w:after="0" w:line="240" w:lineRule="auto"/>
              <w:jc w:val="center"/>
              <w:rPr>
                <w:rFonts w:ascii="Times New Roman" w:eastAsia="Times New Roman" w:hAnsi="Times New Roman" w:cs="Times New Roman"/>
                <w:b/>
                <w:lang w:eastAsia="ja-JP"/>
              </w:rPr>
            </w:pPr>
            <w:r w:rsidRPr="00D46683">
              <w:rPr>
                <w:rFonts w:ascii="Times New Roman" w:eastAsia="Times New Roman" w:hAnsi="Times New Roman" w:cs="Times New Roman"/>
                <w:b/>
                <w:lang w:eastAsia="ja-JP"/>
              </w:rPr>
              <w:t>Mean</w:t>
            </w:r>
          </w:p>
        </w:tc>
        <w:tc>
          <w:tcPr>
            <w:tcW w:w="1265" w:type="dxa"/>
            <w:tcBorders>
              <w:top w:val="single" w:sz="4" w:space="0" w:color="auto"/>
              <w:bottom w:val="single" w:sz="4" w:space="0" w:color="auto"/>
            </w:tcBorders>
            <w:shd w:val="clear" w:color="auto" w:fill="auto"/>
            <w:vAlign w:val="bottom"/>
          </w:tcPr>
          <w:p w14:paraId="3BEDD805" w14:textId="77777777" w:rsidR="00F44783" w:rsidRPr="00D46683" w:rsidRDefault="00F44783" w:rsidP="00F44783">
            <w:pPr>
              <w:adjustRightInd w:val="0"/>
              <w:spacing w:after="0" w:line="240" w:lineRule="auto"/>
              <w:jc w:val="center"/>
              <w:rPr>
                <w:rFonts w:ascii="Times New Roman" w:eastAsia="Times New Roman" w:hAnsi="Times New Roman" w:cs="Times New Roman"/>
                <w:b/>
                <w:lang w:eastAsia="ja-JP"/>
              </w:rPr>
            </w:pPr>
            <w:r w:rsidRPr="00D46683">
              <w:rPr>
                <w:rFonts w:ascii="Times New Roman" w:eastAsia="Times New Roman" w:hAnsi="Times New Roman" w:cs="Times New Roman"/>
                <w:b/>
                <w:lang w:eastAsia="ja-JP"/>
              </w:rPr>
              <w:t>Median</w:t>
            </w:r>
          </w:p>
        </w:tc>
        <w:tc>
          <w:tcPr>
            <w:tcW w:w="1265" w:type="dxa"/>
            <w:tcBorders>
              <w:top w:val="single" w:sz="4" w:space="0" w:color="auto"/>
              <w:bottom w:val="single" w:sz="4" w:space="0" w:color="auto"/>
            </w:tcBorders>
            <w:shd w:val="clear" w:color="auto" w:fill="auto"/>
            <w:vAlign w:val="bottom"/>
          </w:tcPr>
          <w:p w14:paraId="2E8514A7" w14:textId="77777777" w:rsidR="00F44783" w:rsidRPr="00D46683" w:rsidRDefault="00F44783" w:rsidP="00F44783">
            <w:pPr>
              <w:adjustRightInd w:val="0"/>
              <w:spacing w:after="0" w:line="240" w:lineRule="auto"/>
              <w:jc w:val="center"/>
              <w:rPr>
                <w:rFonts w:ascii="Times New Roman" w:eastAsia="Times New Roman" w:hAnsi="Times New Roman" w:cs="Times New Roman"/>
                <w:b/>
                <w:lang w:eastAsia="ja-JP"/>
              </w:rPr>
            </w:pPr>
            <w:r w:rsidRPr="00D46683">
              <w:rPr>
                <w:rFonts w:ascii="Times New Roman" w:eastAsia="Times New Roman" w:hAnsi="Times New Roman" w:cs="Times New Roman"/>
                <w:b/>
                <w:lang w:eastAsia="ja-JP"/>
              </w:rPr>
              <w:t>Min</w:t>
            </w:r>
          </w:p>
        </w:tc>
        <w:tc>
          <w:tcPr>
            <w:tcW w:w="1265" w:type="dxa"/>
            <w:tcBorders>
              <w:top w:val="single" w:sz="4" w:space="0" w:color="auto"/>
              <w:bottom w:val="single" w:sz="4" w:space="0" w:color="auto"/>
            </w:tcBorders>
            <w:shd w:val="clear" w:color="auto" w:fill="auto"/>
            <w:vAlign w:val="bottom"/>
          </w:tcPr>
          <w:p w14:paraId="42762688" w14:textId="77777777" w:rsidR="00F44783" w:rsidRPr="00D46683" w:rsidRDefault="00F44783" w:rsidP="00F44783">
            <w:pPr>
              <w:adjustRightInd w:val="0"/>
              <w:spacing w:after="0" w:line="240" w:lineRule="auto"/>
              <w:jc w:val="center"/>
              <w:rPr>
                <w:rFonts w:ascii="Times New Roman" w:eastAsia="Times New Roman" w:hAnsi="Times New Roman" w:cs="Times New Roman"/>
                <w:b/>
                <w:lang w:eastAsia="ja-JP"/>
              </w:rPr>
            </w:pPr>
            <w:r w:rsidRPr="00D46683">
              <w:rPr>
                <w:rFonts w:ascii="Times New Roman" w:eastAsia="Times New Roman" w:hAnsi="Times New Roman" w:cs="Times New Roman"/>
                <w:b/>
                <w:lang w:eastAsia="ja-JP"/>
              </w:rPr>
              <w:t>10%</w:t>
            </w:r>
          </w:p>
        </w:tc>
        <w:tc>
          <w:tcPr>
            <w:tcW w:w="1265" w:type="dxa"/>
            <w:tcBorders>
              <w:top w:val="single" w:sz="4" w:space="0" w:color="auto"/>
              <w:bottom w:val="single" w:sz="4" w:space="0" w:color="auto"/>
            </w:tcBorders>
            <w:shd w:val="clear" w:color="auto" w:fill="auto"/>
            <w:vAlign w:val="bottom"/>
          </w:tcPr>
          <w:p w14:paraId="49B0FD68" w14:textId="77777777" w:rsidR="00F44783" w:rsidRPr="00D46683" w:rsidRDefault="00F44783" w:rsidP="00F44783">
            <w:pPr>
              <w:adjustRightInd w:val="0"/>
              <w:spacing w:after="0" w:line="240" w:lineRule="auto"/>
              <w:jc w:val="center"/>
              <w:rPr>
                <w:rFonts w:ascii="Times New Roman" w:eastAsia="Times New Roman" w:hAnsi="Times New Roman" w:cs="Times New Roman"/>
                <w:b/>
                <w:lang w:eastAsia="ja-JP"/>
              </w:rPr>
            </w:pPr>
            <w:r w:rsidRPr="00D46683">
              <w:rPr>
                <w:rFonts w:ascii="Times New Roman" w:eastAsia="Times New Roman" w:hAnsi="Times New Roman" w:cs="Times New Roman"/>
                <w:b/>
                <w:lang w:eastAsia="ja-JP"/>
              </w:rPr>
              <w:t>90%</w:t>
            </w:r>
          </w:p>
        </w:tc>
        <w:tc>
          <w:tcPr>
            <w:tcW w:w="1265" w:type="dxa"/>
            <w:tcBorders>
              <w:top w:val="single" w:sz="4" w:space="0" w:color="auto"/>
              <w:bottom w:val="single" w:sz="4" w:space="0" w:color="auto"/>
            </w:tcBorders>
            <w:shd w:val="clear" w:color="auto" w:fill="auto"/>
            <w:vAlign w:val="bottom"/>
          </w:tcPr>
          <w:p w14:paraId="25F65BFE" w14:textId="77777777" w:rsidR="00F44783" w:rsidRPr="00D46683" w:rsidRDefault="00F44783" w:rsidP="00F44783">
            <w:pPr>
              <w:adjustRightInd w:val="0"/>
              <w:spacing w:after="0" w:line="240" w:lineRule="auto"/>
              <w:jc w:val="center"/>
              <w:rPr>
                <w:rFonts w:ascii="Times New Roman" w:eastAsia="Times New Roman" w:hAnsi="Times New Roman" w:cs="Times New Roman"/>
                <w:b/>
                <w:lang w:eastAsia="ja-JP"/>
              </w:rPr>
            </w:pPr>
            <w:r w:rsidRPr="00D46683">
              <w:rPr>
                <w:rFonts w:ascii="Times New Roman" w:eastAsia="Times New Roman" w:hAnsi="Times New Roman" w:cs="Times New Roman"/>
                <w:b/>
                <w:lang w:eastAsia="ja-JP"/>
              </w:rPr>
              <w:t>Max</w:t>
            </w:r>
          </w:p>
        </w:tc>
      </w:tr>
      <w:tr w:rsidR="00F44783" w:rsidRPr="00D46683" w14:paraId="6CEA53E3" w14:textId="77777777" w:rsidTr="00573C70">
        <w:tc>
          <w:tcPr>
            <w:tcW w:w="1732" w:type="dxa"/>
            <w:tcBorders>
              <w:top w:val="single" w:sz="4" w:space="0" w:color="auto"/>
            </w:tcBorders>
            <w:shd w:val="clear" w:color="auto" w:fill="auto"/>
          </w:tcPr>
          <w:p w14:paraId="1FAF21CC"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lastRenderedPageBreak/>
              <w:t>C</w:t>
            </w:r>
            <w:r w:rsidRPr="00D46683">
              <w:rPr>
                <w:rFonts w:ascii="Times New Roman" w:eastAsia="Times New Roman" w:hAnsi="Times New Roman" w:cs="Times New Roman"/>
                <w:i/>
                <w:vertAlign w:val="subscript"/>
                <w:lang w:eastAsia="ja-JP"/>
              </w:rPr>
              <w:t>latest</w:t>
            </w:r>
          </w:p>
        </w:tc>
        <w:tc>
          <w:tcPr>
            <w:tcW w:w="1264" w:type="dxa"/>
            <w:tcBorders>
              <w:top w:val="single" w:sz="4" w:space="0" w:color="auto"/>
            </w:tcBorders>
            <w:shd w:val="clear" w:color="auto" w:fill="auto"/>
            <w:vAlign w:val="center"/>
          </w:tcPr>
          <w:p w14:paraId="1CB047FC"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9,884</w:t>
            </w:r>
          </w:p>
        </w:tc>
        <w:tc>
          <w:tcPr>
            <w:tcW w:w="1265" w:type="dxa"/>
            <w:tcBorders>
              <w:top w:val="single" w:sz="4" w:space="0" w:color="auto"/>
            </w:tcBorders>
            <w:shd w:val="clear" w:color="auto" w:fill="auto"/>
            <w:vAlign w:val="center"/>
          </w:tcPr>
          <w:p w14:paraId="31C63CDB"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9,884</w:t>
            </w:r>
          </w:p>
        </w:tc>
        <w:tc>
          <w:tcPr>
            <w:tcW w:w="1265" w:type="dxa"/>
            <w:tcBorders>
              <w:top w:val="single" w:sz="4" w:space="0" w:color="auto"/>
            </w:tcBorders>
            <w:shd w:val="clear" w:color="auto" w:fill="auto"/>
            <w:vAlign w:val="center"/>
          </w:tcPr>
          <w:p w14:paraId="1D195AC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9,318</w:t>
            </w:r>
          </w:p>
        </w:tc>
        <w:tc>
          <w:tcPr>
            <w:tcW w:w="1265" w:type="dxa"/>
            <w:tcBorders>
              <w:top w:val="single" w:sz="4" w:space="0" w:color="auto"/>
            </w:tcBorders>
            <w:shd w:val="clear" w:color="auto" w:fill="auto"/>
            <w:vAlign w:val="center"/>
          </w:tcPr>
          <w:p w14:paraId="70BC472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9,343</w:t>
            </w:r>
          </w:p>
        </w:tc>
        <w:tc>
          <w:tcPr>
            <w:tcW w:w="1265" w:type="dxa"/>
            <w:tcBorders>
              <w:top w:val="single" w:sz="4" w:space="0" w:color="auto"/>
            </w:tcBorders>
            <w:shd w:val="clear" w:color="auto" w:fill="auto"/>
            <w:vAlign w:val="center"/>
          </w:tcPr>
          <w:p w14:paraId="020197BB"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10,157</w:t>
            </w:r>
          </w:p>
        </w:tc>
        <w:tc>
          <w:tcPr>
            <w:tcW w:w="1265" w:type="dxa"/>
            <w:tcBorders>
              <w:top w:val="single" w:sz="4" w:space="0" w:color="auto"/>
            </w:tcBorders>
            <w:shd w:val="clear" w:color="auto" w:fill="auto"/>
            <w:vAlign w:val="center"/>
          </w:tcPr>
          <w:p w14:paraId="1226933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10,287</w:t>
            </w:r>
          </w:p>
        </w:tc>
      </w:tr>
      <w:tr w:rsidR="00F44783" w:rsidRPr="00D46683" w14:paraId="00126888" w14:textId="77777777" w:rsidTr="00573C70">
        <w:tc>
          <w:tcPr>
            <w:tcW w:w="1732" w:type="dxa"/>
            <w:shd w:val="clear" w:color="auto" w:fill="auto"/>
          </w:tcPr>
          <w:p w14:paraId="74A11111"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MSY</w:t>
            </w:r>
          </w:p>
        </w:tc>
        <w:tc>
          <w:tcPr>
            <w:tcW w:w="1264" w:type="dxa"/>
            <w:shd w:val="clear" w:color="auto" w:fill="auto"/>
            <w:vAlign w:val="center"/>
          </w:tcPr>
          <w:p w14:paraId="62189EB4"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8,172</w:t>
            </w:r>
          </w:p>
        </w:tc>
        <w:tc>
          <w:tcPr>
            <w:tcW w:w="1265" w:type="dxa"/>
            <w:shd w:val="clear" w:color="auto" w:fill="auto"/>
            <w:vAlign w:val="center"/>
          </w:tcPr>
          <w:p w14:paraId="658D3E06"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7,913</w:t>
            </w:r>
          </w:p>
        </w:tc>
        <w:tc>
          <w:tcPr>
            <w:tcW w:w="1265" w:type="dxa"/>
            <w:shd w:val="clear" w:color="auto" w:fill="auto"/>
            <w:vAlign w:val="center"/>
          </w:tcPr>
          <w:p w14:paraId="769155D3"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5,905</w:t>
            </w:r>
          </w:p>
        </w:tc>
        <w:tc>
          <w:tcPr>
            <w:tcW w:w="1265" w:type="dxa"/>
            <w:shd w:val="clear" w:color="auto" w:fill="auto"/>
            <w:vAlign w:val="center"/>
          </w:tcPr>
          <w:p w14:paraId="40968433"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6,396</w:t>
            </w:r>
          </w:p>
        </w:tc>
        <w:tc>
          <w:tcPr>
            <w:tcW w:w="1265" w:type="dxa"/>
            <w:shd w:val="clear" w:color="auto" w:fill="auto"/>
            <w:vAlign w:val="center"/>
          </w:tcPr>
          <w:p w14:paraId="695A7EC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10,150</w:t>
            </w:r>
          </w:p>
        </w:tc>
        <w:tc>
          <w:tcPr>
            <w:tcW w:w="1265" w:type="dxa"/>
            <w:shd w:val="clear" w:color="auto" w:fill="auto"/>
            <w:vAlign w:val="center"/>
          </w:tcPr>
          <w:p w14:paraId="4FBF7C5A"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11,360</w:t>
            </w:r>
          </w:p>
        </w:tc>
      </w:tr>
      <w:tr w:rsidR="00F44783" w:rsidRPr="00D46683" w14:paraId="6B1AB561" w14:textId="77777777" w:rsidTr="00573C70">
        <w:tc>
          <w:tcPr>
            <w:tcW w:w="1732" w:type="dxa"/>
            <w:shd w:val="clear" w:color="auto" w:fill="auto"/>
          </w:tcPr>
          <w:p w14:paraId="5D40E918"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Y</w:t>
            </w:r>
            <w:r w:rsidRPr="00D46683">
              <w:rPr>
                <w:rFonts w:ascii="Times New Roman" w:eastAsia="Times New Roman" w:hAnsi="Times New Roman" w:cs="Times New Roman"/>
                <w:i/>
                <w:vertAlign w:val="subscript"/>
                <w:lang w:eastAsia="ja-JP"/>
              </w:rPr>
              <w:t>Frecent</w:t>
            </w:r>
          </w:p>
        </w:tc>
        <w:tc>
          <w:tcPr>
            <w:tcW w:w="1264" w:type="dxa"/>
            <w:shd w:val="clear" w:color="auto" w:fill="auto"/>
            <w:vAlign w:val="center"/>
          </w:tcPr>
          <w:p w14:paraId="1E3B26B2"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7,628</w:t>
            </w:r>
          </w:p>
        </w:tc>
        <w:tc>
          <w:tcPr>
            <w:tcW w:w="1265" w:type="dxa"/>
            <w:shd w:val="clear" w:color="auto" w:fill="auto"/>
            <w:vAlign w:val="center"/>
          </w:tcPr>
          <w:p w14:paraId="5E484E22"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7,775</w:t>
            </w:r>
          </w:p>
        </w:tc>
        <w:tc>
          <w:tcPr>
            <w:tcW w:w="1265" w:type="dxa"/>
            <w:shd w:val="clear" w:color="auto" w:fill="auto"/>
            <w:vAlign w:val="center"/>
          </w:tcPr>
          <w:p w14:paraId="16EA5588"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4,998</w:t>
            </w:r>
          </w:p>
        </w:tc>
        <w:tc>
          <w:tcPr>
            <w:tcW w:w="1265" w:type="dxa"/>
            <w:shd w:val="clear" w:color="auto" w:fill="auto"/>
            <w:vAlign w:val="center"/>
          </w:tcPr>
          <w:p w14:paraId="36DFFA74"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6,062</w:t>
            </w:r>
          </w:p>
        </w:tc>
        <w:tc>
          <w:tcPr>
            <w:tcW w:w="1265" w:type="dxa"/>
            <w:shd w:val="clear" w:color="auto" w:fill="auto"/>
            <w:vAlign w:val="center"/>
          </w:tcPr>
          <w:p w14:paraId="499808E2"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8,948</w:t>
            </w:r>
          </w:p>
        </w:tc>
        <w:tc>
          <w:tcPr>
            <w:tcW w:w="1265" w:type="dxa"/>
            <w:shd w:val="clear" w:color="auto" w:fill="auto"/>
            <w:vAlign w:val="center"/>
          </w:tcPr>
          <w:p w14:paraId="6899B0A6"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9,684</w:t>
            </w:r>
          </w:p>
        </w:tc>
      </w:tr>
      <w:tr w:rsidR="00F44783" w:rsidRPr="00D46683" w14:paraId="685A3009" w14:textId="77777777" w:rsidTr="00573C70">
        <w:tc>
          <w:tcPr>
            <w:tcW w:w="1732" w:type="dxa"/>
            <w:shd w:val="clear" w:color="auto" w:fill="auto"/>
          </w:tcPr>
          <w:p w14:paraId="7AAD4BB6"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f</w:t>
            </w:r>
            <w:r w:rsidRPr="00D46683">
              <w:rPr>
                <w:rFonts w:ascii="Times New Roman" w:eastAsia="Times New Roman" w:hAnsi="Times New Roman" w:cs="Times New Roman"/>
                <w:i/>
                <w:vertAlign w:val="subscript"/>
                <w:lang w:eastAsia="ja-JP"/>
              </w:rPr>
              <w:t>mult</w:t>
            </w:r>
          </w:p>
        </w:tc>
        <w:tc>
          <w:tcPr>
            <w:tcW w:w="1264" w:type="dxa"/>
            <w:shd w:val="clear" w:color="auto" w:fill="auto"/>
            <w:vAlign w:val="center"/>
          </w:tcPr>
          <w:p w14:paraId="653E8086"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1.27</w:t>
            </w:r>
          </w:p>
        </w:tc>
        <w:tc>
          <w:tcPr>
            <w:tcW w:w="1265" w:type="dxa"/>
            <w:shd w:val="clear" w:color="auto" w:fill="auto"/>
            <w:vAlign w:val="center"/>
          </w:tcPr>
          <w:p w14:paraId="29D574D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1.15</w:t>
            </w:r>
          </w:p>
        </w:tc>
        <w:tc>
          <w:tcPr>
            <w:tcW w:w="1265" w:type="dxa"/>
            <w:shd w:val="clear" w:color="auto" w:fill="auto"/>
            <w:vAlign w:val="center"/>
          </w:tcPr>
          <w:p w14:paraId="7CEF2B1F"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0.66</w:t>
            </w:r>
          </w:p>
        </w:tc>
        <w:tc>
          <w:tcPr>
            <w:tcW w:w="1265" w:type="dxa"/>
            <w:shd w:val="clear" w:color="auto" w:fill="auto"/>
            <w:vAlign w:val="center"/>
          </w:tcPr>
          <w:p w14:paraId="7E56431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0.79</w:t>
            </w:r>
          </w:p>
        </w:tc>
        <w:tc>
          <w:tcPr>
            <w:tcW w:w="1265" w:type="dxa"/>
            <w:shd w:val="clear" w:color="auto" w:fill="auto"/>
            <w:vAlign w:val="center"/>
          </w:tcPr>
          <w:p w14:paraId="4E599D4E"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1.89</w:t>
            </w:r>
          </w:p>
        </w:tc>
        <w:tc>
          <w:tcPr>
            <w:tcW w:w="1265" w:type="dxa"/>
            <w:shd w:val="clear" w:color="auto" w:fill="auto"/>
            <w:vAlign w:val="center"/>
          </w:tcPr>
          <w:p w14:paraId="5EF49738"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2.32</w:t>
            </w:r>
          </w:p>
        </w:tc>
      </w:tr>
      <w:tr w:rsidR="00F44783" w:rsidRPr="00D46683" w14:paraId="0CFECB11" w14:textId="77777777" w:rsidTr="00573C70">
        <w:tc>
          <w:tcPr>
            <w:tcW w:w="1732" w:type="dxa"/>
            <w:shd w:val="clear" w:color="auto" w:fill="auto"/>
          </w:tcPr>
          <w:p w14:paraId="66F1AA4D"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F</w:t>
            </w:r>
            <w:r w:rsidRPr="00D46683">
              <w:rPr>
                <w:rFonts w:ascii="Times New Roman" w:hAnsi="Times New Roman" w:cs="Times New Roman"/>
                <w:vertAlign w:val="subscript"/>
                <w:lang w:val="en-AU"/>
              </w:rPr>
              <w:t>MSY</w:t>
            </w:r>
          </w:p>
        </w:tc>
        <w:tc>
          <w:tcPr>
            <w:tcW w:w="1264" w:type="dxa"/>
            <w:shd w:val="clear" w:color="auto" w:fill="auto"/>
            <w:vAlign w:val="center"/>
          </w:tcPr>
          <w:p w14:paraId="601F2E6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0.16</w:t>
            </w:r>
          </w:p>
        </w:tc>
        <w:tc>
          <w:tcPr>
            <w:tcW w:w="1265" w:type="dxa"/>
            <w:shd w:val="clear" w:color="auto" w:fill="auto"/>
            <w:vAlign w:val="center"/>
          </w:tcPr>
          <w:p w14:paraId="2744FF5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0.14</w:t>
            </w:r>
          </w:p>
        </w:tc>
        <w:tc>
          <w:tcPr>
            <w:tcW w:w="1265" w:type="dxa"/>
            <w:shd w:val="clear" w:color="auto" w:fill="auto"/>
            <w:vAlign w:val="center"/>
          </w:tcPr>
          <w:p w14:paraId="1D055E9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0.10</w:t>
            </w:r>
          </w:p>
        </w:tc>
        <w:tc>
          <w:tcPr>
            <w:tcW w:w="1265" w:type="dxa"/>
            <w:shd w:val="clear" w:color="auto" w:fill="auto"/>
            <w:vAlign w:val="center"/>
          </w:tcPr>
          <w:p w14:paraId="720B7FFA"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0.10</w:t>
            </w:r>
          </w:p>
        </w:tc>
        <w:tc>
          <w:tcPr>
            <w:tcW w:w="1265" w:type="dxa"/>
            <w:shd w:val="clear" w:color="auto" w:fill="auto"/>
            <w:vAlign w:val="center"/>
          </w:tcPr>
          <w:p w14:paraId="3E399CF2"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0.22</w:t>
            </w:r>
          </w:p>
        </w:tc>
        <w:tc>
          <w:tcPr>
            <w:tcW w:w="1265" w:type="dxa"/>
            <w:shd w:val="clear" w:color="auto" w:fill="auto"/>
            <w:vAlign w:val="center"/>
          </w:tcPr>
          <w:p w14:paraId="4346C4F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0.23</w:t>
            </w:r>
          </w:p>
        </w:tc>
      </w:tr>
      <w:tr w:rsidR="00F44783" w:rsidRPr="00D46683" w14:paraId="143228DC" w14:textId="77777777" w:rsidTr="00573C70">
        <w:tc>
          <w:tcPr>
            <w:tcW w:w="1732" w:type="dxa"/>
            <w:shd w:val="clear" w:color="auto" w:fill="auto"/>
          </w:tcPr>
          <w:p w14:paraId="25C0F969"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F</w:t>
            </w:r>
            <w:r w:rsidRPr="00D46683">
              <w:rPr>
                <w:rFonts w:ascii="Times New Roman" w:eastAsia="Times New Roman" w:hAnsi="Times New Roman" w:cs="Times New Roman"/>
                <w:i/>
                <w:vertAlign w:val="subscript"/>
                <w:lang w:eastAsia="ja-JP"/>
              </w:rPr>
              <w:t>recent</w:t>
            </w:r>
            <w:r w:rsidRPr="00D46683">
              <w:rPr>
                <w:rFonts w:ascii="Times New Roman" w:eastAsia="Times New Roman" w:hAnsi="Times New Roman" w:cs="Times New Roman"/>
                <w:i/>
                <w:lang w:eastAsia="ja-JP"/>
              </w:rPr>
              <w:t>/F</w:t>
            </w:r>
            <w:r w:rsidRPr="00D46683">
              <w:rPr>
                <w:rFonts w:ascii="Times New Roman" w:hAnsi="Times New Roman" w:cs="Times New Roman"/>
                <w:vertAlign w:val="subscript"/>
                <w:lang w:val="en-AU"/>
              </w:rPr>
              <w:t>MSY</w:t>
            </w:r>
          </w:p>
        </w:tc>
        <w:tc>
          <w:tcPr>
            <w:tcW w:w="1264" w:type="dxa"/>
            <w:shd w:val="clear" w:color="auto" w:fill="auto"/>
            <w:vAlign w:val="center"/>
          </w:tcPr>
          <w:p w14:paraId="772CE764"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0.88</w:t>
            </w:r>
          </w:p>
        </w:tc>
        <w:tc>
          <w:tcPr>
            <w:tcW w:w="1265" w:type="dxa"/>
            <w:shd w:val="clear" w:color="auto" w:fill="auto"/>
            <w:vAlign w:val="center"/>
          </w:tcPr>
          <w:p w14:paraId="10B5D4A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0.87</w:t>
            </w:r>
          </w:p>
        </w:tc>
        <w:tc>
          <w:tcPr>
            <w:tcW w:w="1265" w:type="dxa"/>
            <w:shd w:val="clear" w:color="auto" w:fill="auto"/>
            <w:vAlign w:val="center"/>
          </w:tcPr>
          <w:p w14:paraId="2AABBEBF"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0.43</w:t>
            </w:r>
          </w:p>
        </w:tc>
        <w:tc>
          <w:tcPr>
            <w:tcW w:w="1265" w:type="dxa"/>
            <w:shd w:val="clear" w:color="auto" w:fill="auto"/>
            <w:vAlign w:val="center"/>
          </w:tcPr>
          <w:p w14:paraId="19C1621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0.53</w:t>
            </w:r>
          </w:p>
        </w:tc>
        <w:tc>
          <w:tcPr>
            <w:tcW w:w="1265" w:type="dxa"/>
            <w:shd w:val="clear" w:color="auto" w:fill="auto"/>
            <w:vAlign w:val="center"/>
          </w:tcPr>
          <w:p w14:paraId="2ADC780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1.26</w:t>
            </w:r>
          </w:p>
        </w:tc>
        <w:tc>
          <w:tcPr>
            <w:tcW w:w="1265" w:type="dxa"/>
            <w:shd w:val="clear" w:color="auto" w:fill="auto"/>
            <w:vAlign w:val="center"/>
          </w:tcPr>
          <w:p w14:paraId="66F65BF1"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1.51</w:t>
            </w:r>
          </w:p>
        </w:tc>
      </w:tr>
      <w:tr w:rsidR="00F44783" w:rsidRPr="00D46683" w14:paraId="72961450" w14:textId="77777777" w:rsidTr="00573C70">
        <w:tc>
          <w:tcPr>
            <w:tcW w:w="1732" w:type="dxa"/>
            <w:shd w:val="clear" w:color="auto" w:fill="auto"/>
          </w:tcPr>
          <w:p w14:paraId="63564082"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SB</w:t>
            </w:r>
            <w:r w:rsidRPr="00D46683">
              <w:rPr>
                <w:rFonts w:ascii="Times New Roman" w:hAnsi="Times New Roman" w:cs="Times New Roman"/>
                <w:vertAlign w:val="subscript"/>
                <w:lang w:val="en-AU"/>
              </w:rPr>
              <w:t>MSY</w:t>
            </w:r>
          </w:p>
        </w:tc>
        <w:tc>
          <w:tcPr>
            <w:tcW w:w="1264" w:type="dxa"/>
            <w:shd w:val="clear" w:color="auto" w:fill="auto"/>
            <w:vAlign w:val="center"/>
          </w:tcPr>
          <w:p w14:paraId="7EF5AB1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17,314</w:t>
            </w:r>
          </w:p>
        </w:tc>
        <w:tc>
          <w:tcPr>
            <w:tcW w:w="1265" w:type="dxa"/>
            <w:shd w:val="clear" w:color="auto" w:fill="auto"/>
            <w:vAlign w:val="center"/>
          </w:tcPr>
          <w:p w14:paraId="31B198D4"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17,740</w:t>
            </w:r>
          </w:p>
        </w:tc>
        <w:tc>
          <w:tcPr>
            <w:tcW w:w="1265" w:type="dxa"/>
            <w:shd w:val="clear" w:color="auto" w:fill="auto"/>
            <w:vAlign w:val="center"/>
          </w:tcPr>
          <w:p w14:paraId="0540C01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7,278</w:t>
            </w:r>
          </w:p>
        </w:tc>
        <w:tc>
          <w:tcPr>
            <w:tcW w:w="1265" w:type="dxa"/>
            <w:shd w:val="clear" w:color="auto" w:fill="auto"/>
            <w:vAlign w:val="center"/>
          </w:tcPr>
          <w:p w14:paraId="2015888C"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8,943</w:t>
            </w:r>
          </w:p>
        </w:tc>
        <w:tc>
          <w:tcPr>
            <w:tcW w:w="1265" w:type="dxa"/>
            <w:shd w:val="clear" w:color="auto" w:fill="auto"/>
            <w:vAlign w:val="center"/>
          </w:tcPr>
          <w:p w14:paraId="75242F0F"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26,661</w:t>
            </w:r>
          </w:p>
        </w:tc>
        <w:tc>
          <w:tcPr>
            <w:tcW w:w="1265" w:type="dxa"/>
            <w:shd w:val="clear" w:color="auto" w:fill="auto"/>
            <w:vAlign w:val="center"/>
          </w:tcPr>
          <w:p w14:paraId="082E483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30,460</w:t>
            </w:r>
          </w:p>
        </w:tc>
      </w:tr>
      <w:tr w:rsidR="00F44783" w:rsidRPr="00D46683" w14:paraId="57F098CD" w14:textId="77777777" w:rsidTr="00573C70">
        <w:tc>
          <w:tcPr>
            <w:tcW w:w="1732" w:type="dxa"/>
            <w:shd w:val="clear" w:color="auto" w:fill="auto"/>
          </w:tcPr>
          <w:p w14:paraId="02963E32"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0</w:t>
            </w:r>
          </w:p>
        </w:tc>
        <w:tc>
          <w:tcPr>
            <w:tcW w:w="1264" w:type="dxa"/>
            <w:shd w:val="clear" w:color="auto" w:fill="auto"/>
            <w:vAlign w:val="center"/>
          </w:tcPr>
          <w:p w14:paraId="58DCC4D3"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84,173</w:t>
            </w:r>
          </w:p>
        </w:tc>
        <w:tc>
          <w:tcPr>
            <w:tcW w:w="1265" w:type="dxa"/>
            <w:shd w:val="clear" w:color="auto" w:fill="auto"/>
            <w:vAlign w:val="center"/>
          </w:tcPr>
          <w:p w14:paraId="2877C97E"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84,075</w:t>
            </w:r>
          </w:p>
        </w:tc>
        <w:tc>
          <w:tcPr>
            <w:tcW w:w="1265" w:type="dxa"/>
            <w:shd w:val="clear" w:color="auto" w:fill="auto"/>
            <w:vAlign w:val="center"/>
          </w:tcPr>
          <w:p w14:paraId="1679B46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57,070</w:t>
            </w:r>
          </w:p>
        </w:tc>
        <w:tc>
          <w:tcPr>
            <w:tcW w:w="1265" w:type="dxa"/>
            <w:shd w:val="clear" w:color="auto" w:fill="auto"/>
            <w:vAlign w:val="center"/>
          </w:tcPr>
          <w:p w14:paraId="560A8DC9"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71,199</w:t>
            </w:r>
          </w:p>
        </w:tc>
        <w:tc>
          <w:tcPr>
            <w:tcW w:w="1265" w:type="dxa"/>
            <w:shd w:val="clear" w:color="auto" w:fill="auto"/>
            <w:vAlign w:val="center"/>
          </w:tcPr>
          <w:p w14:paraId="6DEE44F6"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98,039</w:t>
            </w:r>
          </w:p>
        </w:tc>
        <w:tc>
          <w:tcPr>
            <w:tcW w:w="1265" w:type="dxa"/>
            <w:shd w:val="clear" w:color="auto" w:fill="auto"/>
            <w:vAlign w:val="center"/>
          </w:tcPr>
          <w:p w14:paraId="68D8959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111,000</w:t>
            </w:r>
          </w:p>
        </w:tc>
      </w:tr>
      <w:tr w:rsidR="00F44783" w:rsidRPr="00D46683" w14:paraId="131870A4" w14:textId="77777777" w:rsidTr="00573C70">
        <w:tc>
          <w:tcPr>
            <w:tcW w:w="1732" w:type="dxa"/>
            <w:shd w:val="clear" w:color="auto" w:fill="auto"/>
          </w:tcPr>
          <w:p w14:paraId="4422D879"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SB</w:t>
            </w:r>
            <w:r w:rsidRPr="00D46683">
              <w:rPr>
                <w:rFonts w:ascii="Times New Roman" w:hAnsi="Times New Roman" w:cs="Times New Roman"/>
                <w:vertAlign w:val="subscript"/>
                <w:lang w:val="en-AU"/>
              </w:rPr>
              <w:t>MSY</w:t>
            </w: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0</w:t>
            </w:r>
          </w:p>
        </w:tc>
        <w:tc>
          <w:tcPr>
            <w:tcW w:w="1264" w:type="dxa"/>
            <w:shd w:val="clear" w:color="auto" w:fill="auto"/>
            <w:vAlign w:val="center"/>
          </w:tcPr>
          <w:p w14:paraId="07D7784C"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0.20</w:t>
            </w:r>
          </w:p>
        </w:tc>
        <w:tc>
          <w:tcPr>
            <w:tcW w:w="1265" w:type="dxa"/>
            <w:shd w:val="clear" w:color="auto" w:fill="auto"/>
            <w:vAlign w:val="center"/>
          </w:tcPr>
          <w:p w14:paraId="702EA30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0.21</w:t>
            </w:r>
          </w:p>
        </w:tc>
        <w:tc>
          <w:tcPr>
            <w:tcW w:w="1265" w:type="dxa"/>
            <w:shd w:val="clear" w:color="auto" w:fill="auto"/>
            <w:vAlign w:val="center"/>
          </w:tcPr>
          <w:p w14:paraId="4830E57C"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0.11</w:t>
            </w:r>
          </w:p>
        </w:tc>
        <w:tc>
          <w:tcPr>
            <w:tcW w:w="1265" w:type="dxa"/>
            <w:shd w:val="clear" w:color="auto" w:fill="auto"/>
            <w:vAlign w:val="center"/>
          </w:tcPr>
          <w:p w14:paraId="16E0AAD4"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0.12</w:t>
            </w:r>
          </w:p>
        </w:tc>
        <w:tc>
          <w:tcPr>
            <w:tcW w:w="1265" w:type="dxa"/>
            <w:shd w:val="clear" w:color="auto" w:fill="auto"/>
            <w:vAlign w:val="center"/>
          </w:tcPr>
          <w:p w14:paraId="44064641"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0.28</w:t>
            </w:r>
          </w:p>
        </w:tc>
        <w:tc>
          <w:tcPr>
            <w:tcW w:w="1265" w:type="dxa"/>
            <w:shd w:val="clear" w:color="auto" w:fill="auto"/>
            <w:vAlign w:val="center"/>
          </w:tcPr>
          <w:p w14:paraId="3FC21124"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0.28</w:t>
            </w:r>
          </w:p>
        </w:tc>
      </w:tr>
      <w:tr w:rsidR="00F44783" w:rsidRPr="00D46683" w14:paraId="0404787C" w14:textId="77777777" w:rsidTr="00573C70">
        <w:tc>
          <w:tcPr>
            <w:tcW w:w="1732" w:type="dxa"/>
            <w:shd w:val="clear" w:color="auto" w:fill="auto"/>
          </w:tcPr>
          <w:p w14:paraId="2BA5FFE6"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F=0</w:t>
            </w:r>
          </w:p>
        </w:tc>
        <w:tc>
          <w:tcPr>
            <w:tcW w:w="1264" w:type="dxa"/>
            <w:shd w:val="clear" w:color="auto" w:fill="auto"/>
            <w:vAlign w:val="center"/>
          </w:tcPr>
          <w:p w14:paraId="1A56D68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78,619</w:t>
            </w:r>
          </w:p>
        </w:tc>
        <w:tc>
          <w:tcPr>
            <w:tcW w:w="1265" w:type="dxa"/>
            <w:shd w:val="clear" w:color="auto" w:fill="auto"/>
            <w:vAlign w:val="center"/>
          </w:tcPr>
          <w:p w14:paraId="106FABF8"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78,301</w:t>
            </w:r>
          </w:p>
        </w:tc>
        <w:tc>
          <w:tcPr>
            <w:tcW w:w="1265" w:type="dxa"/>
            <w:shd w:val="clear" w:color="auto" w:fill="auto"/>
            <w:vAlign w:val="center"/>
          </w:tcPr>
          <w:p w14:paraId="2724F6CD"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61,996</w:t>
            </w:r>
          </w:p>
        </w:tc>
        <w:tc>
          <w:tcPr>
            <w:tcW w:w="1265" w:type="dxa"/>
            <w:shd w:val="clear" w:color="auto" w:fill="auto"/>
            <w:vAlign w:val="center"/>
          </w:tcPr>
          <w:p w14:paraId="501CE8AB"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64,342</w:t>
            </w:r>
          </w:p>
        </w:tc>
        <w:tc>
          <w:tcPr>
            <w:tcW w:w="1265" w:type="dxa"/>
            <w:shd w:val="clear" w:color="auto" w:fill="auto"/>
            <w:vAlign w:val="center"/>
          </w:tcPr>
          <w:p w14:paraId="0016CBEE"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92,120</w:t>
            </w:r>
          </w:p>
        </w:tc>
        <w:tc>
          <w:tcPr>
            <w:tcW w:w="1265" w:type="dxa"/>
            <w:shd w:val="clear" w:color="auto" w:fill="auto"/>
            <w:vAlign w:val="center"/>
          </w:tcPr>
          <w:p w14:paraId="059A1AD8"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100,691</w:t>
            </w:r>
          </w:p>
        </w:tc>
      </w:tr>
      <w:tr w:rsidR="00F44783" w:rsidRPr="00D46683" w14:paraId="5FA1E30F" w14:textId="77777777" w:rsidTr="00573C70">
        <w:tc>
          <w:tcPr>
            <w:tcW w:w="1732" w:type="dxa"/>
            <w:shd w:val="clear" w:color="auto" w:fill="auto"/>
          </w:tcPr>
          <w:p w14:paraId="3A8EEE07"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SB</w:t>
            </w:r>
            <w:r w:rsidRPr="00D46683">
              <w:rPr>
                <w:rFonts w:ascii="Times New Roman" w:hAnsi="Times New Roman" w:cs="Times New Roman"/>
                <w:vertAlign w:val="subscript"/>
                <w:lang w:val="en-AU"/>
              </w:rPr>
              <w:t>MSY</w:t>
            </w: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F=0</w:t>
            </w:r>
          </w:p>
        </w:tc>
        <w:tc>
          <w:tcPr>
            <w:tcW w:w="1264" w:type="dxa"/>
            <w:shd w:val="clear" w:color="auto" w:fill="auto"/>
            <w:vAlign w:val="center"/>
          </w:tcPr>
          <w:p w14:paraId="184E670B"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0.22</w:t>
            </w:r>
          </w:p>
        </w:tc>
        <w:tc>
          <w:tcPr>
            <w:tcW w:w="1265" w:type="dxa"/>
            <w:shd w:val="clear" w:color="auto" w:fill="auto"/>
            <w:vAlign w:val="center"/>
          </w:tcPr>
          <w:p w14:paraId="12D3D2DC"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0.23</w:t>
            </w:r>
          </w:p>
        </w:tc>
        <w:tc>
          <w:tcPr>
            <w:tcW w:w="1265" w:type="dxa"/>
            <w:shd w:val="clear" w:color="auto" w:fill="auto"/>
            <w:vAlign w:val="center"/>
          </w:tcPr>
          <w:p w14:paraId="634D0ECC"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0.10</w:t>
            </w:r>
          </w:p>
        </w:tc>
        <w:tc>
          <w:tcPr>
            <w:tcW w:w="1265" w:type="dxa"/>
            <w:shd w:val="clear" w:color="auto" w:fill="auto"/>
            <w:vAlign w:val="center"/>
          </w:tcPr>
          <w:p w14:paraId="1E3D8FE3"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0.12</w:t>
            </w:r>
          </w:p>
        </w:tc>
        <w:tc>
          <w:tcPr>
            <w:tcW w:w="1265" w:type="dxa"/>
            <w:shd w:val="clear" w:color="auto" w:fill="auto"/>
            <w:vAlign w:val="center"/>
          </w:tcPr>
          <w:p w14:paraId="3AC5C0E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0.32</w:t>
            </w:r>
          </w:p>
        </w:tc>
        <w:tc>
          <w:tcPr>
            <w:tcW w:w="1265" w:type="dxa"/>
            <w:shd w:val="clear" w:color="auto" w:fill="auto"/>
            <w:vAlign w:val="center"/>
          </w:tcPr>
          <w:p w14:paraId="4F85EB54"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0.33</w:t>
            </w:r>
          </w:p>
        </w:tc>
      </w:tr>
      <w:tr w:rsidR="00F44783" w:rsidRPr="00D46683" w14:paraId="3CD6097C" w14:textId="77777777" w:rsidTr="00573C70">
        <w:tc>
          <w:tcPr>
            <w:tcW w:w="1732" w:type="dxa"/>
            <w:shd w:val="clear" w:color="auto" w:fill="auto"/>
          </w:tcPr>
          <w:p w14:paraId="6090A5B7"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MS Mincho" w:hAnsi="Times New Roman" w:cs="Times New Roman"/>
                <w:i/>
              </w:rPr>
              <w:t>SB</w:t>
            </w:r>
            <w:r w:rsidRPr="00D46683">
              <w:rPr>
                <w:rFonts w:ascii="Times New Roman" w:eastAsia="MS Mincho" w:hAnsi="Times New Roman" w:cs="Times New Roman"/>
                <w:i/>
                <w:vertAlign w:val="subscript"/>
              </w:rPr>
              <w:t>latest</w:t>
            </w:r>
            <w:r w:rsidRPr="00D46683" w:rsidDel="00300F08">
              <w:rPr>
                <w:rFonts w:ascii="Times New Roman" w:eastAsia="Times New Roman" w:hAnsi="Times New Roman" w:cs="Times New Roman"/>
                <w:i/>
                <w:lang w:eastAsia="ja-JP"/>
              </w:rPr>
              <w:t xml:space="preserve"> </w:t>
            </w: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0</w:t>
            </w:r>
          </w:p>
        </w:tc>
        <w:tc>
          <w:tcPr>
            <w:tcW w:w="1264" w:type="dxa"/>
            <w:shd w:val="clear" w:color="auto" w:fill="auto"/>
            <w:vAlign w:val="center"/>
          </w:tcPr>
          <w:p w14:paraId="28325392"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0.33</w:t>
            </w:r>
          </w:p>
        </w:tc>
        <w:tc>
          <w:tcPr>
            <w:tcW w:w="1265" w:type="dxa"/>
            <w:shd w:val="clear" w:color="auto" w:fill="auto"/>
            <w:vAlign w:val="center"/>
          </w:tcPr>
          <w:p w14:paraId="2DBCC5B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0.32</w:t>
            </w:r>
          </w:p>
        </w:tc>
        <w:tc>
          <w:tcPr>
            <w:tcW w:w="1265" w:type="dxa"/>
            <w:shd w:val="clear" w:color="auto" w:fill="auto"/>
            <w:vAlign w:val="center"/>
          </w:tcPr>
          <w:p w14:paraId="3DF97709"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0.24</w:t>
            </w:r>
          </w:p>
        </w:tc>
        <w:tc>
          <w:tcPr>
            <w:tcW w:w="1265" w:type="dxa"/>
            <w:shd w:val="clear" w:color="auto" w:fill="auto"/>
            <w:vAlign w:val="center"/>
          </w:tcPr>
          <w:p w14:paraId="26587CA6"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0.25</w:t>
            </w:r>
          </w:p>
        </w:tc>
        <w:tc>
          <w:tcPr>
            <w:tcW w:w="1265" w:type="dxa"/>
            <w:shd w:val="clear" w:color="auto" w:fill="auto"/>
            <w:vAlign w:val="center"/>
          </w:tcPr>
          <w:p w14:paraId="2BB2A0C2"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0.44</w:t>
            </w:r>
          </w:p>
        </w:tc>
        <w:tc>
          <w:tcPr>
            <w:tcW w:w="1265" w:type="dxa"/>
            <w:shd w:val="clear" w:color="auto" w:fill="auto"/>
            <w:vAlign w:val="center"/>
          </w:tcPr>
          <w:p w14:paraId="7ECDEBA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0.46</w:t>
            </w:r>
          </w:p>
        </w:tc>
      </w:tr>
      <w:tr w:rsidR="00F44783" w:rsidRPr="00D46683" w14:paraId="51D9109B" w14:textId="77777777" w:rsidTr="00573C70">
        <w:tc>
          <w:tcPr>
            <w:tcW w:w="1732" w:type="dxa"/>
            <w:shd w:val="clear" w:color="auto" w:fill="auto"/>
          </w:tcPr>
          <w:p w14:paraId="7A36AD4A"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MS Mincho" w:hAnsi="Times New Roman" w:cs="Times New Roman"/>
                <w:i/>
              </w:rPr>
              <w:t>SB</w:t>
            </w:r>
            <w:r w:rsidRPr="00D46683">
              <w:rPr>
                <w:rFonts w:ascii="Times New Roman" w:eastAsia="MS Mincho" w:hAnsi="Times New Roman" w:cs="Times New Roman"/>
                <w:i/>
                <w:vertAlign w:val="subscript"/>
              </w:rPr>
              <w:t>latest</w:t>
            </w:r>
            <w:r w:rsidRPr="00D46683" w:rsidDel="00300F08">
              <w:rPr>
                <w:rFonts w:ascii="Times New Roman" w:eastAsia="Times New Roman" w:hAnsi="Times New Roman" w:cs="Times New Roman"/>
                <w:i/>
                <w:lang w:eastAsia="ja-JP"/>
              </w:rPr>
              <w:t xml:space="preserve"> </w:t>
            </w: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F=0</w:t>
            </w:r>
          </w:p>
        </w:tc>
        <w:tc>
          <w:tcPr>
            <w:tcW w:w="1264" w:type="dxa"/>
            <w:shd w:val="clear" w:color="auto" w:fill="auto"/>
            <w:vAlign w:val="center"/>
          </w:tcPr>
          <w:p w14:paraId="1EA2E88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0.35</w:t>
            </w:r>
          </w:p>
        </w:tc>
        <w:tc>
          <w:tcPr>
            <w:tcW w:w="1265" w:type="dxa"/>
            <w:shd w:val="clear" w:color="auto" w:fill="auto"/>
            <w:vAlign w:val="center"/>
          </w:tcPr>
          <w:p w14:paraId="6ABEFAE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0.35</w:t>
            </w:r>
          </w:p>
        </w:tc>
        <w:tc>
          <w:tcPr>
            <w:tcW w:w="1265" w:type="dxa"/>
            <w:shd w:val="clear" w:color="auto" w:fill="auto"/>
            <w:vAlign w:val="center"/>
          </w:tcPr>
          <w:p w14:paraId="3BAB44EF"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0.26</w:t>
            </w:r>
          </w:p>
        </w:tc>
        <w:tc>
          <w:tcPr>
            <w:tcW w:w="1265" w:type="dxa"/>
            <w:shd w:val="clear" w:color="auto" w:fill="auto"/>
            <w:vAlign w:val="center"/>
          </w:tcPr>
          <w:p w14:paraId="34804B55"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0.27</w:t>
            </w:r>
          </w:p>
        </w:tc>
        <w:tc>
          <w:tcPr>
            <w:tcW w:w="1265" w:type="dxa"/>
            <w:shd w:val="clear" w:color="auto" w:fill="auto"/>
            <w:vAlign w:val="center"/>
          </w:tcPr>
          <w:p w14:paraId="38D6D2CC"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0.44</w:t>
            </w:r>
          </w:p>
        </w:tc>
        <w:tc>
          <w:tcPr>
            <w:tcW w:w="1265" w:type="dxa"/>
            <w:shd w:val="clear" w:color="auto" w:fill="auto"/>
            <w:vAlign w:val="center"/>
          </w:tcPr>
          <w:p w14:paraId="2461AA9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0.49</w:t>
            </w:r>
          </w:p>
        </w:tc>
      </w:tr>
      <w:tr w:rsidR="00F44783" w:rsidRPr="00D46683" w14:paraId="0E0C0C12" w14:textId="77777777" w:rsidTr="00573C70">
        <w:tc>
          <w:tcPr>
            <w:tcW w:w="1732" w:type="dxa"/>
            <w:shd w:val="clear" w:color="auto" w:fill="auto"/>
          </w:tcPr>
          <w:p w14:paraId="0F5EF04A"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MS Mincho" w:hAnsi="Times New Roman" w:cs="Times New Roman"/>
                <w:i/>
              </w:rPr>
              <w:t>SB</w:t>
            </w:r>
            <w:r w:rsidRPr="00D46683">
              <w:rPr>
                <w:rFonts w:ascii="Times New Roman" w:eastAsia="MS Mincho" w:hAnsi="Times New Roman" w:cs="Times New Roman"/>
                <w:i/>
                <w:vertAlign w:val="subscript"/>
              </w:rPr>
              <w:t>latest</w:t>
            </w:r>
            <w:r w:rsidRPr="00D46683" w:rsidDel="00300F08">
              <w:rPr>
                <w:rFonts w:ascii="Times New Roman" w:eastAsia="Times New Roman" w:hAnsi="Times New Roman" w:cs="Times New Roman"/>
                <w:i/>
                <w:lang w:eastAsia="ja-JP"/>
              </w:rPr>
              <w:t xml:space="preserve"> </w:t>
            </w:r>
            <w:r w:rsidRPr="00D46683">
              <w:rPr>
                <w:rFonts w:ascii="Times New Roman" w:eastAsia="Times New Roman" w:hAnsi="Times New Roman" w:cs="Times New Roman"/>
                <w:i/>
                <w:lang w:eastAsia="ja-JP"/>
              </w:rPr>
              <w:t>/SB</w:t>
            </w:r>
            <w:r w:rsidRPr="00D46683">
              <w:rPr>
                <w:rFonts w:ascii="Times New Roman" w:hAnsi="Times New Roman" w:cs="Times New Roman"/>
                <w:vertAlign w:val="subscript"/>
                <w:lang w:val="en-AU"/>
              </w:rPr>
              <w:t>MSY</w:t>
            </w:r>
          </w:p>
        </w:tc>
        <w:tc>
          <w:tcPr>
            <w:tcW w:w="1264" w:type="dxa"/>
            <w:shd w:val="clear" w:color="auto" w:fill="auto"/>
            <w:vAlign w:val="center"/>
          </w:tcPr>
          <w:p w14:paraId="4835028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1.85</w:t>
            </w:r>
          </w:p>
        </w:tc>
        <w:tc>
          <w:tcPr>
            <w:tcW w:w="1265" w:type="dxa"/>
            <w:shd w:val="clear" w:color="auto" w:fill="auto"/>
            <w:vAlign w:val="center"/>
          </w:tcPr>
          <w:p w14:paraId="34AEBF0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1.61</w:t>
            </w:r>
          </w:p>
        </w:tc>
        <w:tc>
          <w:tcPr>
            <w:tcW w:w="1265" w:type="dxa"/>
            <w:shd w:val="clear" w:color="auto" w:fill="auto"/>
            <w:vAlign w:val="center"/>
          </w:tcPr>
          <w:p w14:paraId="2EE22131"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0.85</w:t>
            </w:r>
          </w:p>
        </w:tc>
        <w:tc>
          <w:tcPr>
            <w:tcW w:w="1265" w:type="dxa"/>
            <w:shd w:val="clear" w:color="auto" w:fill="auto"/>
            <w:vAlign w:val="center"/>
          </w:tcPr>
          <w:p w14:paraId="3420258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0.99</w:t>
            </w:r>
          </w:p>
        </w:tc>
        <w:tc>
          <w:tcPr>
            <w:tcW w:w="1265" w:type="dxa"/>
            <w:shd w:val="clear" w:color="auto" w:fill="auto"/>
            <w:vAlign w:val="center"/>
          </w:tcPr>
          <w:p w14:paraId="504B6B0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3.14</w:t>
            </w:r>
          </w:p>
        </w:tc>
        <w:tc>
          <w:tcPr>
            <w:tcW w:w="1265" w:type="dxa"/>
            <w:shd w:val="clear" w:color="auto" w:fill="auto"/>
            <w:vAlign w:val="center"/>
          </w:tcPr>
          <w:p w14:paraId="7855C8FA"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4.05</w:t>
            </w:r>
          </w:p>
        </w:tc>
      </w:tr>
      <w:tr w:rsidR="00F44783" w:rsidRPr="00D46683" w14:paraId="140A1C02" w14:textId="77777777" w:rsidTr="00573C70">
        <w:tc>
          <w:tcPr>
            <w:tcW w:w="1732" w:type="dxa"/>
            <w:shd w:val="clear" w:color="auto" w:fill="auto"/>
          </w:tcPr>
          <w:p w14:paraId="7F37BBB8"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recent</w:t>
            </w: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F=0</w:t>
            </w:r>
          </w:p>
        </w:tc>
        <w:tc>
          <w:tcPr>
            <w:tcW w:w="1264" w:type="dxa"/>
            <w:shd w:val="clear" w:color="auto" w:fill="auto"/>
            <w:vAlign w:val="center"/>
          </w:tcPr>
          <w:p w14:paraId="18296FFE"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0.36</w:t>
            </w:r>
          </w:p>
        </w:tc>
        <w:tc>
          <w:tcPr>
            <w:tcW w:w="1265" w:type="dxa"/>
            <w:shd w:val="clear" w:color="auto" w:fill="auto"/>
            <w:vAlign w:val="center"/>
          </w:tcPr>
          <w:p w14:paraId="08BA175A"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0.35</w:t>
            </w:r>
          </w:p>
        </w:tc>
        <w:tc>
          <w:tcPr>
            <w:tcW w:w="1265" w:type="dxa"/>
            <w:shd w:val="clear" w:color="auto" w:fill="auto"/>
            <w:vAlign w:val="center"/>
          </w:tcPr>
          <w:p w14:paraId="661E9463"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0.27</w:t>
            </w:r>
          </w:p>
        </w:tc>
        <w:tc>
          <w:tcPr>
            <w:tcW w:w="1265" w:type="dxa"/>
            <w:shd w:val="clear" w:color="auto" w:fill="auto"/>
            <w:vAlign w:val="center"/>
          </w:tcPr>
          <w:p w14:paraId="3E2F78C0"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0.29</w:t>
            </w:r>
          </w:p>
        </w:tc>
        <w:tc>
          <w:tcPr>
            <w:tcW w:w="1265" w:type="dxa"/>
            <w:shd w:val="clear" w:color="auto" w:fill="auto"/>
            <w:vAlign w:val="center"/>
          </w:tcPr>
          <w:p w14:paraId="3E382EF9"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0.43</w:t>
            </w:r>
          </w:p>
        </w:tc>
        <w:tc>
          <w:tcPr>
            <w:tcW w:w="1265" w:type="dxa"/>
            <w:shd w:val="clear" w:color="auto" w:fill="auto"/>
            <w:vAlign w:val="center"/>
          </w:tcPr>
          <w:p w14:paraId="0C6EDC67"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0.48</w:t>
            </w:r>
          </w:p>
        </w:tc>
      </w:tr>
      <w:tr w:rsidR="00F44783" w:rsidRPr="00D46683" w14:paraId="1BAE486F" w14:textId="77777777" w:rsidTr="00573C70">
        <w:tc>
          <w:tcPr>
            <w:tcW w:w="1732" w:type="dxa"/>
            <w:shd w:val="clear" w:color="auto" w:fill="auto"/>
          </w:tcPr>
          <w:p w14:paraId="62E1423B" w14:textId="77777777" w:rsidR="00F44783" w:rsidRPr="00D46683" w:rsidRDefault="00F44783" w:rsidP="00F44783">
            <w:pPr>
              <w:adjustRightInd w:val="0"/>
              <w:spacing w:after="0" w:line="240" w:lineRule="auto"/>
              <w:rPr>
                <w:rFonts w:ascii="Times New Roman" w:eastAsia="Times New Roman" w:hAnsi="Times New Roman" w:cs="Times New Roman"/>
                <w:i/>
                <w:lang w:eastAsia="ja-JP"/>
              </w:rPr>
            </w:pPr>
            <w:r w:rsidRPr="00D46683">
              <w:rPr>
                <w:rFonts w:ascii="Times New Roman" w:eastAsia="Times New Roman" w:hAnsi="Times New Roman" w:cs="Times New Roman"/>
                <w:i/>
                <w:lang w:eastAsia="ja-JP"/>
              </w:rPr>
              <w:t>SB</w:t>
            </w:r>
            <w:r w:rsidRPr="00D46683">
              <w:rPr>
                <w:rFonts w:ascii="Times New Roman" w:eastAsia="Times New Roman" w:hAnsi="Times New Roman" w:cs="Times New Roman"/>
                <w:i/>
                <w:vertAlign w:val="subscript"/>
                <w:lang w:eastAsia="ja-JP"/>
              </w:rPr>
              <w:t>recent</w:t>
            </w:r>
            <w:r w:rsidRPr="00D46683">
              <w:rPr>
                <w:rFonts w:ascii="Times New Roman" w:eastAsia="Times New Roman" w:hAnsi="Times New Roman" w:cs="Times New Roman"/>
                <w:i/>
                <w:lang w:eastAsia="ja-JP"/>
              </w:rPr>
              <w:t>/SB</w:t>
            </w:r>
            <w:r w:rsidRPr="00D46683">
              <w:rPr>
                <w:rFonts w:ascii="Times New Roman" w:hAnsi="Times New Roman" w:cs="Times New Roman"/>
                <w:vertAlign w:val="subscript"/>
                <w:lang w:val="en-AU"/>
              </w:rPr>
              <w:t>MSY</w:t>
            </w:r>
          </w:p>
        </w:tc>
        <w:tc>
          <w:tcPr>
            <w:tcW w:w="1264" w:type="dxa"/>
            <w:shd w:val="clear" w:color="auto" w:fill="auto"/>
            <w:vAlign w:val="center"/>
          </w:tcPr>
          <w:p w14:paraId="76B6B28A"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1.86</w:t>
            </w:r>
          </w:p>
        </w:tc>
        <w:tc>
          <w:tcPr>
            <w:tcW w:w="1265" w:type="dxa"/>
            <w:shd w:val="clear" w:color="auto" w:fill="auto"/>
            <w:vAlign w:val="center"/>
          </w:tcPr>
          <w:p w14:paraId="59EC418E"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1.58</w:t>
            </w:r>
          </w:p>
        </w:tc>
        <w:tc>
          <w:tcPr>
            <w:tcW w:w="1265" w:type="dxa"/>
            <w:shd w:val="clear" w:color="auto" w:fill="auto"/>
            <w:vAlign w:val="center"/>
          </w:tcPr>
          <w:p w14:paraId="579BD44E"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0.88</w:t>
            </w:r>
          </w:p>
        </w:tc>
        <w:tc>
          <w:tcPr>
            <w:tcW w:w="1265" w:type="dxa"/>
            <w:shd w:val="clear" w:color="auto" w:fill="auto"/>
            <w:vAlign w:val="center"/>
          </w:tcPr>
          <w:p w14:paraId="102C8782"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1.02</w:t>
            </w:r>
          </w:p>
        </w:tc>
        <w:tc>
          <w:tcPr>
            <w:tcW w:w="1265" w:type="dxa"/>
            <w:shd w:val="clear" w:color="auto" w:fill="auto"/>
            <w:vAlign w:val="center"/>
          </w:tcPr>
          <w:p w14:paraId="17575188"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3.10</w:t>
            </w:r>
          </w:p>
        </w:tc>
        <w:tc>
          <w:tcPr>
            <w:tcW w:w="1265" w:type="dxa"/>
            <w:shd w:val="clear" w:color="auto" w:fill="auto"/>
            <w:vAlign w:val="center"/>
          </w:tcPr>
          <w:p w14:paraId="0BDF96F1" w14:textId="77777777" w:rsidR="00F44783" w:rsidRPr="00D46683" w:rsidRDefault="00F44783" w:rsidP="00F44783">
            <w:pPr>
              <w:adjustRightInd w:val="0"/>
              <w:spacing w:after="0" w:line="240" w:lineRule="auto"/>
              <w:jc w:val="center"/>
              <w:rPr>
                <w:rFonts w:ascii="Times New Roman" w:eastAsia="Times New Roman" w:hAnsi="Times New Roman" w:cs="Times New Roman"/>
                <w:lang w:eastAsia="ja-JP"/>
              </w:rPr>
            </w:pPr>
            <w:r w:rsidRPr="00D46683">
              <w:rPr>
                <w:rFonts w:ascii="Times New Roman" w:eastAsia="Times New Roman" w:hAnsi="Times New Roman" w:cs="Times New Roman"/>
                <w:lang w:eastAsia="ja-JP"/>
              </w:rPr>
              <w:t>3.96</w:t>
            </w:r>
          </w:p>
        </w:tc>
      </w:tr>
    </w:tbl>
    <w:p w14:paraId="081D9C99" w14:textId="77777777" w:rsidR="00F44783" w:rsidRPr="00D46683" w:rsidRDefault="00F44783" w:rsidP="00F44783">
      <w:pPr>
        <w:autoSpaceDE w:val="0"/>
        <w:autoSpaceDN w:val="0"/>
        <w:adjustRightInd w:val="0"/>
        <w:spacing w:after="0" w:line="240" w:lineRule="auto"/>
        <w:rPr>
          <w:rFonts w:ascii="Times New Roman" w:hAnsi="Times New Roman" w:cs="Times New Roman"/>
          <w:b/>
          <w:lang w:val="en-AU"/>
        </w:rPr>
      </w:pPr>
    </w:p>
    <w:p w14:paraId="730D5DFD"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SC13 noted that the central tendency of relative recent spawning biomass was median (SB</w:t>
      </w:r>
      <w:r w:rsidRPr="00D46683">
        <w:rPr>
          <w:rFonts w:ascii="Times New Roman" w:hAnsi="Times New Roman" w:cs="Times New Roman"/>
          <w:bCs/>
          <w:vertAlign w:val="subscript"/>
          <w:lang w:val="en-AU"/>
        </w:rPr>
        <w:t>recent</w:t>
      </w:r>
      <w:r w:rsidRPr="00D46683">
        <w:rPr>
          <w:rFonts w:ascii="Times New Roman" w:hAnsi="Times New Roman" w:cs="Times New Roman"/>
          <w:bCs/>
          <w:lang w:val="en-AU"/>
        </w:rPr>
        <w:t>/SB</w:t>
      </w:r>
      <w:r w:rsidRPr="00D46683">
        <w:rPr>
          <w:rFonts w:ascii="Times New Roman" w:hAnsi="Times New Roman" w:cs="Times New Roman"/>
          <w:bCs/>
          <w:vertAlign w:val="subscript"/>
          <w:lang w:val="en-AU"/>
        </w:rPr>
        <w:t>F=0</w:t>
      </w:r>
      <w:r w:rsidRPr="00D46683">
        <w:rPr>
          <w:rFonts w:ascii="Times New Roman" w:hAnsi="Times New Roman" w:cs="Times New Roman"/>
          <w:bCs/>
          <w:lang w:val="en-AU"/>
        </w:rPr>
        <w:t>) = 0.35 with a probable range of 0.29 to 0.43 (80% probability interval). The median estimate (0.35) is below that estimated from the 2014 assessment grid((SB</w:t>
      </w:r>
      <w:r w:rsidRPr="00D46683">
        <w:rPr>
          <w:rFonts w:ascii="Times New Roman" w:hAnsi="Times New Roman" w:cs="Times New Roman"/>
          <w:bCs/>
          <w:vertAlign w:val="subscript"/>
          <w:lang w:val="en-AU"/>
        </w:rPr>
        <w:t>current</w:t>
      </w:r>
      <w:r w:rsidRPr="00D46683">
        <w:rPr>
          <w:rFonts w:ascii="Times New Roman" w:hAnsi="Times New Roman" w:cs="Times New Roman"/>
          <w:bCs/>
          <w:lang w:val="en-AU"/>
        </w:rPr>
        <w:t>/SB</w:t>
      </w:r>
      <w:r w:rsidRPr="00D46683">
        <w:rPr>
          <w:rFonts w:ascii="Times New Roman" w:hAnsi="Times New Roman" w:cs="Times New Roman"/>
          <w:bCs/>
          <w:vertAlign w:val="subscript"/>
          <w:lang w:val="en-AU"/>
        </w:rPr>
        <w:t>F=0</w:t>
      </w:r>
      <w:r w:rsidRPr="00D46683">
        <w:rPr>
          <w:rFonts w:ascii="Times New Roman" w:hAnsi="Times New Roman" w:cs="Times New Roman"/>
          <w:bCs/>
          <w:lang w:val="en-AU"/>
        </w:rPr>
        <w:t>) = 0.49, see SC9-SA-WP-05), noting the differences in grid uncertainty axes used in that assessment, due to the inclusion of two representations of growth and maturity. SC13 also noted that in the previous assessment this central tendency was not considered for the provision of management advice given the uncertainties in growth assumptions. The median estimate for SB</w:t>
      </w:r>
      <w:r w:rsidRPr="00D46683">
        <w:rPr>
          <w:rFonts w:ascii="Times New Roman" w:hAnsi="Times New Roman" w:cs="Times New Roman"/>
          <w:bCs/>
          <w:vertAlign w:val="subscript"/>
          <w:lang w:val="en-AU"/>
        </w:rPr>
        <w:t>recent</w:t>
      </w:r>
      <w:r w:rsidRPr="00D46683">
        <w:rPr>
          <w:rFonts w:ascii="Times New Roman" w:hAnsi="Times New Roman" w:cs="Times New Roman"/>
          <w:bCs/>
          <w:lang w:val="en-AU"/>
        </w:rPr>
        <w:t>/SB</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is 1.23, which is below that estimated from the 2014 assessment grid ((SB</w:t>
      </w:r>
      <w:r w:rsidRPr="00D46683">
        <w:rPr>
          <w:rFonts w:ascii="Times New Roman" w:hAnsi="Times New Roman" w:cs="Times New Roman"/>
          <w:bCs/>
          <w:vertAlign w:val="subscript"/>
          <w:lang w:val="en-AU"/>
        </w:rPr>
        <w:t>current</w:t>
      </w:r>
      <w:r w:rsidRPr="00D46683">
        <w:rPr>
          <w:rFonts w:ascii="Times New Roman" w:hAnsi="Times New Roman" w:cs="Times New Roman"/>
          <w:bCs/>
          <w:lang w:val="en-AU"/>
        </w:rPr>
        <w:t>/SB</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 2.07, see SC9-SA-WP-05). </w:t>
      </w:r>
    </w:p>
    <w:p w14:paraId="62DBACE4" w14:textId="77777777" w:rsidR="00F44783" w:rsidRPr="00D46683" w:rsidRDefault="00F44783" w:rsidP="00F44783">
      <w:pPr>
        <w:autoSpaceDE w:val="0"/>
        <w:autoSpaceDN w:val="0"/>
        <w:adjustRightInd w:val="0"/>
        <w:spacing w:after="0" w:line="240" w:lineRule="auto"/>
        <w:rPr>
          <w:rFonts w:ascii="Times New Roman" w:hAnsi="Times New Roman" w:cs="Times New Roman"/>
          <w:bCs/>
          <w:lang w:val="en-AU"/>
        </w:rPr>
      </w:pPr>
    </w:p>
    <w:p w14:paraId="20849BF1"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SC13 noted that the central tendency of relative recent fishing mortality was median (F</w:t>
      </w:r>
      <w:r w:rsidRPr="00D46683">
        <w:rPr>
          <w:rFonts w:ascii="Times New Roman" w:hAnsi="Times New Roman" w:cs="Times New Roman"/>
          <w:bCs/>
          <w:vertAlign w:val="subscript"/>
          <w:lang w:val="en-AU"/>
        </w:rPr>
        <w:t>recent</w:t>
      </w:r>
      <w:r w:rsidRPr="00D46683">
        <w:rPr>
          <w:rFonts w:ascii="Times New Roman" w:hAnsi="Times New Roman" w:cs="Times New Roman"/>
          <w:bCs/>
          <w:lang w:val="en-AU"/>
        </w:rPr>
        <w:t>/F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 0.86 with an 80% probability interval of 0.51 to 1.23. While this suggested that there was likely a buffer between recent fishing mortality and 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it also showed that there was some probability that recent fishing mortality was above 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w:t>
      </w:r>
    </w:p>
    <w:p w14:paraId="1A5F42B9" w14:textId="77777777" w:rsidR="00F44783" w:rsidRPr="00D46683" w:rsidRDefault="00F44783" w:rsidP="00F44783">
      <w:pPr>
        <w:pStyle w:val="ListParagraph"/>
        <w:adjustRightInd w:val="0"/>
        <w:contextualSpacing w:val="0"/>
        <w:rPr>
          <w:rFonts w:ascii="Times New Roman" w:hAnsi="Times New Roman"/>
          <w:bCs/>
          <w:lang w:val="en-AU"/>
        </w:rPr>
      </w:pPr>
    </w:p>
    <w:p w14:paraId="538F6256"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SC13 also noted that there was a roughly 32% probability (23 out of 72 models) that the recent fishing mortality was above 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with Prob((F</w:t>
      </w:r>
      <w:r w:rsidRPr="00D46683">
        <w:rPr>
          <w:rFonts w:ascii="Times New Roman" w:hAnsi="Times New Roman" w:cs="Times New Roman"/>
          <w:bCs/>
          <w:vertAlign w:val="subscript"/>
          <w:lang w:val="en-AU"/>
        </w:rPr>
        <w:t>recent</w:t>
      </w:r>
      <w:r w:rsidRPr="00D46683">
        <w:rPr>
          <w:rFonts w:ascii="Times New Roman" w:hAnsi="Times New Roman" w:cs="Times New Roman"/>
          <w:bCs/>
          <w:lang w:val="en-AU"/>
        </w:rPr>
        <w:t>/F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)&gt;1) = 0.32. The median estimate (0.86) is above that estimated from the 2014 assessment grid (F</w:t>
      </w:r>
      <w:r w:rsidRPr="00D46683">
        <w:rPr>
          <w:rFonts w:ascii="Times New Roman" w:hAnsi="Times New Roman" w:cs="Times New Roman"/>
          <w:bCs/>
          <w:vertAlign w:val="subscript"/>
          <w:lang w:val="en-AU"/>
        </w:rPr>
        <w:t>current</w:t>
      </w:r>
      <w:r w:rsidRPr="00D46683">
        <w:rPr>
          <w:rFonts w:ascii="Times New Roman" w:hAnsi="Times New Roman" w:cs="Times New Roman"/>
          <w:bCs/>
          <w:lang w:val="en-AU"/>
        </w:rPr>
        <w:t>/F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 0.74, see SC9-SA-WP-05). </w:t>
      </w:r>
    </w:p>
    <w:p w14:paraId="3EBC60BF" w14:textId="77777777" w:rsidR="00F44783" w:rsidRPr="00D46683" w:rsidRDefault="00F44783" w:rsidP="00F44783">
      <w:pPr>
        <w:pStyle w:val="ListParagraph"/>
        <w:adjustRightInd w:val="0"/>
        <w:contextualSpacing w:val="0"/>
        <w:rPr>
          <w:rFonts w:ascii="Times New Roman" w:hAnsi="Times New Roman"/>
          <w:bCs/>
          <w:lang w:val="en-AU"/>
        </w:rPr>
      </w:pPr>
    </w:p>
    <w:p w14:paraId="5BD8619E"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 xml:space="preserve">Fishing mortality rate increased notably from the mid-1990s in both model regions, on maturing swordfish aged 4-6 fish in particular. </w:t>
      </w:r>
    </w:p>
    <w:p w14:paraId="1725C943" w14:textId="77777777" w:rsidR="00F44783" w:rsidRPr="00D46683" w:rsidRDefault="00F44783" w:rsidP="00F44783">
      <w:pPr>
        <w:pStyle w:val="ListParagraph"/>
        <w:adjustRightInd w:val="0"/>
        <w:contextualSpacing w:val="0"/>
        <w:rPr>
          <w:rFonts w:ascii="Times New Roman" w:hAnsi="Times New Roman"/>
          <w:bCs/>
          <w:lang w:val="en-AU"/>
        </w:rPr>
      </w:pPr>
    </w:p>
    <w:p w14:paraId="1FA6C12B"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 xml:space="preserve">Across all models in the uncertainty grid the spawning biomass declines steeply between the late 1990s and 2010 but since then the rate of decline has been less.  Those declines are found in both model regions, but are higher in the eastern Region 2 (equator to 50°S, 165°E to 130°W). </w:t>
      </w:r>
    </w:p>
    <w:p w14:paraId="5B4D6071" w14:textId="77777777" w:rsidR="00F44783" w:rsidRPr="00D46683" w:rsidRDefault="00F44783" w:rsidP="00F44783">
      <w:pPr>
        <w:pStyle w:val="ListParagraph"/>
        <w:adjustRightInd w:val="0"/>
        <w:contextualSpacing w:val="0"/>
        <w:rPr>
          <w:rFonts w:ascii="Times New Roman" w:hAnsi="Times New Roman"/>
          <w:bCs/>
          <w:lang w:val="en-AU"/>
        </w:rPr>
      </w:pPr>
    </w:p>
    <w:p w14:paraId="4279B661"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 xml:space="preserve">SC13 noted that in comparison with the bigeye and yellowfin assessments, evidence for an increase in recent recruitment for southwest Pacific swordfish was not found in either the CPUE time series or estimates of recruitment. SC13 noted that the longline only nature of the fishery catching mainly larger, older swordfish, is not strongly informative with regards to recruitment dynamics.  </w:t>
      </w:r>
    </w:p>
    <w:p w14:paraId="52566D38" w14:textId="77777777" w:rsidR="00F44783" w:rsidRPr="00D46683" w:rsidRDefault="00F44783" w:rsidP="00F44783">
      <w:pPr>
        <w:pStyle w:val="ListParagraph"/>
        <w:adjustRightInd w:val="0"/>
        <w:contextualSpacing w:val="0"/>
        <w:rPr>
          <w:rFonts w:ascii="Times New Roman" w:hAnsi="Times New Roman"/>
          <w:bCs/>
          <w:lang w:val="en-AU"/>
        </w:rPr>
      </w:pPr>
    </w:p>
    <w:p w14:paraId="58A8F035" w14:textId="77777777" w:rsidR="00F44783" w:rsidRPr="00D46683" w:rsidRDefault="00F44783" w:rsidP="00F44783">
      <w:pPr>
        <w:pStyle w:val="ListParagraph"/>
        <w:numPr>
          <w:ilvl w:val="0"/>
          <w:numId w:val="11"/>
        </w:numPr>
        <w:autoSpaceDE w:val="0"/>
        <w:autoSpaceDN w:val="0"/>
        <w:adjustRightInd w:val="0"/>
        <w:ind w:left="0" w:firstLine="0"/>
        <w:contextualSpacing w:val="0"/>
        <w:rPr>
          <w:rFonts w:ascii="Times New Roman" w:eastAsia="MS Mincho" w:hAnsi="Times New Roman"/>
          <w:b/>
          <w:lang w:val="en-US" w:eastAsia="ja-JP"/>
        </w:rPr>
      </w:pPr>
      <w:r w:rsidRPr="00D46683">
        <w:rPr>
          <w:rFonts w:ascii="Times New Roman" w:eastAsia="Times New Roman" w:hAnsi="Times New Roman"/>
          <w:b/>
          <w:lang w:eastAsia="en-NZ"/>
        </w:rPr>
        <w:t>Management advice and implications</w:t>
      </w:r>
      <w:r w:rsidRPr="00D46683">
        <w:rPr>
          <w:rFonts w:ascii="Times New Roman" w:eastAsia="Times New Roman" w:hAnsi="Times New Roman"/>
          <w:b/>
          <w:lang w:eastAsia="en-NZ"/>
        </w:rPr>
        <w:tab/>
      </w:r>
      <w:r w:rsidRPr="00D46683">
        <w:rPr>
          <w:rFonts w:ascii="Times New Roman" w:eastAsia="MS Mincho" w:hAnsi="Times New Roman"/>
          <w:b/>
          <w:lang w:val="en-US" w:eastAsia="ja-JP"/>
        </w:rPr>
        <w:tab/>
      </w:r>
    </w:p>
    <w:p w14:paraId="64140C8D" w14:textId="77777777" w:rsidR="00F44783" w:rsidRPr="00D46683" w:rsidRDefault="00F44783" w:rsidP="00F44783">
      <w:pPr>
        <w:pStyle w:val="ListParagraph"/>
        <w:autoSpaceDE w:val="0"/>
        <w:autoSpaceDN w:val="0"/>
        <w:adjustRightInd w:val="0"/>
        <w:ind w:firstLine="0"/>
        <w:contextualSpacing w:val="0"/>
        <w:rPr>
          <w:rFonts w:ascii="Times New Roman" w:eastAsia="MS Mincho" w:hAnsi="Times New Roman"/>
          <w:bCs/>
          <w:lang w:val="en-US" w:eastAsia="ja-JP"/>
        </w:rPr>
      </w:pPr>
    </w:p>
    <w:p w14:paraId="70325B41"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lastRenderedPageBreak/>
        <w:t>Based on the uncertainty grid adopted by SC13, the south west Pacific swordfish spawning biomass is likely above the 20%SB</w:t>
      </w:r>
      <w:r w:rsidRPr="00D46683">
        <w:rPr>
          <w:rFonts w:ascii="Times New Roman" w:hAnsi="Times New Roman" w:cs="Times New Roman"/>
          <w:bCs/>
          <w:vertAlign w:val="subscript"/>
          <w:lang w:val="en-AU"/>
        </w:rPr>
        <w:t>F=0</w:t>
      </w:r>
      <w:r w:rsidRPr="00D46683">
        <w:rPr>
          <w:rFonts w:ascii="Times New Roman" w:hAnsi="Times New Roman" w:cs="Times New Roman"/>
          <w:bCs/>
          <w:lang w:val="en-AU"/>
        </w:rPr>
        <w:t>, biomass LRP adopted for tunas and the SB</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level (noting that the Commission has yet to adopted an LRP for south Pacific swordfish) and it is highly likely that the stock is not in an overfished condition (0% probability). Recent F is likely below 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and it appears that the stock is not experiencing overfishing (32% probability of overfishing).  </w:t>
      </w:r>
    </w:p>
    <w:p w14:paraId="56E3CB3E" w14:textId="77777777" w:rsidR="00F44783" w:rsidRPr="00D46683" w:rsidRDefault="00F44783" w:rsidP="00F44783">
      <w:pPr>
        <w:autoSpaceDE w:val="0"/>
        <w:autoSpaceDN w:val="0"/>
        <w:adjustRightInd w:val="0"/>
        <w:spacing w:after="0" w:line="240" w:lineRule="auto"/>
        <w:rPr>
          <w:rFonts w:ascii="Times New Roman" w:hAnsi="Times New Roman" w:cs="Times New Roman"/>
          <w:bCs/>
          <w:lang w:val="en-AU"/>
        </w:rPr>
      </w:pPr>
    </w:p>
    <w:p w14:paraId="7BF8E276"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SC13 noted that there has been an increase in fishing mortality notably from the mid-1990s, and that the biomass relative to unfished levels is estimated to have declined rapidly during the period late-1990s to 2010 followed by a more gradual but continued decline after 2010, across the uncertainty grid. It was noted the fishing mortality was likely below F</w:t>
      </w:r>
      <w:r w:rsidRPr="00D46683">
        <w:rPr>
          <w:rFonts w:ascii="Times New Roman" w:hAnsi="Times New Roman" w:cs="Times New Roman"/>
          <w:bCs/>
          <w:vertAlign w:val="subscript"/>
          <w:lang w:val="en-AU" w:eastAsia="ko-KR"/>
        </w:rPr>
        <w:t>MSY</w:t>
      </w:r>
      <w:r w:rsidRPr="00D46683">
        <w:rPr>
          <w:rFonts w:ascii="Times New Roman" w:hAnsi="Times New Roman" w:cs="Times New Roman"/>
          <w:bCs/>
          <w:lang w:val="en-AU"/>
        </w:rPr>
        <w:t xml:space="preserve">. </w:t>
      </w:r>
    </w:p>
    <w:p w14:paraId="1614BA03" w14:textId="77777777" w:rsidR="00F44783" w:rsidRPr="00D46683" w:rsidRDefault="00F44783" w:rsidP="00F44783">
      <w:pPr>
        <w:pStyle w:val="ListParagraph"/>
        <w:adjustRightInd w:val="0"/>
        <w:contextualSpacing w:val="0"/>
        <w:rPr>
          <w:rFonts w:ascii="Times New Roman" w:hAnsi="Times New Roman"/>
          <w:bCs/>
          <w:lang w:val="en-AU"/>
        </w:rPr>
      </w:pPr>
    </w:p>
    <w:p w14:paraId="3430C35B"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Consistent with its previous advice (from SC9), SC13 recommends that the Commission consider developing appropriate management measures for the area north of 20°S to the equator which is not covered by CMM 2009-03, noting that:</w:t>
      </w:r>
    </w:p>
    <w:p w14:paraId="4DC351B9" w14:textId="77777777" w:rsidR="00F44783" w:rsidRPr="00D46683" w:rsidRDefault="00F44783" w:rsidP="00F44783">
      <w:pPr>
        <w:numPr>
          <w:ilvl w:val="0"/>
          <w:numId w:val="10"/>
        </w:numPr>
        <w:adjustRightInd w:val="0"/>
        <w:spacing w:after="0" w:line="240" w:lineRule="auto"/>
        <w:jc w:val="both"/>
        <w:rPr>
          <w:rFonts w:ascii="Times New Roman" w:eastAsia="Times New Roman" w:hAnsi="Times New Roman" w:cs="Times New Roman"/>
          <w:bCs/>
          <w:lang w:eastAsia="ja-JP"/>
        </w:rPr>
      </w:pPr>
      <w:r w:rsidRPr="00D46683">
        <w:rPr>
          <w:rFonts w:ascii="Times New Roman" w:eastAsia="Times New Roman" w:hAnsi="Times New Roman" w:cs="Times New Roman"/>
          <w:bCs/>
          <w:lang w:eastAsia="ja-JP"/>
        </w:rPr>
        <w:t xml:space="preserve">recent catches between the equator and 20°S continue to represent the largest component of the catch in Region 2 (equator to 50°S, 165°E to 130°W) and represent half the total catches from the stock, and, </w:t>
      </w:r>
    </w:p>
    <w:p w14:paraId="592313FA" w14:textId="77777777" w:rsidR="00F44783" w:rsidRPr="00D46683" w:rsidRDefault="00F44783" w:rsidP="00F44783">
      <w:pPr>
        <w:numPr>
          <w:ilvl w:val="0"/>
          <w:numId w:val="10"/>
        </w:numPr>
        <w:adjustRightInd w:val="0"/>
        <w:spacing w:after="0" w:line="240" w:lineRule="auto"/>
        <w:ind w:left="1077" w:hanging="357"/>
        <w:jc w:val="both"/>
        <w:rPr>
          <w:rFonts w:ascii="Times New Roman" w:eastAsia="Times New Roman" w:hAnsi="Times New Roman" w:cs="Times New Roman"/>
          <w:bCs/>
          <w:lang w:eastAsia="ja-JP"/>
        </w:rPr>
      </w:pPr>
      <w:r w:rsidRPr="00D46683">
        <w:rPr>
          <w:rFonts w:ascii="Times New Roman" w:eastAsia="Times New Roman" w:hAnsi="Times New Roman" w:cs="Times New Roman"/>
          <w:bCs/>
          <w:lang w:eastAsia="ja-JP"/>
        </w:rPr>
        <w:t xml:space="preserve">catches in that area contribute substantially to fishing mortality and spawning biomass depletion levels in eastern Region 2 that are substantially higher than in the western region (Region 1). </w:t>
      </w:r>
    </w:p>
    <w:p w14:paraId="31C23BA2" w14:textId="77777777" w:rsidR="00F44783" w:rsidRPr="00D46683" w:rsidRDefault="00F44783" w:rsidP="00F44783">
      <w:pPr>
        <w:autoSpaceDE w:val="0"/>
        <w:autoSpaceDN w:val="0"/>
        <w:adjustRightInd w:val="0"/>
        <w:spacing w:after="0" w:line="240" w:lineRule="auto"/>
        <w:rPr>
          <w:rFonts w:ascii="Times New Roman" w:hAnsi="Times New Roman" w:cs="Times New Roman"/>
          <w:bCs/>
          <w:lang w:val="en-AU"/>
        </w:rPr>
      </w:pPr>
    </w:p>
    <w:p w14:paraId="03767937" w14:textId="77777777" w:rsidR="00F44783" w:rsidRPr="00D46683" w:rsidRDefault="00F44783" w:rsidP="00F44783">
      <w:pPr>
        <w:numPr>
          <w:ilvl w:val="0"/>
          <w:numId w:val="2"/>
        </w:numPr>
        <w:autoSpaceDE w:val="0"/>
        <w:autoSpaceDN w:val="0"/>
        <w:adjustRightInd w:val="0"/>
        <w:spacing w:after="0" w:line="240" w:lineRule="auto"/>
        <w:jc w:val="both"/>
        <w:rPr>
          <w:rFonts w:ascii="Times New Roman" w:hAnsi="Times New Roman" w:cs="Times New Roman"/>
          <w:bCs/>
          <w:lang w:val="en-AU"/>
        </w:rPr>
      </w:pPr>
      <w:r w:rsidRPr="00D46683">
        <w:rPr>
          <w:rFonts w:ascii="Times New Roman" w:hAnsi="Times New Roman" w:cs="Times New Roman"/>
          <w:bCs/>
          <w:lang w:val="en-AU"/>
        </w:rPr>
        <w:t xml:space="preserve">Further, SC13 recommends that current restrictions on catches south of 20°S also be maintained. </w:t>
      </w:r>
    </w:p>
    <w:p w14:paraId="01EB65AD" w14:textId="77777777" w:rsidR="00F44783" w:rsidRPr="00D46683" w:rsidRDefault="00F44783" w:rsidP="00F44783">
      <w:pPr>
        <w:adjustRightInd w:val="0"/>
        <w:spacing w:after="0" w:line="240" w:lineRule="auto"/>
        <w:rPr>
          <w:rFonts w:ascii="Times New Roman" w:eastAsia="MS Mincho" w:hAnsi="Times New Roman" w:cs="Times New Roman"/>
          <w:color w:val="2F5496" w:themeColor="accent1" w:themeShade="BF"/>
          <w:sz w:val="32"/>
          <w:szCs w:val="32"/>
          <w:lang w:val="en-NZ" w:eastAsia="en-NZ"/>
        </w:rPr>
      </w:pPr>
      <w:r w:rsidRPr="00D46683">
        <w:rPr>
          <w:rFonts w:ascii="Times New Roman" w:eastAsia="MS Mincho" w:hAnsi="Times New Roman" w:cs="Times New Roman"/>
          <w:lang w:val="en-NZ" w:eastAsia="en-NZ"/>
        </w:rPr>
        <w:br w:type="page"/>
      </w:r>
    </w:p>
    <w:p w14:paraId="6CF37916" w14:textId="014CFF51" w:rsidR="005C7178" w:rsidRPr="00D46683" w:rsidRDefault="005C7178" w:rsidP="00F44783">
      <w:pPr>
        <w:pStyle w:val="Heading1"/>
        <w:adjustRightInd w:val="0"/>
        <w:spacing w:before="0" w:line="240" w:lineRule="auto"/>
        <w:rPr>
          <w:rFonts w:ascii="Times New Roman" w:eastAsia="MS Mincho" w:hAnsi="Times New Roman" w:cs="Times New Roman"/>
          <w:b/>
          <w:caps/>
          <w:sz w:val="28"/>
          <w:szCs w:val="28"/>
          <w:lang w:val="en-NZ" w:eastAsia="en-NZ"/>
        </w:rPr>
      </w:pPr>
      <w:bookmarkStart w:id="11" w:name="_Toc95983124"/>
      <w:r w:rsidRPr="00D46683">
        <w:rPr>
          <w:rFonts w:ascii="Times New Roman" w:eastAsia="MS Mincho" w:hAnsi="Times New Roman" w:cs="Times New Roman"/>
          <w:b/>
          <w:caps/>
          <w:sz w:val="28"/>
          <w:szCs w:val="28"/>
          <w:lang w:val="en-NZ" w:eastAsia="en-NZ"/>
        </w:rPr>
        <w:lastRenderedPageBreak/>
        <w:t>Useful References</w:t>
      </w:r>
      <w:bookmarkEnd w:id="10"/>
      <w:bookmarkEnd w:id="11"/>
    </w:p>
    <w:p w14:paraId="53792326" w14:textId="77777777" w:rsidR="00416473" w:rsidRPr="00D46683" w:rsidRDefault="00416473" w:rsidP="00F44783">
      <w:pPr>
        <w:adjustRightInd w:val="0"/>
        <w:spacing w:after="0" w:line="240" w:lineRule="auto"/>
        <w:rPr>
          <w:rFonts w:ascii="Times New Roman" w:hAnsi="Times New Roman" w:cs="Times New Roman"/>
          <w:b/>
        </w:rPr>
      </w:pPr>
    </w:p>
    <w:p w14:paraId="473288B8" w14:textId="6C47F084" w:rsidR="005C7178" w:rsidRPr="00B76079" w:rsidRDefault="00B76079" w:rsidP="00F44783">
      <w:pPr>
        <w:autoSpaceDE w:val="0"/>
        <w:autoSpaceDN w:val="0"/>
        <w:adjustRightInd w:val="0"/>
        <w:spacing w:after="0" w:line="240" w:lineRule="auto"/>
        <w:jc w:val="both"/>
        <w:rPr>
          <w:rFonts w:ascii="Times New Roman" w:hAnsi="Times New Roman" w:cs="Times New Roman"/>
          <w:shd w:val="clear" w:color="auto" w:fill="FFFFFF"/>
        </w:rPr>
      </w:pPr>
      <w:r w:rsidRPr="00B76079">
        <w:rPr>
          <w:rFonts w:ascii="Times New Roman" w:hAnsi="Times New Roman" w:cs="Times New Roman"/>
          <w:shd w:val="clear" w:color="auto" w:fill="FFFFFF"/>
        </w:rPr>
        <w:t>SC17-SA-WP-04 Stock assessment of Southwest Pacific swordfish. N. Ducharme-Barth, C. Castillo-Jordan, J. Hampton, P. Williams, G. Pilling, P.Hamer (SPC-OFP)</w:t>
      </w:r>
    </w:p>
    <w:p w14:paraId="64B01825" w14:textId="3512172F" w:rsidR="00B76079" w:rsidRDefault="00C825DD"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hyperlink r:id="rId31" w:history="1">
        <w:r w:rsidR="00B76079" w:rsidRPr="007B53BD">
          <w:rPr>
            <w:rStyle w:val="Hyperlink"/>
            <w:rFonts w:ascii="Times New Roman" w:eastAsia="MS Mincho" w:hAnsi="Times New Roman" w:cs="Times New Roman"/>
            <w:lang w:val="en-NZ" w:eastAsia="en-NZ"/>
          </w:rPr>
          <w:t>https://meetings.wcpfc.int/node/12553</w:t>
        </w:r>
      </w:hyperlink>
      <w:r w:rsidR="00B76079">
        <w:rPr>
          <w:rFonts w:ascii="Times New Roman" w:eastAsia="MS Mincho" w:hAnsi="Times New Roman" w:cs="Times New Roman"/>
          <w:color w:val="000000"/>
          <w:lang w:val="en-NZ" w:eastAsia="en-NZ"/>
        </w:rPr>
        <w:t xml:space="preserve"> </w:t>
      </w:r>
    </w:p>
    <w:p w14:paraId="12103607" w14:textId="12F556C1" w:rsidR="00B76079" w:rsidRDefault="00B76079"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690DE408" w14:textId="083CE444" w:rsidR="00B76079" w:rsidRDefault="00B76079"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B76079">
        <w:rPr>
          <w:rFonts w:ascii="Times New Roman" w:eastAsia="MS Mincho" w:hAnsi="Times New Roman" w:cs="Times New Roman"/>
          <w:color w:val="000000"/>
          <w:lang w:val="en-NZ" w:eastAsia="en-NZ"/>
        </w:rPr>
        <w:t>SC17-SA-IP-07</w:t>
      </w:r>
      <w:r>
        <w:rPr>
          <w:rFonts w:ascii="Times New Roman" w:eastAsia="MS Mincho" w:hAnsi="Times New Roman" w:cs="Times New Roman"/>
          <w:color w:val="000000"/>
          <w:lang w:val="en-NZ" w:eastAsia="en-NZ"/>
        </w:rPr>
        <w:t xml:space="preserve"> </w:t>
      </w:r>
      <w:r w:rsidRPr="00B76079">
        <w:rPr>
          <w:rFonts w:ascii="Times New Roman" w:eastAsia="MS Mincho" w:hAnsi="Times New Roman" w:cs="Times New Roman"/>
          <w:color w:val="000000"/>
          <w:lang w:val="en-NZ" w:eastAsia="en-NZ"/>
        </w:rPr>
        <w:t>Background analyses for the 2021 stock assessment of Southwest Pacific swordfish</w:t>
      </w:r>
      <w:r>
        <w:rPr>
          <w:rFonts w:ascii="Times New Roman" w:eastAsia="MS Mincho" w:hAnsi="Times New Roman" w:cs="Times New Roman"/>
          <w:color w:val="000000"/>
          <w:lang w:val="en-NZ" w:eastAsia="en-NZ"/>
        </w:rPr>
        <w:t xml:space="preserve">. </w:t>
      </w:r>
      <w:r w:rsidRPr="00B76079">
        <w:rPr>
          <w:rFonts w:ascii="Times New Roman" w:eastAsia="MS Mincho" w:hAnsi="Times New Roman" w:cs="Times New Roman"/>
          <w:color w:val="000000"/>
          <w:lang w:val="en-NZ" w:eastAsia="en-NZ"/>
        </w:rPr>
        <w:t>N. Ducharme-Barth, T. Peatman, and P. Hamer</w:t>
      </w:r>
    </w:p>
    <w:p w14:paraId="230DCB83" w14:textId="07092CD0" w:rsidR="00B76079" w:rsidRDefault="00C825DD"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hyperlink r:id="rId32" w:history="1">
        <w:r w:rsidR="00B76079" w:rsidRPr="007B53BD">
          <w:rPr>
            <w:rStyle w:val="Hyperlink"/>
            <w:rFonts w:ascii="Times New Roman" w:eastAsia="MS Mincho" w:hAnsi="Times New Roman" w:cs="Times New Roman"/>
            <w:lang w:val="en-NZ" w:eastAsia="en-NZ"/>
          </w:rPr>
          <w:t>https://meetings.wcpfc.int/node/12565</w:t>
        </w:r>
      </w:hyperlink>
      <w:r w:rsidR="00B76079">
        <w:rPr>
          <w:rFonts w:ascii="Times New Roman" w:eastAsia="MS Mincho" w:hAnsi="Times New Roman" w:cs="Times New Roman"/>
          <w:color w:val="000000"/>
          <w:lang w:val="en-NZ" w:eastAsia="en-NZ"/>
        </w:rPr>
        <w:t xml:space="preserve"> </w:t>
      </w:r>
    </w:p>
    <w:p w14:paraId="0608CCF5" w14:textId="1AAB789F" w:rsidR="00B76079" w:rsidRDefault="00B76079"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3F3F2648" w14:textId="0CFDF82D" w:rsidR="00B76079" w:rsidRDefault="00B76079"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B76079">
        <w:rPr>
          <w:rFonts w:ascii="Times New Roman" w:eastAsia="MS Mincho" w:hAnsi="Times New Roman" w:cs="Times New Roman"/>
          <w:color w:val="000000"/>
          <w:lang w:val="en-NZ" w:eastAsia="en-NZ"/>
        </w:rPr>
        <w:t>SC17-SA-IP-08</w:t>
      </w:r>
      <w:r>
        <w:rPr>
          <w:rFonts w:ascii="Times New Roman" w:eastAsia="MS Mincho" w:hAnsi="Times New Roman" w:cs="Times New Roman"/>
          <w:color w:val="000000"/>
          <w:lang w:val="en-NZ" w:eastAsia="en-NZ"/>
        </w:rPr>
        <w:t xml:space="preserve"> </w:t>
      </w:r>
      <w:r w:rsidRPr="00B76079">
        <w:rPr>
          <w:rFonts w:ascii="Times New Roman" w:eastAsia="MS Mincho" w:hAnsi="Times New Roman" w:cs="Times New Roman"/>
          <w:color w:val="000000"/>
          <w:lang w:val="en-NZ" w:eastAsia="en-NZ"/>
        </w:rPr>
        <w:t>Biology, stock structure, fisheries, and status of swordfish, Xiphias gladius, in the Pacific Ocean - a review</w:t>
      </w:r>
      <w:r>
        <w:rPr>
          <w:rFonts w:ascii="Times New Roman" w:eastAsia="MS Mincho" w:hAnsi="Times New Roman" w:cs="Times New Roman"/>
          <w:color w:val="000000"/>
          <w:lang w:val="en-NZ" w:eastAsia="en-NZ"/>
        </w:rPr>
        <w:t xml:space="preserve">. </w:t>
      </w:r>
      <w:r w:rsidRPr="00B76079">
        <w:rPr>
          <w:rFonts w:ascii="Times New Roman" w:eastAsia="MS Mincho" w:hAnsi="Times New Roman" w:cs="Times New Roman"/>
          <w:color w:val="000000"/>
          <w:lang w:val="en-NZ" w:eastAsia="en-NZ"/>
        </w:rPr>
        <w:t>Bradley Moore</w:t>
      </w:r>
      <w:r>
        <w:rPr>
          <w:rFonts w:ascii="Times New Roman" w:eastAsia="MS Mincho" w:hAnsi="Times New Roman" w:cs="Times New Roman"/>
          <w:color w:val="000000"/>
          <w:lang w:val="en-NZ" w:eastAsia="en-NZ"/>
        </w:rPr>
        <w:t xml:space="preserve"> (NIWA)</w:t>
      </w:r>
    </w:p>
    <w:p w14:paraId="06267FF0" w14:textId="233DDD07" w:rsidR="00B76079" w:rsidRPr="00D46683" w:rsidRDefault="00C825DD"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hyperlink r:id="rId33" w:history="1">
        <w:r w:rsidR="000B3805" w:rsidRPr="007B53BD">
          <w:rPr>
            <w:rStyle w:val="Hyperlink"/>
            <w:rFonts w:ascii="Times New Roman" w:eastAsia="MS Mincho" w:hAnsi="Times New Roman" w:cs="Times New Roman"/>
            <w:lang w:val="en-NZ" w:eastAsia="en-NZ"/>
          </w:rPr>
          <w:t>https://meetings.wcpfc.int/node/12566</w:t>
        </w:r>
      </w:hyperlink>
      <w:r w:rsidR="000B3805">
        <w:rPr>
          <w:rFonts w:ascii="Times New Roman" w:eastAsia="MS Mincho" w:hAnsi="Times New Roman" w:cs="Times New Roman"/>
          <w:color w:val="000000"/>
          <w:lang w:val="en-NZ" w:eastAsia="en-NZ"/>
        </w:rPr>
        <w:t xml:space="preserve"> </w:t>
      </w:r>
    </w:p>
    <w:p w14:paraId="78B3C40C" w14:textId="77777777" w:rsidR="005C7178" w:rsidRPr="00D46683" w:rsidRDefault="005C7178"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2374EBF5" w14:textId="77777777" w:rsidR="00E15B3B" w:rsidRPr="00D46683" w:rsidRDefault="00E15B3B"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D46683">
        <w:rPr>
          <w:rFonts w:ascii="Times New Roman" w:eastAsia="MS Mincho" w:hAnsi="Times New Roman" w:cs="Times New Roman"/>
          <w:color w:val="000000"/>
          <w:lang w:val="en-NZ" w:eastAsia="en-NZ"/>
        </w:rPr>
        <w:t xml:space="preserve">SC12-SA-WP-11 </w:t>
      </w:r>
      <w:r w:rsidRPr="00D46683">
        <w:rPr>
          <w:rFonts w:ascii="Times New Roman" w:hAnsi="Times New Roman" w:cs="Times New Roman"/>
          <w:lang w:val="en"/>
        </w:rPr>
        <w:t>Determination of swordfish growth and maturity relevant to the southwest Pacific stock. Farley J., N. Clear, D. Kolody, K. Krusic-Golub, P. Eveson and J. Young. (AFMA)</w:t>
      </w:r>
    </w:p>
    <w:p w14:paraId="578CE98C" w14:textId="77777777" w:rsidR="00E15B3B" w:rsidRPr="00D46683" w:rsidRDefault="00C825DD"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hyperlink r:id="rId34" w:history="1">
        <w:r w:rsidR="00E15B3B" w:rsidRPr="00D46683">
          <w:rPr>
            <w:rStyle w:val="Hyperlink"/>
            <w:rFonts w:ascii="Times New Roman" w:hAnsi="Times New Roman" w:cs="Times New Roman"/>
          </w:rPr>
          <w:t>https://www.wcpfc.int/node/27447</w:t>
        </w:r>
      </w:hyperlink>
      <w:r w:rsidR="00E15B3B" w:rsidRPr="00D46683">
        <w:rPr>
          <w:rFonts w:ascii="Times New Roman" w:hAnsi="Times New Roman" w:cs="Times New Roman"/>
        </w:rPr>
        <w:t xml:space="preserve">  </w:t>
      </w:r>
    </w:p>
    <w:p w14:paraId="53E88E01" w14:textId="77777777" w:rsidR="005C7178" w:rsidRPr="00D46683" w:rsidRDefault="005C7178" w:rsidP="00F44783">
      <w:pPr>
        <w:autoSpaceDE w:val="0"/>
        <w:autoSpaceDN w:val="0"/>
        <w:adjustRightInd w:val="0"/>
        <w:spacing w:after="0" w:line="240" w:lineRule="auto"/>
        <w:jc w:val="both"/>
        <w:rPr>
          <w:rFonts w:ascii="Times New Roman" w:hAnsi="Times New Roman" w:cs="Times New Roman"/>
          <w:b/>
          <w:lang w:val="en-AU"/>
        </w:rPr>
      </w:pPr>
    </w:p>
    <w:p w14:paraId="1B9C96A8" w14:textId="77777777" w:rsidR="00E15B3B" w:rsidRPr="00D46683" w:rsidRDefault="00E15B3B"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D46683">
        <w:rPr>
          <w:rFonts w:ascii="Times New Roman" w:eastAsia="MS Mincho" w:hAnsi="Times New Roman" w:cs="Times New Roman"/>
          <w:color w:val="000000"/>
          <w:lang w:val="en-NZ" w:eastAsia="en-NZ"/>
        </w:rPr>
        <w:t xml:space="preserve">SC9-SA-WP-01 </w:t>
      </w:r>
      <w:r w:rsidRPr="00D46683">
        <w:rPr>
          <w:rFonts w:ascii="Times New Roman" w:hAnsi="Times New Roman" w:cs="Times New Roman"/>
          <w:lang w:val="en"/>
        </w:rPr>
        <w:t>Stock assessment of swordfish (Xiphias gladius) in the southwest Pacific Ocean. Davies, N., G. Pilling, S. Harley, and J. Hampton. (SPC-OFP)</w:t>
      </w:r>
    </w:p>
    <w:p w14:paraId="614C59C9" w14:textId="77777777" w:rsidR="00E15B3B" w:rsidRPr="00D46683" w:rsidRDefault="00C825DD" w:rsidP="00F44783">
      <w:pPr>
        <w:autoSpaceDE w:val="0"/>
        <w:autoSpaceDN w:val="0"/>
        <w:adjustRightInd w:val="0"/>
        <w:spacing w:after="0" w:line="240" w:lineRule="auto"/>
        <w:jc w:val="both"/>
        <w:rPr>
          <w:rFonts w:ascii="Times New Roman" w:hAnsi="Times New Roman" w:cs="Times New Roman"/>
          <w:b/>
          <w:lang w:val="en-AU"/>
        </w:rPr>
      </w:pPr>
      <w:hyperlink r:id="rId35" w:history="1">
        <w:r w:rsidR="00E15B3B" w:rsidRPr="00D46683">
          <w:rPr>
            <w:rStyle w:val="Hyperlink"/>
            <w:rFonts w:ascii="Times New Roman" w:hAnsi="Times New Roman" w:cs="Times New Roman"/>
          </w:rPr>
          <w:t>https://www.wcpfc.int/node/3683</w:t>
        </w:r>
      </w:hyperlink>
      <w:r w:rsidR="00E15B3B" w:rsidRPr="00D46683">
        <w:rPr>
          <w:rFonts w:ascii="Times New Roman" w:hAnsi="Times New Roman" w:cs="Times New Roman"/>
        </w:rPr>
        <w:t xml:space="preserve"> </w:t>
      </w:r>
    </w:p>
    <w:p w14:paraId="491D5B0C" w14:textId="77777777" w:rsidR="00E15B3B" w:rsidRPr="00D46683" w:rsidRDefault="00E15B3B" w:rsidP="00F44783">
      <w:pPr>
        <w:autoSpaceDE w:val="0"/>
        <w:autoSpaceDN w:val="0"/>
        <w:adjustRightInd w:val="0"/>
        <w:spacing w:after="0" w:line="240" w:lineRule="auto"/>
        <w:jc w:val="both"/>
        <w:rPr>
          <w:rFonts w:ascii="Times New Roman" w:hAnsi="Times New Roman" w:cs="Times New Roman"/>
          <w:b/>
          <w:lang w:val="en-AU"/>
        </w:rPr>
      </w:pPr>
    </w:p>
    <w:p w14:paraId="063AABD6" w14:textId="77777777" w:rsidR="00FC5EB1" w:rsidRPr="00D46683" w:rsidRDefault="00FC5EB1" w:rsidP="00F44783">
      <w:pPr>
        <w:pStyle w:val="Heading1"/>
        <w:adjustRightInd w:val="0"/>
        <w:spacing w:before="0" w:line="240" w:lineRule="auto"/>
        <w:rPr>
          <w:rFonts w:ascii="Times New Roman" w:eastAsia="MS Mincho" w:hAnsi="Times New Roman" w:cs="Times New Roman"/>
          <w:b/>
          <w:caps/>
          <w:sz w:val="28"/>
          <w:szCs w:val="28"/>
          <w:lang w:val="en-NZ" w:eastAsia="en-NZ"/>
        </w:rPr>
      </w:pPr>
      <w:bookmarkStart w:id="12" w:name="_Toc95983125"/>
      <w:r w:rsidRPr="00D46683">
        <w:rPr>
          <w:rFonts w:ascii="Times New Roman" w:eastAsia="MS Mincho" w:hAnsi="Times New Roman" w:cs="Times New Roman"/>
          <w:b/>
          <w:caps/>
          <w:sz w:val="28"/>
          <w:szCs w:val="28"/>
          <w:lang w:val="en-NZ" w:eastAsia="en-NZ"/>
        </w:rPr>
        <w:t>Previous Assessments</w:t>
      </w:r>
      <w:bookmarkEnd w:id="12"/>
    </w:p>
    <w:p w14:paraId="13DEE75E" w14:textId="77777777" w:rsidR="005C7178" w:rsidRPr="00D46683" w:rsidRDefault="005C7178"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40EE0966" w14:textId="77777777" w:rsidR="004F5E31" w:rsidRPr="00D46683" w:rsidRDefault="004F5E31" w:rsidP="004F5E31">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D46683">
        <w:rPr>
          <w:rFonts w:ascii="Times New Roman" w:eastAsia="MS Mincho" w:hAnsi="Times New Roman" w:cs="Times New Roman"/>
          <w:color w:val="000000"/>
          <w:lang w:val="en-NZ" w:eastAsia="en-NZ"/>
        </w:rPr>
        <w:t xml:space="preserve">SC13-SA-WP-13 </w:t>
      </w:r>
      <w:r w:rsidRPr="00D46683">
        <w:rPr>
          <w:rFonts w:ascii="Times New Roman" w:hAnsi="Times New Roman" w:cs="Times New Roman"/>
          <w:lang w:val="en"/>
        </w:rPr>
        <w:t>Stock assessment of swordfish in the SW Pacific. Takeuchi Y, G. Pilling and J. Hampton. (SPC-OFP)</w:t>
      </w:r>
    </w:p>
    <w:p w14:paraId="0E15928C" w14:textId="06EB65E0" w:rsidR="004F5E31" w:rsidRDefault="00C825DD" w:rsidP="004F5E31">
      <w:pPr>
        <w:autoSpaceDE w:val="0"/>
        <w:autoSpaceDN w:val="0"/>
        <w:adjustRightInd w:val="0"/>
        <w:spacing w:after="0" w:line="240" w:lineRule="auto"/>
        <w:jc w:val="both"/>
        <w:rPr>
          <w:rFonts w:ascii="Times New Roman" w:eastAsia="MS Mincho" w:hAnsi="Times New Roman" w:cs="Times New Roman"/>
          <w:color w:val="000000"/>
          <w:lang w:val="en-NZ" w:eastAsia="en-NZ"/>
        </w:rPr>
      </w:pPr>
      <w:hyperlink r:id="rId36" w:history="1">
        <w:r w:rsidR="004F5E31" w:rsidRPr="00D46683">
          <w:rPr>
            <w:rStyle w:val="Hyperlink"/>
            <w:rFonts w:ascii="Times New Roman" w:hAnsi="Times New Roman" w:cs="Times New Roman"/>
          </w:rPr>
          <w:t>https://www.wcpfc.int/node/29526</w:t>
        </w:r>
      </w:hyperlink>
    </w:p>
    <w:p w14:paraId="5E11E1DD" w14:textId="77777777" w:rsidR="004F5E31" w:rsidRDefault="004F5E31"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695EC495" w14:textId="6CA3AC32" w:rsidR="00FC5EB1" w:rsidRPr="00D46683" w:rsidRDefault="00FC5EB1" w:rsidP="00F44783">
      <w:pPr>
        <w:autoSpaceDE w:val="0"/>
        <w:autoSpaceDN w:val="0"/>
        <w:adjustRightInd w:val="0"/>
        <w:spacing w:after="0" w:line="240" w:lineRule="auto"/>
        <w:jc w:val="both"/>
        <w:rPr>
          <w:rFonts w:ascii="Times New Roman" w:hAnsi="Times New Roman" w:cs="Times New Roman"/>
          <w:lang w:val="en"/>
        </w:rPr>
      </w:pPr>
      <w:r w:rsidRPr="00D46683">
        <w:rPr>
          <w:rFonts w:ascii="Times New Roman" w:eastAsia="MS Mincho" w:hAnsi="Times New Roman" w:cs="Times New Roman"/>
          <w:color w:val="000000"/>
          <w:lang w:val="en-NZ" w:eastAsia="en-NZ"/>
        </w:rPr>
        <w:t xml:space="preserve">SC9-SA-WP-05 </w:t>
      </w:r>
      <w:r w:rsidRPr="00D46683">
        <w:rPr>
          <w:rFonts w:ascii="Times New Roman" w:hAnsi="Times New Roman" w:cs="Times New Roman"/>
          <w:lang w:val="en"/>
        </w:rPr>
        <w:t xml:space="preserve">Stock assessment of swordfish (Xiphias gladius) in the southwest Pacific Ocean. </w:t>
      </w:r>
      <w:hyperlink r:id="rId37" w:history="1">
        <w:r w:rsidRPr="00D46683">
          <w:rPr>
            <w:rStyle w:val="Hyperlink"/>
            <w:rFonts w:ascii="Times New Roman" w:hAnsi="Times New Roman" w:cs="Times New Roman"/>
            <w:lang w:val="en"/>
          </w:rPr>
          <w:t>https://wcpfc.int/node/3683</w:t>
        </w:r>
      </w:hyperlink>
      <w:r w:rsidRPr="00D46683">
        <w:rPr>
          <w:rFonts w:ascii="Times New Roman" w:hAnsi="Times New Roman" w:cs="Times New Roman"/>
          <w:lang w:val="en"/>
        </w:rPr>
        <w:t xml:space="preserve"> </w:t>
      </w:r>
    </w:p>
    <w:p w14:paraId="73A8743F" w14:textId="77777777" w:rsidR="00654B42" w:rsidRPr="00D46683" w:rsidRDefault="00654B42"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20809936" w14:textId="77777777" w:rsidR="00654B42" w:rsidRPr="00D46683" w:rsidRDefault="00654B42"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D46683">
        <w:rPr>
          <w:rFonts w:ascii="Times New Roman" w:eastAsia="MS Mincho" w:hAnsi="Times New Roman" w:cs="Times New Roman"/>
          <w:color w:val="000000"/>
          <w:lang w:val="en-NZ" w:eastAsia="en-NZ"/>
        </w:rPr>
        <w:t xml:space="preserve">SC4-SA-WP-06 Multifan-CL Stock Assessment of Southern Western-Central Pacific Swordfish 1952-2007. </w:t>
      </w:r>
      <w:hyperlink r:id="rId38" w:history="1">
        <w:r w:rsidRPr="00D46683">
          <w:rPr>
            <w:rStyle w:val="Hyperlink"/>
            <w:rFonts w:ascii="Times New Roman" w:eastAsia="MS Mincho" w:hAnsi="Times New Roman" w:cs="Times New Roman"/>
            <w:lang w:val="en-NZ" w:eastAsia="en-NZ"/>
          </w:rPr>
          <w:t>https://wcpfc.int/node/1223</w:t>
        </w:r>
      </w:hyperlink>
      <w:r w:rsidRPr="00D46683">
        <w:rPr>
          <w:rFonts w:ascii="Times New Roman" w:eastAsia="MS Mincho" w:hAnsi="Times New Roman" w:cs="Times New Roman"/>
          <w:color w:val="000000"/>
          <w:lang w:val="en-NZ" w:eastAsia="en-NZ"/>
        </w:rPr>
        <w:t xml:space="preserve"> </w:t>
      </w:r>
    </w:p>
    <w:p w14:paraId="00827E12" w14:textId="77777777" w:rsidR="00310A4B" w:rsidRPr="00D46683" w:rsidRDefault="00310A4B"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292B16A9" w14:textId="77777777" w:rsidR="00310A4B" w:rsidRPr="00D46683" w:rsidRDefault="00310A4B"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D46683">
        <w:rPr>
          <w:rFonts w:ascii="Times New Roman" w:eastAsia="MS Mincho" w:hAnsi="Times New Roman" w:cs="Times New Roman"/>
          <w:color w:val="000000"/>
          <w:lang w:val="en-NZ" w:eastAsia="en-NZ"/>
        </w:rPr>
        <w:t xml:space="preserve">SC2-SA-WP-07 </w:t>
      </w:r>
      <w:r w:rsidR="00106AD8" w:rsidRPr="00D46683">
        <w:rPr>
          <w:rFonts w:ascii="Times New Roman" w:eastAsia="MS Mincho" w:hAnsi="Times New Roman" w:cs="Times New Roman"/>
          <w:color w:val="000000"/>
          <w:lang w:val="en-NZ" w:eastAsia="en-NZ"/>
        </w:rPr>
        <w:t xml:space="preserve">SW Pacific Swordfish Stock Status Summary from multiple assessment models. </w:t>
      </w:r>
      <w:hyperlink r:id="rId39" w:history="1">
        <w:r w:rsidR="00C31081" w:rsidRPr="00D46683">
          <w:rPr>
            <w:rStyle w:val="Hyperlink"/>
            <w:rFonts w:ascii="Times New Roman" w:eastAsia="MS Mincho" w:hAnsi="Times New Roman" w:cs="Times New Roman"/>
            <w:lang w:val="en-NZ" w:eastAsia="en-NZ"/>
          </w:rPr>
          <w:t>https://wcpfc.int/node/1752</w:t>
        </w:r>
      </w:hyperlink>
      <w:r w:rsidR="00C31081" w:rsidRPr="00D46683">
        <w:rPr>
          <w:rFonts w:ascii="Times New Roman" w:eastAsia="MS Mincho" w:hAnsi="Times New Roman" w:cs="Times New Roman"/>
          <w:color w:val="000000"/>
          <w:lang w:val="en-NZ" w:eastAsia="en-NZ"/>
        </w:rPr>
        <w:t xml:space="preserve"> </w:t>
      </w:r>
    </w:p>
    <w:p w14:paraId="75112BFB" w14:textId="77777777" w:rsidR="00AB0794" w:rsidRPr="00D46683" w:rsidRDefault="00AB0794"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2ED138AE" w14:textId="77777777" w:rsidR="00AB0794" w:rsidRPr="00D46683" w:rsidRDefault="00AB0794"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r w:rsidRPr="00D46683">
        <w:rPr>
          <w:rFonts w:ascii="Times New Roman" w:eastAsia="MS Mincho" w:hAnsi="Times New Roman" w:cs="Times New Roman"/>
          <w:color w:val="000000"/>
          <w:lang w:val="en-NZ" w:eastAsia="en-NZ"/>
        </w:rPr>
        <w:t xml:space="preserve">SC1-SA-WP-07 Southwest Pacific swordfish assessment: 2005-6 objectives and preliminary results. </w:t>
      </w:r>
      <w:hyperlink r:id="rId40" w:history="1">
        <w:r w:rsidRPr="00D46683">
          <w:rPr>
            <w:rStyle w:val="Hyperlink"/>
            <w:rFonts w:ascii="Times New Roman" w:eastAsia="MS Mincho" w:hAnsi="Times New Roman" w:cs="Times New Roman"/>
            <w:lang w:val="en-NZ" w:eastAsia="en-NZ"/>
          </w:rPr>
          <w:t>https://wcpfc.int/node/1891</w:t>
        </w:r>
      </w:hyperlink>
      <w:r w:rsidRPr="00D46683">
        <w:rPr>
          <w:rFonts w:ascii="Times New Roman" w:eastAsia="MS Mincho" w:hAnsi="Times New Roman" w:cs="Times New Roman"/>
          <w:color w:val="000000"/>
          <w:lang w:val="en-NZ" w:eastAsia="en-NZ"/>
        </w:rPr>
        <w:t xml:space="preserve"> </w:t>
      </w:r>
    </w:p>
    <w:p w14:paraId="2B782A14" w14:textId="77777777" w:rsidR="00C31081" w:rsidRPr="00D46683" w:rsidRDefault="00C31081"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p w14:paraId="3BF303F4" w14:textId="77777777" w:rsidR="00C31081" w:rsidRPr="00D46683" w:rsidRDefault="00C31081" w:rsidP="00F44783">
      <w:pPr>
        <w:autoSpaceDE w:val="0"/>
        <w:autoSpaceDN w:val="0"/>
        <w:adjustRightInd w:val="0"/>
        <w:spacing w:after="0" w:line="240" w:lineRule="auto"/>
        <w:jc w:val="both"/>
        <w:rPr>
          <w:rFonts w:ascii="Times New Roman" w:eastAsia="MS Mincho" w:hAnsi="Times New Roman" w:cs="Times New Roman"/>
          <w:color w:val="000000"/>
          <w:lang w:val="en-NZ" w:eastAsia="en-NZ"/>
        </w:rPr>
      </w:pPr>
    </w:p>
    <w:sectPr w:rsidR="00C31081" w:rsidRPr="00D46683" w:rsidSect="00400113">
      <w:footerReference w:type="default" r:id="rId41"/>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AB218" w14:textId="77777777" w:rsidR="00C825DD" w:rsidRDefault="00C825DD" w:rsidP="005C2B8D">
      <w:pPr>
        <w:spacing w:after="0" w:line="240" w:lineRule="auto"/>
      </w:pPr>
      <w:r>
        <w:separator/>
      </w:r>
    </w:p>
  </w:endnote>
  <w:endnote w:type="continuationSeparator" w:id="0">
    <w:p w14:paraId="24FBDFEA" w14:textId="77777777" w:rsidR="00C825DD" w:rsidRDefault="00C825DD"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MR10">
    <w:altName w:val="Cambria"/>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353592"/>
      <w:docPartObj>
        <w:docPartGallery w:val="Page Numbers (Bottom of Page)"/>
        <w:docPartUnique/>
      </w:docPartObj>
    </w:sdtPr>
    <w:sdtEndPr>
      <w:rPr>
        <w:noProof/>
      </w:rPr>
    </w:sdtEndPr>
    <w:sdtContent>
      <w:p w14:paraId="0083F475" w14:textId="77777777" w:rsidR="00550074" w:rsidRDefault="00550074">
        <w:pPr>
          <w:pStyle w:val="Footer"/>
          <w:jc w:val="center"/>
        </w:pPr>
        <w:r>
          <w:fldChar w:fldCharType="begin"/>
        </w:r>
        <w:r>
          <w:instrText xml:space="preserve"> PAGE   \* MERGEFORMAT </w:instrText>
        </w:r>
        <w:r>
          <w:fldChar w:fldCharType="separate"/>
        </w:r>
        <w:r w:rsidR="00B50E07">
          <w:rPr>
            <w:noProof/>
          </w:rPr>
          <w:t>12</w:t>
        </w:r>
        <w:r>
          <w:rPr>
            <w:noProof/>
          </w:rPr>
          <w:fldChar w:fldCharType="end"/>
        </w:r>
      </w:p>
    </w:sdtContent>
  </w:sdt>
  <w:p w14:paraId="6145D51D"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ECA2" w14:textId="77777777" w:rsidR="00C825DD" w:rsidRDefault="00C825DD" w:rsidP="005C2B8D">
      <w:pPr>
        <w:spacing w:after="0" w:line="240" w:lineRule="auto"/>
      </w:pPr>
      <w:r>
        <w:separator/>
      </w:r>
    </w:p>
  </w:footnote>
  <w:footnote w:type="continuationSeparator" w:id="0">
    <w:p w14:paraId="224FAEB5" w14:textId="77777777" w:rsidR="00C825DD" w:rsidRDefault="00C825DD"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E08"/>
    <w:multiLevelType w:val="hybridMultilevel"/>
    <w:tmpl w:val="5770EDD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616604C"/>
    <w:multiLevelType w:val="hybridMultilevel"/>
    <w:tmpl w:val="2814DB4A"/>
    <w:lvl w:ilvl="0" w:tplc="C7A23A9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BAA48EC"/>
    <w:multiLevelType w:val="hybridMultilevel"/>
    <w:tmpl w:val="BE124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09250E"/>
    <w:multiLevelType w:val="hybridMultilevel"/>
    <w:tmpl w:val="3878A704"/>
    <w:lvl w:ilvl="0" w:tplc="8102BF38">
      <w:start w:val="2"/>
      <w:numFmt w:val="decimal"/>
      <w:pStyle w:val="WCPFC"/>
      <w:lvlText w:val="%1."/>
      <w:lvlJc w:val="left"/>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A0F1288"/>
    <w:multiLevelType w:val="hybridMultilevel"/>
    <w:tmpl w:val="405A1C40"/>
    <w:lvl w:ilvl="0" w:tplc="E668A59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231902"/>
    <w:multiLevelType w:val="hybridMultilevel"/>
    <w:tmpl w:val="DB1A22D0"/>
    <w:lvl w:ilvl="0" w:tplc="4F9C7B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5" w15:restartNumberingAfterBreak="0">
    <w:nsid w:val="75406AC3"/>
    <w:multiLevelType w:val="hybridMultilevel"/>
    <w:tmpl w:val="04B4E83C"/>
    <w:lvl w:ilvl="0" w:tplc="C7A23A92">
      <w:start w:val="1"/>
      <w:numFmt w:val="decimal"/>
      <w:lvlText w:val="%1)"/>
      <w:lvlJc w:val="left"/>
      <w:pPr>
        <w:ind w:left="1440" w:hanging="360"/>
      </w:pPr>
      <w:rPr>
        <w:rFonts w:hint="default"/>
        <w:b w:val="0"/>
        <w:sz w:val="2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B4789"/>
    <w:multiLevelType w:val="hybridMultilevel"/>
    <w:tmpl w:val="DA2C8594"/>
    <w:lvl w:ilvl="0" w:tplc="215054D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F34512A"/>
    <w:multiLevelType w:val="hybridMultilevel"/>
    <w:tmpl w:val="AF4EDF56"/>
    <w:lvl w:ilvl="0" w:tplc="7D7A123A">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B7ECE1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2"/>
  </w:num>
  <w:num w:numId="4">
    <w:abstractNumId w:val="10"/>
  </w:num>
  <w:num w:numId="5">
    <w:abstractNumId w:val="1"/>
  </w:num>
  <w:num w:numId="6">
    <w:abstractNumId w:val="6"/>
    <w:lvlOverride w:ilvl="0">
      <w:startOverride w:val="393"/>
    </w:lvlOverride>
  </w:num>
  <w:num w:numId="7">
    <w:abstractNumId w:val="11"/>
  </w:num>
  <w:num w:numId="8">
    <w:abstractNumId w:val="13"/>
  </w:num>
  <w:num w:numId="9">
    <w:abstractNumId w:val="14"/>
  </w:num>
  <w:num w:numId="10">
    <w:abstractNumId w:val="9"/>
  </w:num>
  <w:num w:numId="11">
    <w:abstractNumId w:val="16"/>
  </w:num>
  <w:num w:numId="12">
    <w:abstractNumId w:val="6"/>
  </w:num>
  <w:num w:numId="13">
    <w:abstractNumId w:val="18"/>
  </w:num>
  <w:num w:numId="14">
    <w:abstractNumId w:val="7"/>
  </w:num>
  <w:num w:numId="15">
    <w:abstractNumId w:val="6"/>
    <w:lvlOverride w:ilvl="0">
      <w:startOverride w:val="1"/>
    </w:lvlOverride>
  </w:num>
  <w:num w:numId="16">
    <w:abstractNumId w:val="5"/>
  </w:num>
  <w:num w:numId="17">
    <w:abstractNumId w:val="4"/>
  </w:num>
  <w:num w:numId="18">
    <w:abstractNumId w:val="6"/>
    <w:lvlOverride w:ilvl="0">
      <w:startOverride w:val="1"/>
    </w:lvlOverride>
  </w:num>
  <w:num w:numId="19">
    <w:abstractNumId w:val="8"/>
  </w:num>
  <w:num w:numId="20">
    <w:abstractNumId w:val="15"/>
  </w:num>
  <w:num w:numId="21">
    <w:abstractNumId w:val="3"/>
  </w:num>
  <w:num w:numId="22">
    <w:abstractNumId w:val="17"/>
  </w:num>
  <w:num w:numId="23">
    <w:abstractNumId w:val="0"/>
  </w:num>
  <w:num w:numId="24">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661B4"/>
    <w:rsid w:val="000B3805"/>
    <w:rsid w:val="00106AD8"/>
    <w:rsid w:val="00132F38"/>
    <w:rsid w:val="00271913"/>
    <w:rsid w:val="00290B79"/>
    <w:rsid w:val="002D086C"/>
    <w:rsid w:val="002E6615"/>
    <w:rsid w:val="003060E3"/>
    <w:rsid w:val="00307A7F"/>
    <w:rsid w:val="00310A4B"/>
    <w:rsid w:val="00335F8E"/>
    <w:rsid w:val="0038238E"/>
    <w:rsid w:val="00390CC3"/>
    <w:rsid w:val="003F50D6"/>
    <w:rsid w:val="00400113"/>
    <w:rsid w:val="00416473"/>
    <w:rsid w:val="00487880"/>
    <w:rsid w:val="004B05DF"/>
    <w:rsid w:val="004B2C1D"/>
    <w:rsid w:val="004B4A19"/>
    <w:rsid w:val="004C0F6A"/>
    <w:rsid w:val="004C1EE5"/>
    <w:rsid w:val="004C4F3D"/>
    <w:rsid w:val="004F5329"/>
    <w:rsid w:val="004F5E31"/>
    <w:rsid w:val="0051538C"/>
    <w:rsid w:val="005374AB"/>
    <w:rsid w:val="00550074"/>
    <w:rsid w:val="005A5AA1"/>
    <w:rsid w:val="005B1A1E"/>
    <w:rsid w:val="005B3B5D"/>
    <w:rsid w:val="005C2B8D"/>
    <w:rsid w:val="005C7178"/>
    <w:rsid w:val="00632E02"/>
    <w:rsid w:val="006515DB"/>
    <w:rsid w:val="006547A5"/>
    <w:rsid w:val="00654B42"/>
    <w:rsid w:val="00674EFD"/>
    <w:rsid w:val="00681D97"/>
    <w:rsid w:val="006A51C4"/>
    <w:rsid w:val="006F1084"/>
    <w:rsid w:val="00705049"/>
    <w:rsid w:val="0073054D"/>
    <w:rsid w:val="00741FA1"/>
    <w:rsid w:val="007766EA"/>
    <w:rsid w:val="007B6CCE"/>
    <w:rsid w:val="007F084A"/>
    <w:rsid w:val="007F71A5"/>
    <w:rsid w:val="00867480"/>
    <w:rsid w:val="00927C45"/>
    <w:rsid w:val="009C1672"/>
    <w:rsid w:val="00A52AAC"/>
    <w:rsid w:val="00AB0794"/>
    <w:rsid w:val="00AC71A5"/>
    <w:rsid w:val="00AD090D"/>
    <w:rsid w:val="00B50E07"/>
    <w:rsid w:val="00B76079"/>
    <w:rsid w:val="00BD56FE"/>
    <w:rsid w:val="00C01084"/>
    <w:rsid w:val="00C31081"/>
    <w:rsid w:val="00C64AF4"/>
    <w:rsid w:val="00C825DD"/>
    <w:rsid w:val="00CC3DC6"/>
    <w:rsid w:val="00CC59BE"/>
    <w:rsid w:val="00CF0B93"/>
    <w:rsid w:val="00D4373F"/>
    <w:rsid w:val="00D46683"/>
    <w:rsid w:val="00DC1CE4"/>
    <w:rsid w:val="00DC50D2"/>
    <w:rsid w:val="00E10994"/>
    <w:rsid w:val="00E15B3B"/>
    <w:rsid w:val="00F130C8"/>
    <w:rsid w:val="00F23D5F"/>
    <w:rsid w:val="00F44783"/>
    <w:rsid w:val="00F528D9"/>
    <w:rsid w:val="00F535CC"/>
    <w:rsid w:val="00FB657D"/>
    <w:rsid w:val="00FC5EB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97462"/>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47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semiHidden/>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paragraph" w:customStyle="1" w:styleId="SCa">
    <w:name w:val="SC a"/>
    <w:basedOn w:val="ListParagraph"/>
    <w:link w:val="SCaChar"/>
    <w:qFormat/>
    <w:rsid w:val="00F44783"/>
    <w:pPr>
      <w:tabs>
        <w:tab w:val="left" w:pos="1080"/>
      </w:tabs>
      <w:adjustRightInd w:val="0"/>
      <w:snapToGrid w:val="0"/>
      <w:spacing w:after="240"/>
      <w:ind w:left="1080" w:firstLine="0"/>
      <w:contextualSpacing w:val="0"/>
    </w:pPr>
    <w:rPr>
      <w:rFonts w:ascii="Times New Roman" w:eastAsia="Batang" w:hAnsi="Times New Roman"/>
      <w:b/>
      <w:lang w:eastAsia="ko-KR"/>
    </w:rPr>
  </w:style>
  <w:style w:type="character" w:customStyle="1" w:styleId="SCaChar">
    <w:name w:val="SC a Char"/>
    <w:basedOn w:val="ListParagraphChar"/>
    <w:link w:val="SCa"/>
    <w:rsid w:val="00F44783"/>
    <w:rPr>
      <w:rFonts w:ascii="Times New Roman" w:eastAsia="Batang" w:hAnsi="Times New Roman" w:cs="Times New Roman"/>
      <w:b/>
      <w:lang w:val="en-NZ" w:eastAsia="ko-KR"/>
    </w:rPr>
  </w:style>
  <w:style w:type="character" w:customStyle="1" w:styleId="Heading3Char">
    <w:name w:val="Heading 3 Char"/>
    <w:basedOn w:val="DefaultParagraphFont"/>
    <w:link w:val="Heading3"/>
    <w:uiPriority w:val="9"/>
    <w:semiHidden/>
    <w:rsid w:val="00F44783"/>
    <w:rPr>
      <w:rFonts w:asciiTheme="majorHAnsi" w:eastAsiaTheme="majorEastAsia" w:hAnsiTheme="majorHAnsi" w:cstheme="majorBidi"/>
      <w:color w:val="1F3763" w:themeColor="accent1" w:themeShade="7F"/>
      <w:sz w:val="24"/>
      <w:szCs w:val="24"/>
    </w:rPr>
  </w:style>
  <w:style w:type="paragraph" w:customStyle="1" w:styleId="SCtext">
    <w:name w:val="SC text"/>
    <w:basedOn w:val="WCPFC"/>
    <w:rsid w:val="00AD090D"/>
    <w:pPr>
      <w:spacing w:after="0"/>
      <w:ind w:left="1080" w:hanging="360"/>
    </w:pPr>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wcpfc.int/node/29904" TargetMode="External"/><Relationship Id="rId26" Type="http://schemas.openxmlformats.org/officeDocument/2006/relationships/image" Target="media/image16.png"/><Relationship Id="rId39" Type="http://schemas.openxmlformats.org/officeDocument/2006/relationships/hyperlink" Target="https://wcpfc.int/node/1752"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wcpfc.int/node/27447"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cpfc.int/node/29904" TargetMode="External"/><Relationship Id="rId25" Type="http://schemas.openxmlformats.org/officeDocument/2006/relationships/image" Target="media/image15.png"/><Relationship Id="rId33" Type="http://schemas.openxmlformats.org/officeDocument/2006/relationships/hyperlink" Target="https://meetings.wcpfc.int/node/12566" TargetMode="External"/><Relationship Id="rId38" Type="http://schemas.openxmlformats.org/officeDocument/2006/relationships/hyperlink" Target="https://wcpfc.int/node/1223" TargetMode="External"/><Relationship Id="rId2" Type="http://schemas.openxmlformats.org/officeDocument/2006/relationships/numbering" Target="numbering.xml"/><Relationship Id="rId16" Type="http://schemas.openxmlformats.org/officeDocument/2006/relationships/hyperlink" Target="https://www.wcpfc.int/node/29904" TargetMode="External"/><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meetings.wcpfc.int/node/12565" TargetMode="External"/><Relationship Id="rId37" Type="http://schemas.openxmlformats.org/officeDocument/2006/relationships/hyperlink" Target="https://wcpfc.int/node/3683" TargetMode="External"/><Relationship Id="rId40" Type="http://schemas.openxmlformats.org/officeDocument/2006/relationships/hyperlink" Target="https://wcpfc.int/node/189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yperlink" Target="https://www.wcpfc.int/node/29526" TargetMode="Externa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hyperlink" Target="https://meetings.wcpfc.int/node/1255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yperlink" Target="https://www.wcpfc.int/node/3683"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F2F50-D146-4934-B184-AC2E1C1C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4504</Words>
  <Characters>25678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4</cp:revision>
  <cp:lastPrinted>2018-05-22T03:28:00Z</cp:lastPrinted>
  <dcterms:created xsi:type="dcterms:W3CDTF">2022-02-17T01:28:00Z</dcterms:created>
  <dcterms:modified xsi:type="dcterms:W3CDTF">2022-02-17T01:55:00Z</dcterms:modified>
</cp:coreProperties>
</file>