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5DF" w:rsidRDefault="00DC50D2" w:rsidP="004B05DF">
      <w:pPr>
        <w:spacing w:after="0" w:line="240" w:lineRule="auto"/>
        <w:jc w:val="center"/>
        <w:rPr>
          <w:b/>
          <w:sz w:val="36"/>
          <w:szCs w:val="36"/>
        </w:rPr>
      </w:pPr>
      <w:r>
        <w:rPr>
          <w:b/>
          <w:sz w:val="36"/>
          <w:szCs w:val="36"/>
        </w:rPr>
        <w:t>South</w:t>
      </w:r>
      <w:r w:rsidR="00400113">
        <w:rPr>
          <w:b/>
          <w:sz w:val="36"/>
          <w:szCs w:val="36"/>
        </w:rPr>
        <w:t xml:space="preserve"> </w:t>
      </w:r>
      <w:r w:rsidR="003F50D6">
        <w:rPr>
          <w:b/>
          <w:sz w:val="36"/>
          <w:szCs w:val="36"/>
        </w:rPr>
        <w:t xml:space="preserve">Pacific </w:t>
      </w:r>
      <w:r w:rsidR="00400113">
        <w:rPr>
          <w:b/>
          <w:sz w:val="36"/>
          <w:szCs w:val="36"/>
        </w:rPr>
        <w:t>Swordfish</w:t>
      </w:r>
      <w:r w:rsidR="004B05DF" w:rsidRPr="004B05DF">
        <w:rPr>
          <w:b/>
          <w:sz w:val="36"/>
          <w:szCs w:val="36"/>
        </w:rPr>
        <w:t xml:space="preserve"> (</w:t>
      </w:r>
      <w:proofErr w:type="spellStart"/>
      <w:r w:rsidR="00400113" w:rsidRPr="00400113">
        <w:rPr>
          <w:b/>
          <w:i/>
          <w:sz w:val="36"/>
          <w:szCs w:val="36"/>
        </w:rPr>
        <w:t>Xiphias</w:t>
      </w:r>
      <w:proofErr w:type="spellEnd"/>
      <w:r w:rsidR="00400113" w:rsidRPr="00400113">
        <w:rPr>
          <w:b/>
          <w:i/>
          <w:sz w:val="36"/>
          <w:szCs w:val="36"/>
        </w:rPr>
        <w:t xml:space="preserve"> gladius</w:t>
      </w:r>
      <w:r w:rsidR="004B05DF" w:rsidRPr="004B05DF">
        <w:rPr>
          <w:b/>
          <w:sz w:val="36"/>
          <w:szCs w:val="36"/>
        </w:rPr>
        <w:t>)</w:t>
      </w:r>
    </w:p>
    <w:p w:rsidR="004B05DF" w:rsidRPr="004B05DF" w:rsidRDefault="004B05DF" w:rsidP="004B05DF">
      <w:pPr>
        <w:spacing w:after="0" w:line="240" w:lineRule="auto"/>
        <w:jc w:val="center"/>
        <w:rPr>
          <w:b/>
          <w:sz w:val="28"/>
          <w:szCs w:val="28"/>
        </w:rPr>
      </w:pPr>
      <w:r w:rsidRPr="004B05DF">
        <w:rPr>
          <w:b/>
          <w:sz w:val="28"/>
          <w:szCs w:val="28"/>
        </w:rPr>
        <w:t>Stock Status &amp;Trends</w:t>
      </w:r>
      <w:r>
        <w:rPr>
          <w:b/>
          <w:sz w:val="28"/>
          <w:szCs w:val="28"/>
        </w:rPr>
        <w:t xml:space="preserve"> plus Management Advice and Implications</w:t>
      </w:r>
    </w:p>
    <w:p w:rsidR="004B05DF" w:rsidRDefault="004B05DF" w:rsidP="004B05DF">
      <w:pPr>
        <w:spacing w:after="0" w:line="240" w:lineRule="auto"/>
        <w:rPr>
          <w:b/>
        </w:rPr>
      </w:pPr>
    </w:p>
    <w:sdt>
      <w:sdtPr>
        <w:rPr>
          <w:rFonts w:asciiTheme="minorHAnsi" w:eastAsiaTheme="minorHAnsi" w:hAnsiTheme="minorHAnsi" w:cstheme="minorBidi"/>
          <w:color w:val="auto"/>
          <w:sz w:val="22"/>
          <w:szCs w:val="22"/>
        </w:rPr>
        <w:id w:val="-1203621396"/>
        <w:docPartObj>
          <w:docPartGallery w:val="Table of Contents"/>
          <w:docPartUnique/>
        </w:docPartObj>
      </w:sdtPr>
      <w:sdtEndPr>
        <w:rPr>
          <w:b/>
          <w:bCs/>
          <w:noProof/>
        </w:rPr>
      </w:sdtEndPr>
      <w:sdtContent>
        <w:p w:rsidR="004B05DF" w:rsidRDefault="004B05DF">
          <w:pPr>
            <w:pStyle w:val="TOCHeading"/>
          </w:pPr>
          <w:r>
            <w:t>Contents</w:t>
          </w:r>
        </w:p>
        <w:p w:rsidR="00487880" w:rsidRDefault="004B05DF">
          <w:pPr>
            <w:pStyle w:val="TOC1"/>
            <w:tabs>
              <w:tab w:val="right" w:leader="dot" w:pos="9350"/>
            </w:tabs>
            <w:rPr>
              <w:rFonts w:eastAsiaTheme="minorEastAsia"/>
              <w:noProof/>
              <w:lang w:val="en-GB" w:eastAsia="en-GB"/>
            </w:rPr>
          </w:pPr>
          <w:r>
            <w:fldChar w:fldCharType="begin"/>
          </w:r>
          <w:r>
            <w:instrText xml:space="preserve"> TOC \o "1-3" \h \z \u </w:instrText>
          </w:r>
          <w:r>
            <w:fldChar w:fldCharType="separate"/>
          </w:r>
          <w:hyperlink w:anchor="_Toc514854654" w:history="1">
            <w:r w:rsidR="00487880" w:rsidRPr="004F4B34">
              <w:rPr>
                <w:rStyle w:val="Hyperlink"/>
                <w:noProof/>
              </w:rPr>
              <w:t>SC13 2017 (Stock Assessment Conducted)</w:t>
            </w:r>
            <w:r w:rsidR="00487880">
              <w:rPr>
                <w:noProof/>
                <w:webHidden/>
              </w:rPr>
              <w:tab/>
            </w:r>
            <w:r w:rsidR="00487880">
              <w:rPr>
                <w:noProof/>
                <w:webHidden/>
              </w:rPr>
              <w:fldChar w:fldCharType="begin"/>
            </w:r>
            <w:r w:rsidR="00487880">
              <w:rPr>
                <w:noProof/>
                <w:webHidden/>
              </w:rPr>
              <w:instrText xml:space="preserve"> PAGEREF _Toc514854654 \h </w:instrText>
            </w:r>
            <w:r w:rsidR="00487880">
              <w:rPr>
                <w:noProof/>
                <w:webHidden/>
              </w:rPr>
            </w:r>
            <w:r w:rsidR="00487880">
              <w:rPr>
                <w:noProof/>
                <w:webHidden/>
              </w:rPr>
              <w:fldChar w:fldCharType="separate"/>
            </w:r>
            <w:r w:rsidR="00487880">
              <w:rPr>
                <w:noProof/>
                <w:webHidden/>
              </w:rPr>
              <w:t>1</w:t>
            </w:r>
            <w:r w:rsidR="00487880">
              <w:rPr>
                <w:noProof/>
                <w:webHidden/>
              </w:rPr>
              <w:fldChar w:fldCharType="end"/>
            </w:r>
          </w:hyperlink>
        </w:p>
        <w:p w:rsidR="00487880" w:rsidRDefault="00271913">
          <w:pPr>
            <w:pStyle w:val="TOC1"/>
            <w:tabs>
              <w:tab w:val="right" w:leader="dot" w:pos="9350"/>
            </w:tabs>
            <w:rPr>
              <w:rFonts w:eastAsiaTheme="minorEastAsia"/>
              <w:noProof/>
              <w:lang w:val="en-GB" w:eastAsia="en-GB"/>
            </w:rPr>
          </w:pPr>
          <w:hyperlink w:anchor="_Toc514854655" w:history="1">
            <w:r w:rsidR="00487880" w:rsidRPr="004F4B34">
              <w:rPr>
                <w:rStyle w:val="Hyperlink"/>
                <w:rFonts w:eastAsia="MS Mincho"/>
                <w:noProof/>
                <w:lang w:val="en-NZ" w:eastAsia="en-NZ"/>
              </w:rPr>
              <w:t>Useful References</w:t>
            </w:r>
            <w:r w:rsidR="00487880">
              <w:rPr>
                <w:noProof/>
                <w:webHidden/>
              </w:rPr>
              <w:tab/>
            </w:r>
            <w:r w:rsidR="00487880">
              <w:rPr>
                <w:noProof/>
                <w:webHidden/>
              </w:rPr>
              <w:fldChar w:fldCharType="begin"/>
            </w:r>
            <w:r w:rsidR="00487880">
              <w:rPr>
                <w:noProof/>
                <w:webHidden/>
              </w:rPr>
              <w:instrText xml:space="preserve"> PAGEREF _Toc514854655 \h </w:instrText>
            </w:r>
            <w:r w:rsidR="00487880">
              <w:rPr>
                <w:noProof/>
                <w:webHidden/>
              </w:rPr>
            </w:r>
            <w:r w:rsidR="00487880">
              <w:rPr>
                <w:noProof/>
                <w:webHidden/>
              </w:rPr>
              <w:fldChar w:fldCharType="separate"/>
            </w:r>
            <w:r w:rsidR="00487880">
              <w:rPr>
                <w:noProof/>
                <w:webHidden/>
              </w:rPr>
              <w:t>11</w:t>
            </w:r>
            <w:r w:rsidR="00487880">
              <w:rPr>
                <w:noProof/>
                <w:webHidden/>
              </w:rPr>
              <w:fldChar w:fldCharType="end"/>
            </w:r>
          </w:hyperlink>
        </w:p>
        <w:p w:rsidR="00487880" w:rsidRDefault="00271913">
          <w:pPr>
            <w:pStyle w:val="TOC1"/>
            <w:tabs>
              <w:tab w:val="right" w:leader="dot" w:pos="9350"/>
            </w:tabs>
            <w:rPr>
              <w:rFonts w:eastAsiaTheme="minorEastAsia"/>
              <w:noProof/>
              <w:lang w:val="en-GB" w:eastAsia="en-GB"/>
            </w:rPr>
          </w:pPr>
          <w:hyperlink w:anchor="_Toc514854656" w:history="1">
            <w:r w:rsidR="00487880" w:rsidRPr="004F4B34">
              <w:rPr>
                <w:rStyle w:val="Hyperlink"/>
                <w:rFonts w:eastAsia="MS Mincho"/>
                <w:noProof/>
                <w:lang w:val="en-NZ" w:eastAsia="en-NZ"/>
              </w:rPr>
              <w:t>Previous Assessments</w:t>
            </w:r>
            <w:r w:rsidR="00487880">
              <w:rPr>
                <w:noProof/>
                <w:webHidden/>
              </w:rPr>
              <w:tab/>
            </w:r>
            <w:r w:rsidR="00487880">
              <w:rPr>
                <w:noProof/>
                <w:webHidden/>
              </w:rPr>
              <w:fldChar w:fldCharType="begin"/>
            </w:r>
            <w:r w:rsidR="00487880">
              <w:rPr>
                <w:noProof/>
                <w:webHidden/>
              </w:rPr>
              <w:instrText xml:space="preserve"> PAGEREF _Toc514854656 \h </w:instrText>
            </w:r>
            <w:r w:rsidR="00487880">
              <w:rPr>
                <w:noProof/>
                <w:webHidden/>
              </w:rPr>
            </w:r>
            <w:r w:rsidR="00487880">
              <w:rPr>
                <w:noProof/>
                <w:webHidden/>
              </w:rPr>
              <w:fldChar w:fldCharType="separate"/>
            </w:r>
            <w:r w:rsidR="00487880">
              <w:rPr>
                <w:noProof/>
                <w:webHidden/>
              </w:rPr>
              <w:t>12</w:t>
            </w:r>
            <w:r w:rsidR="00487880">
              <w:rPr>
                <w:noProof/>
                <w:webHidden/>
              </w:rPr>
              <w:fldChar w:fldCharType="end"/>
            </w:r>
          </w:hyperlink>
        </w:p>
        <w:p w:rsidR="004B05DF" w:rsidRDefault="004B05DF">
          <w:r>
            <w:rPr>
              <w:b/>
              <w:bCs/>
              <w:noProof/>
            </w:rPr>
            <w:fldChar w:fldCharType="end"/>
          </w:r>
        </w:p>
      </w:sdtContent>
    </w:sdt>
    <w:p w:rsidR="004B05DF" w:rsidRDefault="004B05DF" w:rsidP="004B05DF">
      <w:pPr>
        <w:pStyle w:val="Heading1"/>
      </w:pPr>
      <w:bookmarkStart w:id="0" w:name="_Toc514854654"/>
      <w:r>
        <w:t xml:space="preserve">SC13 2017 </w:t>
      </w:r>
      <w:r w:rsidR="00DC50D2">
        <w:t>(Stock Assessment Conducted</w:t>
      </w:r>
      <w:r w:rsidR="004F5329">
        <w:t>)</w:t>
      </w:r>
      <w:bookmarkEnd w:id="0"/>
    </w:p>
    <w:p w:rsidR="004F5329" w:rsidRDefault="004F5329" w:rsidP="004F5329"/>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lang w:val="en-AU"/>
        </w:rPr>
      </w:pPr>
      <w:bookmarkStart w:id="1" w:name="_Toc495323856"/>
      <w:r w:rsidRPr="009C2ADD">
        <w:rPr>
          <w:rFonts w:ascii="Times New Roman" w:hAnsi="Times New Roman"/>
          <w:lang w:val="en-AU"/>
        </w:rPr>
        <w:t xml:space="preserve">Y. Takeuchi (SPC) presented </w:t>
      </w:r>
      <w:r w:rsidRPr="009C2ADD">
        <w:rPr>
          <w:rFonts w:ascii="Times New Roman" w:hAnsi="Times New Roman"/>
          <w:b/>
          <w:lang w:val="en-AU"/>
        </w:rPr>
        <w:t>SC13-SA-WP-13</w:t>
      </w:r>
      <w:r w:rsidRPr="009C2ADD">
        <w:rPr>
          <w:rFonts w:ascii="Times New Roman" w:hAnsi="Times New Roman"/>
          <w:lang w:val="en-AU"/>
        </w:rPr>
        <w:t xml:space="preserve"> </w:t>
      </w:r>
      <w:r w:rsidRPr="009C2ADD">
        <w:rPr>
          <w:rFonts w:ascii="Times New Roman" w:hAnsi="Times New Roman"/>
          <w:i/>
          <w:lang w:val="en-AU"/>
        </w:rPr>
        <w:t>Stock Assessment of Swordfish (</w:t>
      </w:r>
      <w:proofErr w:type="spellStart"/>
      <w:r w:rsidRPr="009C2ADD">
        <w:rPr>
          <w:rFonts w:ascii="Times New Roman" w:hAnsi="Times New Roman"/>
          <w:i/>
          <w:lang w:val="en-AU"/>
        </w:rPr>
        <w:t>Xiphias</w:t>
      </w:r>
      <w:proofErr w:type="spellEnd"/>
      <w:r w:rsidRPr="009C2ADD">
        <w:rPr>
          <w:rFonts w:ascii="Times New Roman" w:hAnsi="Times New Roman"/>
          <w:i/>
          <w:lang w:val="en-AU"/>
        </w:rPr>
        <w:t xml:space="preserve"> gladius) in the southwest Pacific Ocean</w:t>
      </w:r>
      <w:r w:rsidRPr="009C2ADD">
        <w:rPr>
          <w:rFonts w:ascii="Times New Roman" w:hAnsi="Times New Roman"/>
          <w:lang w:val="en-AU"/>
        </w:rPr>
        <w:t xml:space="preserve">. The stock assessment was based on a structural uncertainty grid comprised of 72 models, each of which </w:t>
      </w:r>
      <w:proofErr w:type="gramStart"/>
      <w:r w:rsidRPr="009C2ADD">
        <w:rPr>
          <w:rFonts w:ascii="Times New Roman" w:hAnsi="Times New Roman"/>
          <w:lang w:val="en-AU"/>
        </w:rPr>
        <w:t>was considered to be</w:t>
      </w:r>
      <w:proofErr w:type="gramEnd"/>
      <w:r w:rsidRPr="009C2ADD">
        <w:rPr>
          <w:rFonts w:ascii="Times New Roman" w:hAnsi="Times New Roman"/>
          <w:lang w:val="en-AU"/>
        </w:rPr>
        <w:t xml:space="preserve"> a plausible representation of South Pacific swordfish (SWO) stock dynamics. The four structural uncertainties represented in the grid were: the three stock-recruitment </w:t>
      </w:r>
      <w:proofErr w:type="spellStart"/>
      <w:r w:rsidRPr="009C2ADD">
        <w:rPr>
          <w:rFonts w:ascii="Times New Roman" w:hAnsi="Times New Roman"/>
          <w:lang w:val="en-AU"/>
        </w:rPr>
        <w:t>steepnesses</w:t>
      </w:r>
      <w:proofErr w:type="spellEnd"/>
      <w:r w:rsidRPr="009C2ADD">
        <w:rPr>
          <w:rFonts w:ascii="Times New Roman" w:hAnsi="Times New Roman"/>
          <w:lang w:val="en-AU"/>
        </w:rPr>
        <w:t xml:space="preserve">, the two weightings of the size data, the three weightings of the diffusion rate and the </w:t>
      </w:r>
      <w:proofErr w:type="gramStart"/>
      <w:r w:rsidRPr="009C2ADD">
        <w:rPr>
          <w:rFonts w:ascii="Times New Roman" w:hAnsi="Times New Roman"/>
          <w:lang w:val="en-AU"/>
        </w:rPr>
        <w:t>four natural</w:t>
      </w:r>
      <w:proofErr w:type="gramEnd"/>
      <w:r w:rsidRPr="009C2ADD">
        <w:rPr>
          <w:rFonts w:ascii="Times New Roman" w:hAnsi="Times New Roman"/>
          <w:lang w:val="en-AU"/>
        </w:rPr>
        <w:t xml:space="preserve"> mortality. Each individual model consisted of a unique combination of settings from the uncertainty axes. As a result, the uncertainty grid was comprised of 72 related but different models, each of which made a distinct claim about the dynamics of SWO fishery system to best explain and predict stock status. The major uncertainty related to growth and maturity noted in the previous assessment has now been resolved due to the results of new research which were presented to and endorsed by SC12 (</w:t>
      </w:r>
      <w:r w:rsidRPr="009C2ADD">
        <w:rPr>
          <w:rFonts w:ascii="Times New Roman" w:hAnsi="Times New Roman"/>
          <w:b/>
          <w:lang w:val="en-AU"/>
        </w:rPr>
        <w:t>WCPFC-SC12-2016/SA-WP-11</w:t>
      </w:r>
      <w:r w:rsidRPr="009C2ADD">
        <w:rPr>
          <w:rFonts w:ascii="Times New Roman" w:hAnsi="Times New Roman"/>
          <w:lang w:val="en-AU"/>
        </w:rPr>
        <w:t xml:space="preserve">). </w:t>
      </w:r>
    </w:p>
    <w:p w:rsidR="004F5329" w:rsidRPr="009C2ADD" w:rsidRDefault="004F5329" w:rsidP="004F5329">
      <w:pPr>
        <w:pStyle w:val="ListParagraph"/>
        <w:adjustRightInd w:val="0"/>
        <w:snapToGrid w:val="0"/>
        <w:contextualSpacing w:val="0"/>
        <w:rPr>
          <w:rFonts w:ascii="Times New Roman" w:hAnsi="Times New Roman"/>
          <w:lang w:val="en-AU"/>
        </w:rPr>
      </w:pPr>
    </w:p>
    <w:p w:rsidR="004F5329" w:rsidRPr="009C2ADD" w:rsidRDefault="004F5329" w:rsidP="004F5329">
      <w:pPr>
        <w:pStyle w:val="WCPFC"/>
        <w:adjustRightInd w:val="0"/>
        <w:spacing w:after="0"/>
        <w:ind w:left="0" w:firstLine="0"/>
        <w:rPr>
          <w:b/>
          <w:lang w:val="en-US"/>
        </w:rPr>
      </w:pPr>
      <w:r w:rsidRPr="009C2ADD">
        <w:rPr>
          <w:b/>
          <w:lang w:val="en-US"/>
        </w:rPr>
        <w:t xml:space="preserve">SC13 endorsed the 2017 SWO stock assessment as the best and most up to date scientific information available for this species. </w:t>
      </w:r>
    </w:p>
    <w:p w:rsidR="004F5329" w:rsidRPr="009C2ADD" w:rsidRDefault="004F5329" w:rsidP="004F5329">
      <w:pPr>
        <w:pStyle w:val="ListParagraph"/>
        <w:adjustRightInd w:val="0"/>
        <w:snapToGrid w:val="0"/>
        <w:ind w:left="0" w:firstLine="0"/>
        <w:contextualSpacing w:val="0"/>
        <w:rPr>
          <w:rFonts w:ascii="Times New Roman" w:hAnsi="Times New Roman"/>
          <w:b/>
          <w:lang w:val="en-US"/>
        </w:rPr>
      </w:pPr>
    </w:p>
    <w:p w:rsidR="004F5329" w:rsidRPr="009C2ADD" w:rsidRDefault="004F5329" w:rsidP="004F5329">
      <w:pPr>
        <w:pStyle w:val="WCPFC"/>
        <w:adjustRightInd w:val="0"/>
        <w:spacing w:after="0"/>
        <w:ind w:left="0" w:firstLine="0"/>
        <w:rPr>
          <w:b/>
          <w:lang w:val="en-US"/>
        </w:rPr>
      </w:pPr>
      <w:r w:rsidRPr="009C2ADD">
        <w:rPr>
          <w:b/>
          <w:lang w:val="en-US"/>
        </w:rPr>
        <w:t xml:space="preserve">SC13 also endorsed the use of the SWO assessment model uncertainty grid to characterize stock status and management advice and implications. </w:t>
      </w:r>
    </w:p>
    <w:p w:rsidR="004F5329" w:rsidRPr="009C2ADD" w:rsidRDefault="004F5329" w:rsidP="004F5329">
      <w:pPr>
        <w:pStyle w:val="ListParagraph"/>
        <w:adjustRightInd w:val="0"/>
        <w:snapToGrid w:val="0"/>
        <w:contextualSpacing w:val="0"/>
        <w:rPr>
          <w:rFonts w:ascii="Times New Roman" w:hAnsi="Times New Roman"/>
          <w:b/>
          <w:lang w:val="en-US"/>
        </w:rPr>
      </w:pPr>
    </w:p>
    <w:p w:rsidR="004F5329"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lang w:val="en-AU"/>
        </w:rPr>
      </w:pPr>
      <w:r w:rsidRPr="009C2ADD">
        <w:rPr>
          <w:rFonts w:ascii="Times New Roman" w:hAnsi="Times New Roman"/>
          <w:lang w:val="en-AU"/>
        </w:rPr>
        <w:t>SC13 reached consensus on the weighting of assessment models in the uncertainty grid for</w:t>
      </w:r>
      <w:r w:rsidRPr="009C2ADD">
        <w:rPr>
          <w:rFonts w:ascii="Times New Roman" w:hAnsi="Times New Roman"/>
          <w:lang w:val="en-AU"/>
        </w:rPr>
        <w:t xml:space="preserve">　</w:t>
      </w:r>
      <w:r w:rsidRPr="009C2ADD">
        <w:rPr>
          <w:rFonts w:ascii="Times New Roman" w:hAnsi="Times New Roman"/>
          <w:lang w:val="en-AU"/>
        </w:rPr>
        <w:t xml:space="preserve">SWO. The consensus weighting considered all options within the four axes of uncertainty for steepness, size data, diffusion rate and natural mortality to be equally likely. The resulting uncertainty grid was used to characterize stock status, to summarize reference points as provided in the assessment document </w:t>
      </w:r>
      <w:r w:rsidRPr="009C2ADD">
        <w:rPr>
          <w:rFonts w:ascii="Times New Roman" w:hAnsi="Times New Roman"/>
          <w:b/>
          <w:lang w:val="en-AU"/>
        </w:rPr>
        <w:t>SC13-SA-WP-13</w:t>
      </w:r>
      <w:r w:rsidRPr="009C2ADD">
        <w:rPr>
          <w:rFonts w:ascii="Times New Roman" w:hAnsi="Times New Roman"/>
          <w:lang w:val="en-AU"/>
        </w:rPr>
        <w:t xml:space="preserve">, and to calculate the probability of breaching </w:t>
      </w:r>
      <w:proofErr w:type="spellStart"/>
      <w:r w:rsidRPr="009C2ADD">
        <w:rPr>
          <w:rFonts w:ascii="Times New Roman" w:hAnsi="Times New Roman"/>
          <w:lang w:val="en-AU"/>
        </w:rPr>
        <w:t>SB</w:t>
      </w:r>
      <w:r w:rsidRPr="009C2ADD">
        <w:rPr>
          <w:rFonts w:ascii="Times New Roman" w:hAnsi="Times New Roman"/>
          <w:i/>
          <w:lang w:val="en-AU"/>
        </w:rPr>
        <w:t>msy</w:t>
      </w:r>
      <w:proofErr w:type="spellEnd"/>
      <w:r w:rsidRPr="009C2ADD">
        <w:rPr>
          <w:rFonts w:ascii="Times New Roman" w:hAnsi="Times New Roman"/>
          <w:lang w:val="en-AU"/>
        </w:rPr>
        <w:t xml:space="preserve"> and the probability of </w:t>
      </w:r>
      <w:proofErr w:type="spellStart"/>
      <w:r w:rsidRPr="009C2ADD">
        <w:rPr>
          <w:rFonts w:ascii="Times New Roman" w:hAnsi="Times New Roman"/>
          <w:lang w:val="en-AU"/>
        </w:rPr>
        <w:t>Frecent</w:t>
      </w:r>
      <w:proofErr w:type="spellEnd"/>
      <w:r w:rsidRPr="009C2ADD">
        <w:rPr>
          <w:rFonts w:ascii="Times New Roman" w:hAnsi="Times New Roman"/>
          <w:lang w:val="en-AU"/>
        </w:rPr>
        <w:t xml:space="preserve"> being greater than </w:t>
      </w:r>
      <w:proofErr w:type="spellStart"/>
      <w:r w:rsidRPr="009C2ADD">
        <w:rPr>
          <w:rFonts w:ascii="Times New Roman" w:hAnsi="Times New Roman"/>
          <w:lang w:val="en-AU"/>
        </w:rPr>
        <w:t>F</w:t>
      </w:r>
      <w:r w:rsidRPr="009C2ADD">
        <w:rPr>
          <w:rFonts w:ascii="Times New Roman" w:hAnsi="Times New Roman"/>
          <w:i/>
          <w:lang w:val="en-AU"/>
        </w:rPr>
        <w:t>msy</w:t>
      </w:r>
      <w:proofErr w:type="spellEnd"/>
      <w:r w:rsidRPr="009C2ADD">
        <w:rPr>
          <w:rFonts w:ascii="Times New Roman" w:hAnsi="Times New Roman"/>
          <w:lang w:val="en-AU"/>
        </w:rPr>
        <w:t xml:space="preserve">. </w:t>
      </w:r>
    </w:p>
    <w:p w:rsidR="007766EA" w:rsidRDefault="007766EA" w:rsidP="007766EA">
      <w:pPr>
        <w:pStyle w:val="ListParagraph"/>
        <w:rPr>
          <w:rFonts w:ascii="Times New Roman" w:hAnsi="Times New Roman"/>
          <w:lang w:val="en-AU"/>
        </w:rPr>
      </w:pPr>
    </w:p>
    <w:p w:rsidR="007766EA" w:rsidRPr="009C2ADD" w:rsidRDefault="007766EA" w:rsidP="007766EA">
      <w:pPr>
        <w:autoSpaceDE w:val="0"/>
        <w:autoSpaceDN w:val="0"/>
        <w:adjustRightInd w:val="0"/>
        <w:snapToGrid w:val="0"/>
        <w:spacing w:after="0" w:line="240" w:lineRule="auto"/>
        <w:jc w:val="both"/>
        <w:rPr>
          <w:rFonts w:ascii="Times New Roman" w:hAnsi="Times New Roman"/>
          <w:lang w:val="en-AU"/>
        </w:rPr>
      </w:pPr>
    </w:p>
    <w:p w:rsidR="004F5329" w:rsidRPr="009C2ADD" w:rsidRDefault="004F5329" w:rsidP="004F5329">
      <w:pPr>
        <w:pStyle w:val="ListParagraph"/>
        <w:numPr>
          <w:ilvl w:val="0"/>
          <w:numId w:val="11"/>
        </w:numPr>
        <w:adjustRightInd w:val="0"/>
        <w:snapToGrid w:val="0"/>
        <w:ind w:left="0" w:firstLine="0"/>
        <w:contextualSpacing w:val="0"/>
        <w:rPr>
          <w:rFonts w:ascii="Times New Roman" w:eastAsia="Times New Roman" w:hAnsi="Times New Roman"/>
          <w:b/>
          <w:lang w:val="en-US" w:eastAsia="ja-JP"/>
        </w:rPr>
      </w:pPr>
      <w:r w:rsidRPr="009C2ADD">
        <w:rPr>
          <w:rFonts w:ascii="Times New Roman" w:eastAsia="Times New Roman" w:hAnsi="Times New Roman"/>
          <w:b/>
          <w:lang w:val="en-US" w:eastAsia="ja-JP"/>
        </w:rPr>
        <w:t>Stock status and trends</w:t>
      </w:r>
    </w:p>
    <w:p w:rsidR="004F5329" w:rsidRPr="009C2ADD" w:rsidRDefault="004F5329" w:rsidP="004F5329">
      <w:pPr>
        <w:pStyle w:val="ListParagraph"/>
        <w:adjustRightInd w:val="0"/>
        <w:snapToGrid w:val="0"/>
        <w:ind w:firstLine="0"/>
        <w:contextualSpacing w:val="0"/>
        <w:rPr>
          <w:rFonts w:ascii="Times New Roman" w:eastAsia="Times New Roman" w:hAnsi="Times New Roman"/>
          <w:b/>
          <w:lang w:val="en-US" w:eastAsia="ja-JP"/>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The median values of relative recent (2012-2015) spawning biomass (</w:t>
      </w:r>
      <w:proofErr w:type="spellStart"/>
      <w:r w:rsidRPr="009C2ADD">
        <w:rPr>
          <w:rFonts w:ascii="Times New Roman" w:hAnsi="Times New Roman"/>
          <w:b/>
          <w:lang w:val="en-AU"/>
        </w:rPr>
        <w:t>SBrecent</w:t>
      </w:r>
      <w:proofErr w:type="spellEnd"/>
      <w:r w:rsidRPr="009C2ADD">
        <w:rPr>
          <w:rFonts w:ascii="Times New Roman" w:hAnsi="Times New Roman"/>
          <w:b/>
          <w:lang w:val="en-AU"/>
        </w:rPr>
        <w:t>/</w:t>
      </w:r>
      <w:proofErr w:type="spellStart"/>
      <w:r w:rsidRPr="009C2ADD">
        <w:rPr>
          <w:rFonts w:ascii="Times New Roman" w:hAnsi="Times New Roman"/>
          <w:b/>
          <w:lang w:val="en-AU"/>
        </w:rPr>
        <w:t>SBmsy</w:t>
      </w:r>
      <w:proofErr w:type="spellEnd"/>
      <w:r w:rsidRPr="009C2ADD">
        <w:rPr>
          <w:rFonts w:ascii="Times New Roman" w:hAnsi="Times New Roman"/>
          <w:b/>
          <w:lang w:val="en-AU"/>
        </w:rPr>
        <w:t>) and relative recent fishing mortality (</w:t>
      </w:r>
      <w:proofErr w:type="spellStart"/>
      <w:r w:rsidRPr="009C2ADD">
        <w:rPr>
          <w:rFonts w:ascii="Times New Roman" w:hAnsi="Times New Roman"/>
          <w:b/>
          <w:lang w:val="en-AU"/>
        </w:rPr>
        <w:t>Frecent</w:t>
      </w:r>
      <w:proofErr w:type="spellEnd"/>
      <w:r w:rsidRPr="009C2ADD">
        <w:rPr>
          <w:rFonts w:ascii="Times New Roman" w:hAnsi="Times New Roman"/>
          <w:b/>
          <w:lang w:val="en-AU"/>
        </w:rPr>
        <w:t>/</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over the uncertainty grid were used to measure the central tendency of stock status. The values of the upper 90th and lower 10th percentiles of the empirical distributions of relative spawning biomass and relative fishing mortality from the uncertainty grid were used to characterize the probable range of stock status. </w:t>
      </w:r>
    </w:p>
    <w:p w:rsidR="004F5329" w:rsidRPr="009C2ADD" w:rsidRDefault="004F5329" w:rsidP="004F5329">
      <w:pPr>
        <w:autoSpaceDE w:val="0"/>
        <w:autoSpaceDN w:val="0"/>
        <w:adjustRightInd w:val="0"/>
        <w:snapToGrid w:val="0"/>
        <w:spacing w:after="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lang w:val="en-AU"/>
        </w:rPr>
      </w:pPr>
      <w:r w:rsidRPr="009C2ADD">
        <w:rPr>
          <w:rFonts w:ascii="Times New Roman" w:hAnsi="Times New Roman"/>
          <w:lang w:val="en-AU"/>
        </w:rPr>
        <w:t xml:space="preserve">Description of the updated structural sensitivity grid used to characterize uncertainty in the assessment are provided in </w:t>
      </w:r>
      <w:r w:rsidRPr="009C2ADD">
        <w:rPr>
          <w:rFonts w:ascii="Times New Roman" w:hAnsi="Times New Roman"/>
          <w:b/>
          <w:lang w:val="en-AU"/>
        </w:rPr>
        <w:t>Table SWO-1</w:t>
      </w:r>
      <w:r w:rsidRPr="009C2ADD">
        <w:rPr>
          <w:rFonts w:ascii="Times New Roman" w:hAnsi="Times New Roman"/>
          <w:lang w:val="en-AU"/>
        </w:rPr>
        <w:t xml:space="preserve">. Time trends in estimated catch, recruitment, biomass, fishing mortality and depletion are shown in </w:t>
      </w:r>
      <w:r w:rsidRPr="009C2ADD">
        <w:rPr>
          <w:rFonts w:ascii="Times New Roman" w:hAnsi="Times New Roman"/>
          <w:b/>
          <w:lang w:val="en-AU"/>
        </w:rPr>
        <w:t>Figures SWO-1 – 5</w:t>
      </w:r>
      <w:r w:rsidRPr="009C2ADD">
        <w:rPr>
          <w:rFonts w:ascii="Times New Roman" w:hAnsi="Times New Roman"/>
          <w:lang w:val="en-AU"/>
        </w:rPr>
        <w:t xml:space="preserve">.  </w:t>
      </w:r>
      <w:r w:rsidRPr="009C2ADD">
        <w:rPr>
          <w:rFonts w:ascii="Times New Roman" w:hAnsi="Times New Roman"/>
          <w:b/>
          <w:lang w:val="en-AU"/>
        </w:rPr>
        <w:t>Figures SWO-6</w:t>
      </w:r>
      <w:r w:rsidRPr="009C2ADD">
        <w:rPr>
          <w:rFonts w:ascii="Times New Roman" w:hAnsi="Times New Roman"/>
          <w:lang w:val="en-AU"/>
        </w:rPr>
        <w:t xml:space="preserve"> and </w:t>
      </w:r>
      <w:r w:rsidRPr="009C2ADD">
        <w:rPr>
          <w:rFonts w:ascii="Times New Roman" w:hAnsi="Times New Roman"/>
          <w:b/>
          <w:lang w:val="en-AU"/>
        </w:rPr>
        <w:t>SWO-7</w:t>
      </w:r>
      <w:r w:rsidRPr="009C2ADD">
        <w:rPr>
          <w:rFonts w:ascii="Times New Roman" w:hAnsi="Times New Roman"/>
          <w:lang w:val="en-AU"/>
        </w:rPr>
        <w:t xml:space="preserve"> show Majuro plot summarising the results for each of the models in the structural uncertainty grid retained for management advice. Kobe plots are shown in </w:t>
      </w:r>
      <w:r w:rsidRPr="009C2ADD">
        <w:rPr>
          <w:rFonts w:ascii="Times New Roman" w:hAnsi="Times New Roman"/>
          <w:b/>
          <w:lang w:val="en-AU"/>
        </w:rPr>
        <w:t>Figures SWO-8</w:t>
      </w:r>
      <w:r w:rsidRPr="009C2ADD">
        <w:rPr>
          <w:rFonts w:ascii="Times New Roman" w:hAnsi="Times New Roman"/>
          <w:lang w:val="en-AU"/>
        </w:rPr>
        <w:t xml:space="preserve"> and </w:t>
      </w:r>
      <w:r w:rsidRPr="009C2ADD">
        <w:rPr>
          <w:rFonts w:ascii="Times New Roman" w:hAnsi="Times New Roman"/>
          <w:b/>
          <w:lang w:val="en-AU"/>
        </w:rPr>
        <w:t>SOW-9</w:t>
      </w:r>
      <w:r w:rsidRPr="009C2ADD">
        <w:rPr>
          <w:rFonts w:ascii="Times New Roman" w:hAnsi="Times New Roman"/>
          <w:lang w:val="en-AU"/>
        </w:rPr>
        <w:t xml:space="preserve">. Summary of reference points over all 72 individual models in the structural uncertainty grid are shown in </w:t>
      </w:r>
      <w:r w:rsidRPr="009C2ADD">
        <w:rPr>
          <w:rFonts w:ascii="Times New Roman" w:hAnsi="Times New Roman"/>
          <w:b/>
          <w:lang w:val="en-AU"/>
        </w:rPr>
        <w:t>Table SWO-2</w:t>
      </w:r>
      <w:r w:rsidRPr="009C2ADD">
        <w:rPr>
          <w:rFonts w:ascii="Times New Roman" w:hAnsi="Times New Roman"/>
          <w:lang w:val="en-AU"/>
        </w:rPr>
        <w:t xml:space="preserve">.  </w:t>
      </w:r>
    </w:p>
    <w:p w:rsidR="004F5329" w:rsidRPr="009C2ADD" w:rsidRDefault="004F5329" w:rsidP="004F5329">
      <w:pPr>
        <w:pStyle w:val="WCPFC"/>
        <w:numPr>
          <w:ilvl w:val="0"/>
          <w:numId w:val="0"/>
        </w:numPr>
        <w:adjustRightInd w:val="0"/>
        <w:spacing w:after="0"/>
        <w:ind w:left="567"/>
        <w:rPr>
          <w:lang w:val="en-US"/>
        </w:rPr>
      </w:pPr>
    </w:p>
    <w:p w:rsidR="004F5329" w:rsidRPr="009C2ADD" w:rsidRDefault="004F5329" w:rsidP="004F5329">
      <w:pPr>
        <w:adjustRightInd w:val="0"/>
        <w:snapToGrid w:val="0"/>
        <w:spacing w:after="0"/>
        <w:rPr>
          <w:rFonts w:ascii="Times New Roman" w:eastAsia="MS Mincho" w:hAnsi="Times New Roman"/>
        </w:rPr>
      </w:pPr>
      <w:r w:rsidRPr="009C2ADD">
        <w:rPr>
          <w:rFonts w:ascii="Times New Roman" w:eastAsia="MS Mincho" w:hAnsi="Times New Roman"/>
          <w:b/>
          <w:bCs/>
        </w:rPr>
        <w:t>Table SWO-1</w:t>
      </w:r>
      <w:r w:rsidRPr="009C2ADD">
        <w:rPr>
          <w:rFonts w:ascii="Times New Roman" w:eastAsia="MS Mincho" w:hAnsi="Times New Roman"/>
          <w:b/>
        </w:rPr>
        <w:t xml:space="preserve">: </w:t>
      </w:r>
      <w:r w:rsidRPr="009C2ADD">
        <w:rPr>
          <w:rFonts w:ascii="Times New Roman" w:eastAsia="MS Mincho" w:hAnsi="Times New Roman"/>
        </w:rPr>
        <w:t>Description of the structural sensitivity grid used to characterize uncertainty in the assessment</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080"/>
        <w:gridCol w:w="3081"/>
        <w:gridCol w:w="3081"/>
      </w:tblGrid>
      <w:tr w:rsidR="004F5329" w:rsidRPr="009C2ADD" w:rsidTr="001E3F91">
        <w:tc>
          <w:tcPr>
            <w:tcW w:w="3080" w:type="dxa"/>
            <w:tcBorders>
              <w:bottom w:val="single" w:sz="4" w:space="0" w:color="auto"/>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Axis</w:t>
            </w:r>
          </w:p>
        </w:tc>
        <w:tc>
          <w:tcPr>
            <w:tcW w:w="3081" w:type="dxa"/>
            <w:tcBorders>
              <w:bottom w:val="single" w:sz="4" w:space="0" w:color="auto"/>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Levels</w:t>
            </w:r>
          </w:p>
        </w:tc>
        <w:tc>
          <w:tcPr>
            <w:tcW w:w="3081" w:type="dxa"/>
            <w:tcBorders>
              <w:bottom w:val="single" w:sz="4" w:space="0" w:color="auto"/>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Option</w:t>
            </w:r>
          </w:p>
        </w:tc>
      </w:tr>
      <w:tr w:rsidR="004F5329" w:rsidRPr="009C2ADD" w:rsidTr="001E3F91">
        <w:tc>
          <w:tcPr>
            <w:tcW w:w="3080" w:type="dxa"/>
            <w:tcBorders>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Steepness</w:t>
            </w:r>
          </w:p>
        </w:tc>
        <w:tc>
          <w:tcPr>
            <w:tcW w:w="3081" w:type="dxa"/>
            <w:tcBorders>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3</w:t>
            </w:r>
          </w:p>
        </w:tc>
        <w:tc>
          <w:tcPr>
            <w:tcW w:w="3081" w:type="dxa"/>
            <w:tcBorders>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0.65, 0.80, 0.95</w:t>
            </w:r>
          </w:p>
        </w:tc>
      </w:tr>
      <w:tr w:rsidR="004F5329" w:rsidRPr="009C2ADD" w:rsidTr="001E3F91">
        <w:tc>
          <w:tcPr>
            <w:tcW w:w="3080"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Diffusion rate</w:t>
            </w:r>
          </w:p>
        </w:tc>
        <w:tc>
          <w:tcPr>
            <w:tcW w:w="3081"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3</w:t>
            </w:r>
          </w:p>
        </w:tc>
        <w:tc>
          <w:tcPr>
            <w:tcW w:w="3081"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0, 0.11, 0.25</w:t>
            </w:r>
          </w:p>
        </w:tc>
      </w:tr>
      <w:tr w:rsidR="004F5329" w:rsidRPr="009C2ADD" w:rsidTr="001E3F91">
        <w:tc>
          <w:tcPr>
            <w:tcW w:w="3080"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Size frequency weighting</w:t>
            </w:r>
          </w:p>
        </w:tc>
        <w:tc>
          <w:tcPr>
            <w:tcW w:w="3081"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2</w:t>
            </w:r>
          </w:p>
        </w:tc>
        <w:tc>
          <w:tcPr>
            <w:tcW w:w="3081" w:type="dxa"/>
            <w:tcBorders>
              <w:top w:val="nil"/>
              <w:bottom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Sample size divided by 20,40</w:t>
            </w:r>
          </w:p>
        </w:tc>
      </w:tr>
      <w:tr w:rsidR="004F5329" w:rsidRPr="009C2ADD" w:rsidTr="001E3F91">
        <w:tc>
          <w:tcPr>
            <w:tcW w:w="3080" w:type="dxa"/>
            <w:tcBorders>
              <w:top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Natural mortality vectors</w:t>
            </w:r>
          </w:p>
        </w:tc>
        <w:tc>
          <w:tcPr>
            <w:tcW w:w="3081" w:type="dxa"/>
            <w:tcBorders>
              <w:top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4</w:t>
            </w:r>
          </w:p>
        </w:tc>
        <w:tc>
          <w:tcPr>
            <w:tcW w:w="3081" w:type="dxa"/>
            <w:tcBorders>
              <w:top w:val="nil"/>
            </w:tcBorders>
            <w:shd w:val="clear" w:color="auto" w:fill="auto"/>
          </w:tcPr>
          <w:p w:rsidR="004F5329" w:rsidRPr="009C2ADD" w:rsidRDefault="004F5329" w:rsidP="001E3F91">
            <w:pPr>
              <w:adjustRightInd w:val="0"/>
              <w:snapToGrid w:val="0"/>
              <w:spacing w:after="0"/>
              <w:rPr>
                <w:rFonts w:ascii="Times New Roman" w:eastAsia="Times New Roman" w:hAnsi="Times New Roman"/>
                <w:lang w:eastAsia="ja-JP"/>
              </w:rPr>
            </w:pPr>
            <w:r w:rsidRPr="009C2ADD">
              <w:rPr>
                <w:rFonts w:ascii="Times New Roman" w:eastAsia="Times New Roman" w:hAnsi="Times New Roman"/>
                <w:lang w:eastAsia="ja-JP"/>
              </w:rPr>
              <w:t>M</w:t>
            </w:r>
            <w:proofErr w:type="gramStart"/>
            <w:r w:rsidRPr="009C2ADD">
              <w:rPr>
                <w:rFonts w:ascii="Times New Roman" w:eastAsia="Times New Roman" w:hAnsi="Times New Roman"/>
                <w:lang w:eastAsia="ja-JP"/>
              </w:rPr>
              <w:t>1,M</w:t>
            </w:r>
            <w:proofErr w:type="gramEnd"/>
            <w:r w:rsidRPr="009C2ADD">
              <w:rPr>
                <w:rFonts w:ascii="Times New Roman" w:eastAsia="Times New Roman" w:hAnsi="Times New Roman"/>
                <w:lang w:eastAsia="ja-JP"/>
              </w:rPr>
              <w:t>2,M3, M4</w:t>
            </w:r>
          </w:p>
        </w:tc>
      </w:tr>
    </w:tbl>
    <w:p w:rsidR="004F5329" w:rsidRPr="009C2ADD" w:rsidRDefault="004F5329" w:rsidP="004F5329">
      <w:pPr>
        <w:adjustRightInd w:val="0"/>
        <w:snapToGrid w:val="0"/>
        <w:spacing w:after="0"/>
        <w:rPr>
          <w:rFonts w:ascii="Times New Roman" w:eastAsia="MS Mincho" w:hAnsi="Times New Roman"/>
        </w:rPr>
      </w:pPr>
    </w:p>
    <w:p w:rsidR="004F5329" w:rsidRPr="009C2ADD" w:rsidRDefault="004F5329" w:rsidP="004F5329">
      <w:pPr>
        <w:adjustRightInd w:val="0"/>
        <w:snapToGrid w:val="0"/>
        <w:spacing w:after="0"/>
        <w:jc w:val="center"/>
        <w:rPr>
          <w:rFonts w:ascii="Times New Roman" w:eastAsia="MS Mincho" w:hAnsi="Times New Roman"/>
        </w:rPr>
      </w:pPr>
      <w:r w:rsidRPr="009C2ADD">
        <w:rPr>
          <w:rFonts w:ascii="Times New Roman" w:eastAsia="MS Mincho" w:hAnsi="Times New Roman"/>
          <w:noProof/>
          <w:lang w:eastAsia="zh-CN" w:bidi="mn-Mong-CN"/>
        </w:rPr>
        <w:drawing>
          <wp:inline distT="0" distB="0" distL="0" distR="0" wp14:anchorId="4D1F3423" wp14:editId="411FF091">
            <wp:extent cx="5431790" cy="3113405"/>
            <wp:effectExtent l="0" t="0" r="0" b="0"/>
            <wp:docPr id="42" name="Picture 38"/>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1790" cy="3113405"/>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MS Mincho" w:hAnsi="Times New Roman"/>
        </w:rPr>
      </w:pPr>
      <w:r w:rsidRPr="009C2ADD">
        <w:rPr>
          <w:rFonts w:ascii="Times New Roman" w:eastAsia="MS Mincho" w:hAnsi="Times New Roman"/>
          <w:b/>
          <w:bCs/>
        </w:rPr>
        <w:t>Figure SWO-1</w:t>
      </w:r>
      <w:r w:rsidRPr="009C2ADD">
        <w:rPr>
          <w:rFonts w:ascii="Times New Roman" w:eastAsia="MS PMincho" w:hAnsi="Times New Roman"/>
        </w:rPr>
        <w:t xml:space="preserve">. Trend of swordfish </w:t>
      </w:r>
      <w:r w:rsidRPr="009C2ADD">
        <w:rPr>
          <w:rFonts w:ascii="Times New Roman" w:eastAsia="MS Mincho" w:hAnsi="Times New Roman"/>
        </w:rPr>
        <w:t>catch.</w:t>
      </w:r>
    </w:p>
    <w:p w:rsidR="004F5329" w:rsidRPr="009C2ADD" w:rsidRDefault="004F5329" w:rsidP="004F5329">
      <w:pPr>
        <w:adjustRightInd w:val="0"/>
        <w:snapToGrid w:val="0"/>
        <w:spacing w:after="0"/>
        <w:rPr>
          <w:rFonts w:ascii="Times New Roman" w:eastAsia="Times New Roman" w:hAnsi="Times New Roman"/>
          <w:lang w:val="en-AU" w:eastAsia="ja-JP"/>
        </w:rPr>
      </w:pPr>
    </w:p>
    <w:p w:rsidR="004F5329" w:rsidRPr="009C2ADD" w:rsidRDefault="004F5329" w:rsidP="004F5329">
      <w:pPr>
        <w:adjustRightInd w:val="0"/>
        <w:snapToGrid w:val="0"/>
        <w:spacing w:after="0"/>
        <w:jc w:val="center"/>
        <w:rPr>
          <w:rFonts w:ascii="Times New Roman" w:eastAsia="Times New Roman" w:hAnsi="Times New Roman"/>
          <w:lang w:val="en-AU" w:eastAsia="ja-JP"/>
        </w:rPr>
      </w:pPr>
      <w:r w:rsidRPr="009C2ADD">
        <w:rPr>
          <w:rFonts w:ascii="Times New Roman" w:eastAsia="Times New Roman" w:hAnsi="Times New Roman"/>
          <w:noProof/>
          <w:lang w:eastAsia="zh-CN" w:bidi="mn-Mong-CN"/>
        </w:rPr>
        <w:lastRenderedPageBreak/>
        <w:drawing>
          <wp:inline distT="0" distB="0" distL="0" distR="0" wp14:anchorId="015CB9F4" wp14:editId="5D567FDC">
            <wp:extent cx="5426710" cy="3118485"/>
            <wp:effectExtent l="0" t="0" r="0" b="0"/>
            <wp:docPr id="43" name="Picture 37" descr="Fig18_Rec_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g18_Rec_dia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118485"/>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PMingLiU" w:hAnsi="Times New Roman"/>
          <w:lang w:val="en-AU" w:eastAsia="zh-TW"/>
        </w:rPr>
      </w:pPr>
      <w:r w:rsidRPr="009C2ADD">
        <w:rPr>
          <w:rFonts w:ascii="Times New Roman" w:eastAsia="PMingLiU" w:hAnsi="Times New Roman"/>
          <w:b/>
          <w:bCs/>
          <w:lang w:val="en-AU" w:eastAsia="zh-TW"/>
        </w:rPr>
        <w:t xml:space="preserve">Figure </w:t>
      </w:r>
      <w:r w:rsidRPr="009C2ADD">
        <w:rPr>
          <w:rFonts w:ascii="Times New Roman" w:eastAsia="Times New Roman" w:hAnsi="Times New Roman"/>
          <w:b/>
          <w:bCs/>
          <w:lang w:val="en-AU" w:eastAsia="ja-JP"/>
        </w:rPr>
        <w:t>SWO</w:t>
      </w:r>
      <w:r w:rsidRPr="009C2ADD">
        <w:rPr>
          <w:rFonts w:ascii="Times New Roman" w:eastAsia="PMingLiU" w:hAnsi="Times New Roman"/>
          <w:b/>
          <w:bCs/>
          <w:lang w:val="en-AU" w:eastAsia="zh-TW"/>
        </w:rPr>
        <w:t>2</w:t>
      </w:r>
      <w:r w:rsidRPr="009C2ADD">
        <w:rPr>
          <w:rFonts w:ascii="Times New Roman" w:eastAsia="PMingLiU" w:hAnsi="Times New Roman"/>
          <w:b/>
          <w:lang w:val="en-AU" w:eastAsia="zh-TW"/>
        </w:rPr>
        <w:t xml:space="preserve">. </w:t>
      </w:r>
      <w:r w:rsidRPr="009C2ADD">
        <w:rPr>
          <w:rFonts w:ascii="Times New Roman" w:eastAsia="PMingLiU" w:hAnsi="Times New Roman"/>
          <w:lang w:val="en-AU" w:eastAsia="zh-TW"/>
        </w:rPr>
        <w:t>Estimated annual average recruitment by model region for the diagnostic case model, showing the relative sizes among regions.</w:t>
      </w:r>
    </w:p>
    <w:p w:rsidR="004F5329" w:rsidRPr="009C2ADD" w:rsidRDefault="004F5329" w:rsidP="004F5329">
      <w:pPr>
        <w:adjustRightInd w:val="0"/>
        <w:snapToGrid w:val="0"/>
        <w:spacing w:after="0"/>
        <w:jc w:val="center"/>
        <w:rPr>
          <w:rFonts w:ascii="Times New Roman" w:eastAsia="PMingLiU" w:hAnsi="Times New Roman"/>
          <w:b/>
          <w:lang w:val="en-AU" w:eastAsia="zh-TW"/>
        </w:rPr>
      </w:pPr>
    </w:p>
    <w:p w:rsidR="004F5329" w:rsidRPr="009C2ADD" w:rsidRDefault="004F5329" w:rsidP="004F5329">
      <w:pPr>
        <w:adjustRightInd w:val="0"/>
        <w:snapToGrid w:val="0"/>
        <w:spacing w:after="0"/>
        <w:jc w:val="center"/>
        <w:rPr>
          <w:rFonts w:ascii="Times New Roman" w:eastAsia="PMingLiU" w:hAnsi="Times New Roman"/>
          <w:b/>
          <w:lang w:val="en-AU" w:eastAsia="zh-TW"/>
        </w:rPr>
      </w:pPr>
    </w:p>
    <w:p w:rsidR="004F5329" w:rsidRPr="009C2ADD" w:rsidRDefault="004F5329" w:rsidP="004F5329">
      <w:pPr>
        <w:adjustRightInd w:val="0"/>
        <w:snapToGrid w:val="0"/>
        <w:spacing w:after="0"/>
        <w:jc w:val="center"/>
        <w:rPr>
          <w:rFonts w:ascii="Times New Roman" w:eastAsia="Times New Roman" w:hAnsi="Times New Roman"/>
          <w:b/>
          <w:lang w:val="en-AU" w:eastAsia="ja-JP"/>
        </w:rPr>
      </w:pPr>
    </w:p>
    <w:p w:rsidR="004F5329" w:rsidRPr="009C2ADD" w:rsidRDefault="004F5329" w:rsidP="004F5329">
      <w:pPr>
        <w:adjustRightInd w:val="0"/>
        <w:snapToGrid w:val="0"/>
        <w:spacing w:after="0"/>
        <w:rPr>
          <w:rFonts w:ascii="Times New Roman" w:eastAsia="Times New Roman" w:hAnsi="Times New Roman"/>
          <w:lang w:val="en-AU" w:eastAsia="ja-JP"/>
        </w:rPr>
      </w:pPr>
      <w:r w:rsidRPr="009C2ADD">
        <w:rPr>
          <w:rFonts w:ascii="Times New Roman" w:eastAsia="PMingLiU" w:hAnsi="Times New Roman"/>
          <w:noProof/>
          <w:lang w:eastAsia="zh-CN" w:bidi="mn-Mong-CN"/>
        </w:rPr>
        <w:drawing>
          <wp:inline distT="0" distB="0" distL="0" distR="0" wp14:anchorId="5A73F9EE" wp14:editId="2E48110E">
            <wp:extent cx="5116195" cy="2917190"/>
            <wp:effectExtent l="0" t="0" r="0" b="0"/>
            <wp:docPr id="44" name="Picture 3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16195" cy="2917190"/>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PMingLiU" w:hAnsi="Times New Roman"/>
          <w:lang w:val="en-AU" w:eastAsia="zh-TW"/>
        </w:rPr>
      </w:pPr>
      <w:r w:rsidRPr="009C2ADD">
        <w:rPr>
          <w:rFonts w:ascii="Times New Roman" w:eastAsia="PMingLiU" w:hAnsi="Times New Roman"/>
          <w:b/>
          <w:lang w:val="en-AU" w:eastAsia="zh-TW"/>
        </w:rPr>
        <w:t xml:space="preserve">Figure SWO3. </w:t>
      </w:r>
      <w:r w:rsidRPr="009C2ADD">
        <w:rPr>
          <w:rFonts w:ascii="Times New Roman" w:eastAsia="PMingLiU" w:hAnsi="Times New Roman"/>
          <w:lang w:val="en-AU" w:eastAsia="zh-TW"/>
        </w:rPr>
        <w:t>Estimated annual average spawning potential by model region for the diagnostic case model, showing the relative sizes among regions.</w:t>
      </w:r>
    </w:p>
    <w:p w:rsidR="004F5329" w:rsidRPr="009C2ADD" w:rsidRDefault="004F5329" w:rsidP="004F5329">
      <w:pPr>
        <w:adjustRightInd w:val="0"/>
        <w:snapToGrid w:val="0"/>
        <w:spacing w:after="0"/>
        <w:jc w:val="center"/>
        <w:rPr>
          <w:rFonts w:ascii="Times New Roman" w:eastAsia="Times New Roman" w:hAnsi="Times New Roman"/>
          <w:lang w:val="en-AU" w:eastAsia="ja-JP"/>
        </w:rPr>
      </w:pPr>
    </w:p>
    <w:p w:rsidR="004F5329" w:rsidRPr="009C2ADD" w:rsidRDefault="004F5329" w:rsidP="004F5329">
      <w:pPr>
        <w:adjustRightInd w:val="0"/>
        <w:snapToGrid w:val="0"/>
        <w:spacing w:after="0"/>
        <w:jc w:val="center"/>
        <w:rPr>
          <w:rFonts w:ascii="Times New Roman" w:eastAsia="Times New Roman" w:hAnsi="Times New Roman"/>
          <w:lang w:val="en-AU" w:eastAsia="ja-JP"/>
        </w:rPr>
      </w:pPr>
      <w:r w:rsidRPr="009C2ADD">
        <w:rPr>
          <w:rFonts w:ascii="Times New Roman" w:eastAsia="Times New Roman" w:hAnsi="Times New Roman"/>
          <w:noProof/>
          <w:lang w:eastAsia="zh-CN" w:bidi="mn-Mong-CN"/>
        </w:rPr>
        <w:lastRenderedPageBreak/>
        <w:drawing>
          <wp:inline distT="0" distB="0" distL="0" distR="0" wp14:anchorId="1DC307A7" wp14:editId="5E0942AB">
            <wp:extent cx="5715000" cy="3282315"/>
            <wp:effectExtent l="0" t="0" r="0" b="0"/>
            <wp:docPr id="45" name="Picture 35" descr="Fig25_FAAtrenddi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g25_FAAtrenddi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3282315"/>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PMingLiU" w:hAnsi="Times New Roman"/>
          <w:bCs/>
          <w:lang w:eastAsia="zh-TW"/>
        </w:rPr>
      </w:pPr>
      <w:r w:rsidRPr="009C2ADD">
        <w:rPr>
          <w:rFonts w:ascii="Times New Roman" w:eastAsia="MS Mincho" w:hAnsi="Times New Roman"/>
          <w:b/>
        </w:rPr>
        <w:t xml:space="preserve">Figure SWO-4. </w:t>
      </w:r>
      <w:r w:rsidRPr="009C2ADD">
        <w:rPr>
          <w:rFonts w:ascii="Times New Roman" w:eastAsia="MS Mincho" w:hAnsi="Times New Roman"/>
        </w:rPr>
        <w:t>Estimated annual average juvenile (age classes 1-3), maturing adult (4-6) and adult (7+) fishing mortality for the diagnostic case model.</w:t>
      </w:r>
    </w:p>
    <w:p w:rsidR="004F5329" w:rsidRPr="009C2ADD" w:rsidRDefault="004F5329" w:rsidP="004F5329">
      <w:pPr>
        <w:adjustRightInd w:val="0"/>
        <w:snapToGrid w:val="0"/>
        <w:spacing w:after="0"/>
        <w:rPr>
          <w:rFonts w:ascii="Times New Roman" w:eastAsia="MS PMincho" w:hAnsi="Times New Roman"/>
          <w:lang w:val="en-AU" w:eastAsia="ja-JP"/>
        </w:rPr>
      </w:pPr>
    </w:p>
    <w:p w:rsidR="004F5329" w:rsidRPr="009C2ADD" w:rsidRDefault="004F5329" w:rsidP="004F5329">
      <w:pPr>
        <w:adjustRightInd w:val="0"/>
        <w:snapToGrid w:val="0"/>
        <w:spacing w:after="0"/>
        <w:jc w:val="center"/>
        <w:rPr>
          <w:rFonts w:ascii="Times New Roman" w:eastAsia="MS Mincho" w:hAnsi="Times New Roman"/>
          <w:b/>
          <w:bCs/>
        </w:rPr>
      </w:pPr>
      <w:r w:rsidRPr="009C2ADD">
        <w:rPr>
          <w:rFonts w:ascii="Times New Roman" w:eastAsia="MS Mincho" w:hAnsi="Times New Roman"/>
          <w:b/>
          <w:noProof/>
          <w:lang w:eastAsia="zh-CN" w:bidi="mn-Mong-CN"/>
        </w:rPr>
        <w:drawing>
          <wp:inline distT="0" distB="0" distL="0" distR="0" wp14:anchorId="244F9262" wp14:editId="1BAF8189">
            <wp:extent cx="5715000" cy="3282315"/>
            <wp:effectExtent l="0" t="0" r="0" b="0"/>
            <wp:docPr id="46" name="Picture 34" descr="Fig28d_plot_depletion_compare_2017Grid_steep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g28d_plot_depletion_compare_2017Grid_steepnes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0" cy="3282315"/>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PMingLiU" w:hAnsi="Times New Roman"/>
          <w:b/>
          <w:bCs/>
          <w:lang w:eastAsia="zh-TW"/>
        </w:rPr>
      </w:pPr>
      <w:r w:rsidRPr="009C2ADD">
        <w:rPr>
          <w:rFonts w:ascii="Times New Roman" w:eastAsia="MS Mincho" w:hAnsi="Times New Roman"/>
          <w:b/>
          <w:bCs/>
        </w:rPr>
        <w:t>Figure SWO-5</w:t>
      </w:r>
      <w:r w:rsidRPr="009C2ADD">
        <w:rPr>
          <w:rFonts w:ascii="Times New Roman" w:eastAsia="MS PMincho" w:hAnsi="Times New Roman"/>
          <w:b/>
        </w:rPr>
        <w:t xml:space="preserve">. </w:t>
      </w:r>
      <w:r w:rsidRPr="009C2ADD">
        <w:rPr>
          <w:rFonts w:ascii="Times New Roman" w:eastAsia="MS PMincho" w:hAnsi="Times New Roman"/>
        </w:rPr>
        <w:t xml:space="preserve">Plot showing the trajectories of fishing depletion (of spawning potential) for the 72 model runs retained for the structural uncertainty grid used for management advice. The </w:t>
      </w:r>
      <w:proofErr w:type="spellStart"/>
      <w:r w:rsidRPr="009C2ADD">
        <w:rPr>
          <w:rFonts w:ascii="Times New Roman" w:eastAsia="MS PMincho" w:hAnsi="Times New Roman"/>
        </w:rPr>
        <w:t>colours</w:t>
      </w:r>
      <w:proofErr w:type="spellEnd"/>
      <w:r w:rsidRPr="009C2ADD">
        <w:rPr>
          <w:rFonts w:ascii="Times New Roman" w:eastAsia="MS PMincho" w:hAnsi="Times New Roman"/>
        </w:rPr>
        <w:t xml:space="preserve"> depict the models in the grid with three levels of steepness (0.65, 0.8 and 0.95).</w:t>
      </w:r>
      <w:r w:rsidRPr="009C2ADD">
        <w:rPr>
          <w:rFonts w:ascii="Times New Roman" w:eastAsia="MS Mincho" w:hAnsi="Times New Roman"/>
          <w:b/>
          <w:bCs/>
        </w:rPr>
        <w:br w:type="page"/>
      </w:r>
    </w:p>
    <w:p w:rsidR="004F5329" w:rsidRPr="009C2ADD" w:rsidRDefault="004F5329" w:rsidP="004F5329">
      <w:pPr>
        <w:adjustRightInd w:val="0"/>
        <w:snapToGrid w:val="0"/>
        <w:spacing w:after="0"/>
        <w:rPr>
          <w:rFonts w:ascii="Times New Roman" w:eastAsia="MS PMincho" w:hAnsi="Times New Roman"/>
          <w:lang w:val="en-AU" w:eastAsia="ja-JP"/>
        </w:rPr>
      </w:pPr>
    </w:p>
    <w:p w:rsidR="004F5329" w:rsidRPr="009C2ADD" w:rsidRDefault="004F5329" w:rsidP="004F5329">
      <w:pPr>
        <w:adjustRightInd w:val="0"/>
        <w:snapToGrid w:val="0"/>
        <w:spacing w:after="0"/>
        <w:jc w:val="center"/>
        <w:rPr>
          <w:rFonts w:ascii="Times New Roman" w:eastAsia="MS PMincho" w:hAnsi="Times New Roman"/>
          <w:lang w:val="en-AU" w:eastAsia="ja-JP"/>
        </w:rPr>
      </w:pPr>
      <w:r w:rsidRPr="009C2ADD">
        <w:rPr>
          <w:rFonts w:ascii="Times New Roman" w:eastAsia="MS PMincho" w:hAnsi="Times New Roman"/>
          <w:noProof/>
          <w:lang w:eastAsia="zh-CN" w:bidi="mn-Mong-CN"/>
        </w:rPr>
        <w:drawing>
          <wp:inline distT="0" distB="0" distL="0" distR="0" wp14:anchorId="370926A2" wp14:editId="751BE1BA">
            <wp:extent cx="4142105" cy="4142105"/>
            <wp:effectExtent l="0" t="0" r="0" b="0"/>
            <wp:docPr id="47" name="Picture 33" descr="Majuro-summary-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ajuro-summary-re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2105" cy="4142105"/>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MS Mincho" w:hAnsi="Times New Roman"/>
          <w:b/>
          <w:bCs/>
        </w:rPr>
      </w:pPr>
      <w:r w:rsidRPr="009C2ADD">
        <w:rPr>
          <w:rFonts w:ascii="Times New Roman" w:eastAsia="MS Mincho" w:hAnsi="Times New Roman"/>
          <w:b/>
          <w:bCs/>
        </w:rPr>
        <w:t>Figure SWO-6.</w:t>
      </w:r>
      <w:r w:rsidRPr="009C2ADD">
        <w:rPr>
          <w:rFonts w:ascii="Times New Roman" w:eastAsia="MS Mincho" w:hAnsi="Times New Roman"/>
        </w:rPr>
        <w:t xml:space="preserve"> Majuro plot </w:t>
      </w:r>
      <w:proofErr w:type="spellStart"/>
      <w:r w:rsidRPr="009C2ADD">
        <w:rPr>
          <w:rFonts w:ascii="Times New Roman" w:eastAsia="MS Mincho" w:hAnsi="Times New Roman"/>
        </w:rPr>
        <w:t>summarising</w:t>
      </w:r>
      <w:proofErr w:type="spellEnd"/>
      <w:r w:rsidRPr="009C2ADD">
        <w:rPr>
          <w:rFonts w:ascii="Times New Roman" w:eastAsia="MS Mincho" w:hAnsi="Times New Roman"/>
        </w:rPr>
        <w:t xml:space="preserve"> the results for each of the models in the structural uncertainty grid retained for management advice. The plots represent estimates of stock status in terms of spawning potential depletion and fishing mortality. The red zone represents spawning potential levels lower than the agreed limit reference point which is marked with the solid black line. The orange region is for fishing mortality greater than F</w:t>
      </w:r>
      <w:r w:rsidRPr="009C2ADD">
        <w:rPr>
          <w:rFonts w:ascii="Times New Roman" w:eastAsia="MS Mincho" w:hAnsi="Times New Roman"/>
          <w:i/>
          <w:vertAlign w:val="subscript"/>
        </w:rPr>
        <w:t>MSY</w:t>
      </w:r>
      <w:r w:rsidRPr="009C2ADD">
        <w:rPr>
          <w:rFonts w:ascii="Times New Roman" w:eastAsia="MS Mincho" w:hAnsi="Times New Roman"/>
        </w:rPr>
        <w:t xml:space="preserve"> (F</w:t>
      </w:r>
      <w:r w:rsidRPr="009C2ADD">
        <w:rPr>
          <w:rFonts w:ascii="Times New Roman" w:eastAsia="MS Mincho" w:hAnsi="Times New Roman"/>
          <w:i/>
          <w:vertAlign w:val="subscript"/>
        </w:rPr>
        <w:t>MSY</w:t>
      </w:r>
      <w:r w:rsidRPr="009C2ADD">
        <w:rPr>
          <w:rFonts w:ascii="Times New Roman" w:eastAsia="MS Mincho" w:hAnsi="Times New Roman"/>
        </w:rPr>
        <w:t xml:space="preserve"> is marked with the black dashed line). The points represent </w:t>
      </w:r>
      <w:proofErr w:type="spellStart"/>
      <w:r w:rsidRPr="009C2ADD">
        <w:rPr>
          <w:rFonts w:ascii="Times New Roman" w:eastAsia="MS Mincho" w:hAnsi="Times New Roman"/>
        </w:rPr>
        <w:t>SB</w:t>
      </w:r>
      <w:r w:rsidRPr="009C2ADD">
        <w:rPr>
          <w:rFonts w:ascii="Times New Roman" w:eastAsia="MS Mincho" w:hAnsi="Times New Roman"/>
          <w:i/>
        </w:rPr>
        <w:t>latest</w:t>
      </w:r>
      <w:proofErr w:type="spellEnd"/>
      <w:r w:rsidRPr="009C2ADD">
        <w:rPr>
          <w:rFonts w:ascii="Times New Roman" w:eastAsia="MS Mincho" w:hAnsi="Times New Roman"/>
        </w:rPr>
        <w:t>/SB</w:t>
      </w:r>
      <w:r w:rsidRPr="009C2ADD">
        <w:rPr>
          <w:rFonts w:ascii="Times New Roman" w:eastAsia="MS Mincho" w:hAnsi="Times New Roman"/>
          <w:i/>
        </w:rPr>
        <w:t>F=0</w:t>
      </w:r>
      <w:r w:rsidRPr="009C2ADD">
        <w:rPr>
          <w:rFonts w:ascii="Times New Roman" w:eastAsia="MS Mincho" w:hAnsi="Times New Roman"/>
        </w:rPr>
        <w:t xml:space="preserve">, and the </w:t>
      </w:r>
      <w:proofErr w:type="spellStart"/>
      <w:r w:rsidRPr="009C2ADD">
        <w:rPr>
          <w:rFonts w:ascii="Times New Roman" w:eastAsia="MS Mincho" w:hAnsi="Times New Roman"/>
        </w:rPr>
        <w:t>colours</w:t>
      </w:r>
      <w:proofErr w:type="spellEnd"/>
      <w:r w:rsidRPr="009C2ADD">
        <w:rPr>
          <w:rFonts w:ascii="Times New Roman" w:eastAsia="MS Mincho" w:hAnsi="Times New Roman"/>
        </w:rPr>
        <w:t xml:space="preserve"> depict the models in the grid </w:t>
      </w:r>
      <w:r w:rsidRPr="009C2ADD">
        <w:rPr>
          <w:rFonts w:ascii="Times New Roman" w:eastAsia="MS PMincho" w:hAnsi="Times New Roman"/>
        </w:rPr>
        <w:t>with three levels of steepness (0.65, 0.8 and 0.95).</w:t>
      </w:r>
      <w:r w:rsidRPr="009C2ADD">
        <w:rPr>
          <w:rFonts w:ascii="Times New Roman" w:eastAsia="MS Mincho" w:hAnsi="Times New Roman"/>
          <w:b/>
          <w:bCs/>
        </w:rPr>
        <w:br w:type="page"/>
      </w:r>
    </w:p>
    <w:p w:rsidR="004F5329" w:rsidRPr="009C2ADD" w:rsidRDefault="004F5329" w:rsidP="004F5329">
      <w:pPr>
        <w:adjustRightInd w:val="0"/>
        <w:snapToGrid w:val="0"/>
        <w:spacing w:after="0"/>
        <w:rPr>
          <w:rFonts w:ascii="Times New Roman" w:eastAsia="MS Mincho" w:hAnsi="Times New Roman"/>
        </w:rPr>
      </w:pPr>
      <w:r w:rsidRPr="009C2ADD">
        <w:rPr>
          <w:rFonts w:ascii="Times New Roman" w:eastAsia="MS Mincho" w:hAnsi="Times New Roman"/>
          <w:noProof/>
          <w:lang w:eastAsia="zh-CN" w:bidi="mn-Mong-CN"/>
        </w:rPr>
        <w:lastRenderedPageBreak/>
        <w:drawing>
          <wp:inline distT="0" distB="0" distL="0" distR="0" wp14:anchorId="49AF8459" wp14:editId="6D7513D6">
            <wp:extent cx="5715000" cy="5715000"/>
            <wp:effectExtent l="0" t="0" r="0" b="0"/>
            <wp:docPr id="48" name="Picture 48" descr="Majuro-SBrec-summary-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ajuro-SBrec-summary-re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MS PMincho" w:hAnsi="Times New Roman"/>
          <w:lang w:val="en-AU" w:eastAsia="ja-JP"/>
        </w:rPr>
      </w:pPr>
      <w:r w:rsidRPr="009C2ADD">
        <w:rPr>
          <w:rFonts w:ascii="Times New Roman" w:eastAsia="PMingLiU" w:hAnsi="Times New Roman"/>
          <w:b/>
          <w:bCs/>
          <w:lang w:val="en-AU" w:eastAsia="zh-TW"/>
        </w:rPr>
        <w:t xml:space="preserve">Figure </w:t>
      </w:r>
      <w:r w:rsidRPr="009C2ADD">
        <w:rPr>
          <w:rFonts w:ascii="Times New Roman" w:eastAsia="Times New Roman" w:hAnsi="Times New Roman"/>
          <w:b/>
          <w:bCs/>
          <w:lang w:val="en-AU" w:eastAsia="ja-JP"/>
        </w:rPr>
        <w:t>SWO-7</w:t>
      </w:r>
      <w:r w:rsidRPr="009C2ADD">
        <w:rPr>
          <w:rFonts w:ascii="Times New Roman" w:eastAsia="PMingLiU" w:hAnsi="Times New Roman"/>
          <w:lang w:val="en-AU" w:eastAsia="zh-TW"/>
        </w:rPr>
        <w:t>. Majuro plot summarising the results for each of the models in the structural uncertainty grid retained for management advice. The plots represent estimates of stock status in terms of spawning potential depletion and fishing mortality. The red zone represents spawning potential levels lower than the agreed limit reference point which is marked with the solid black line. The orange region is for fishing mortality greater than F</w:t>
      </w:r>
      <w:r w:rsidRPr="009C2ADD">
        <w:rPr>
          <w:rFonts w:ascii="Times New Roman" w:eastAsia="PMingLiU" w:hAnsi="Times New Roman"/>
          <w:vertAlign w:val="subscript"/>
          <w:lang w:val="en-AU" w:eastAsia="zh-TW"/>
        </w:rPr>
        <w:t xml:space="preserve">MSY </w:t>
      </w:r>
      <w:r w:rsidRPr="009C2ADD">
        <w:rPr>
          <w:rFonts w:ascii="Times New Roman" w:eastAsia="PMingLiU" w:hAnsi="Times New Roman"/>
          <w:lang w:val="en-AU" w:eastAsia="zh-TW"/>
        </w:rPr>
        <w:t>(F</w:t>
      </w:r>
      <w:r w:rsidRPr="009C2ADD">
        <w:rPr>
          <w:rFonts w:ascii="Times New Roman" w:eastAsia="PMingLiU" w:hAnsi="Times New Roman"/>
          <w:vertAlign w:val="subscript"/>
          <w:lang w:val="en-AU" w:eastAsia="zh-TW"/>
        </w:rPr>
        <w:t>MSY</w:t>
      </w:r>
      <w:r w:rsidRPr="009C2ADD">
        <w:rPr>
          <w:rFonts w:ascii="Times New Roman" w:eastAsia="PMingLiU" w:hAnsi="Times New Roman"/>
          <w:lang w:val="en-AU" w:eastAsia="zh-TW"/>
        </w:rPr>
        <w:t xml:space="preserve"> is marked with the black dashed line). The points represent </w:t>
      </w:r>
      <w:proofErr w:type="spellStart"/>
      <w:r w:rsidRPr="009C2ADD">
        <w:rPr>
          <w:rFonts w:ascii="Times New Roman" w:eastAsia="PMingLiU" w:hAnsi="Times New Roman"/>
          <w:lang w:val="en-AU" w:eastAsia="zh-TW"/>
        </w:rPr>
        <w:t>SB</w:t>
      </w:r>
      <w:r w:rsidRPr="009C2ADD">
        <w:rPr>
          <w:rFonts w:ascii="Times New Roman" w:eastAsia="Times New Roman" w:hAnsi="Times New Roman"/>
          <w:i/>
          <w:lang w:val="en-AU" w:eastAsia="ja-JP"/>
        </w:rPr>
        <w:t>recent</w:t>
      </w:r>
      <w:proofErr w:type="spellEnd"/>
      <w:r w:rsidRPr="009C2ADD">
        <w:rPr>
          <w:rFonts w:ascii="Times New Roman" w:eastAsia="PMingLiU" w:hAnsi="Times New Roman"/>
          <w:lang w:val="en-AU" w:eastAsia="zh-TW"/>
        </w:rPr>
        <w:t>/SB</w:t>
      </w:r>
      <w:r w:rsidRPr="009C2ADD">
        <w:rPr>
          <w:rFonts w:ascii="Times New Roman" w:eastAsia="PMingLiU" w:hAnsi="Times New Roman"/>
          <w:i/>
          <w:lang w:val="en-AU" w:eastAsia="zh-TW"/>
        </w:rPr>
        <w:t>F=0</w:t>
      </w:r>
      <w:r w:rsidRPr="009C2ADD">
        <w:rPr>
          <w:rFonts w:ascii="Times New Roman" w:eastAsia="PMingLiU" w:hAnsi="Times New Roman"/>
          <w:lang w:val="en-AU" w:eastAsia="zh-TW"/>
        </w:rPr>
        <w:t xml:space="preserve">, and the colours depict the models in the grid </w:t>
      </w:r>
      <w:r w:rsidRPr="009C2ADD">
        <w:rPr>
          <w:rFonts w:ascii="Times New Roman" w:eastAsia="MS PMincho" w:hAnsi="Times New Roman"/>
          <w:lang w:val="en-AU" w:eastAsia="zh-TW"/>
        </w:rPr>
        <w:t xml:space="preserve">with </w:t>
      </w:r>
      <w:r w:rsidRPr="009C2ADD">
        <w:rPr>
          <w:rFonts w:ascii="Times New Roman" w:eastAsia="MS PMincho" w:hAnsi="Times New Roman"/>
          <w:lang w:val="en-AU" w:eastAsia="ja-JP"/>
        </w:rPr>
        <w:t>three levels of steepness (0.65, 0.8 and 0.95)</w:t>
      </w:r>
      <w:r w:rsidRPr="009C2ADD">
        <w:rPr>
          <w:rFonts w:ascii="Times New Roman" w:eastAsia="MS PMincho" w:hAnsi="Times New Roman"/>
          <w:lang w:val="en-AU" w:eastAsia="zh-TW"/>
        </w:rPr>
        <w:t>.</w:t>
      </w:r>
      <w:r w:rsidRPr="009C2ADD">
        <w:rPr>
          <w:rFonts w:ascii="Times New Roman" w:eastAsia="MS PMincho" w:hAnsi="Times New Roman"/>
          <w:lang w:val="en-AU" w:eastAsia="ja-JP"/>
        </w:rPr>
        <w:t xml:space="preserve"> Note, </w:t>
      </w:r>
      <w:proofErr w:type="spellStart"/>
      <w:r w:rsidRPr="009C2ADD">
        <w:rPr>
          <w:rFonts w:ascii="Times New Roman" w:eastAsia="MS PMincho" w:hAnsi="Times New Roman"/>
          <w:lang w:val="en-AU" w:eastAsia="ja-JP"/>
        </w:rPr>
        <w:t>SB</w:t>
      </w:r>
      <w:r w:rsidRPr="009C2ADD">
        <w:rPr>
          <w:rFonts w:ascii="Times New Roman" w:eastAsia="Times New Roman" w:hAnsi="Times New Roman"/>
          <w:i/>
          <w:lang w:val="en-AU" w:eastAsia="ja-JP"/>
        </w:rPr>
        <w:t>recent</w:t>
      </w:r>
      <w:proofErr w:type="spellEnd"/>
      <w:r w:rsidRPr="009C2ADD">
        <w:rPr>
          <w:rFonts w:ascii="Times New Roman" w:eastAsia="Times New Roman" w:hAnsi="Times New Roman"/>
          <w:i/>
          <w:lang w:val="en-AU" w:eastAsia="ja-JP"/>
        </w:rPr>
        <w:t xml:space="preserve"> </w:t>
      </w:r>
      <w:r w:rsidRPr="009C2ADD">
        <w:rPr>
          <w:rFonts w:ascii="Times New Roman" w:eastAsia="MS PMincho" w:hAnsi="Times New Roman"/>
          <w:lang w:val="en-AU" w:eastAsia="ja-JP"/>
        </w:rPr>
        <w:t>is defined as the mean of SB over 2012-2015.</w:t>
      </w:r>
    </w:p>
    <w:p w:rsidR="004F5329" w:rsidRPr="009C2ADD" w:rsidRDefault="004F5329" w:rsidP="004F5329">
      <w:pPr>
        <w:adjustRightInd w:val="0"/>
        <w:snapToGrid w:val="0"/>
        <w:spacing w:after="0"/>
        <w:rPr>
          <w:rFonts w:ascii="Times New Roman" w:eastAsia="PMingLiU" w:hAnsi="Times New Roman"/>
          <w:b/>
          <w:bCs/>
          <w:lang w:eastAsia="zh-TW"/>
        </w:rPr>
      </w:pPr>
      <w:r w:rsidRPr="009C2ADD">
        <w:rPr>
          <w:rFonts w:ascii="Times New Roman" w:eastAsia="MS Mincho" w:hAnsi="Times New Roman"/>
          <w:b/>
          <w:bCs/>
        </w:rPr>
        <w:br w:type="page"/>
      </w:r>
    </w:p>
    <w:p w:rsidR="004F5329" w:rsidRPr="009C2ADD" w:rsidRDefault="004F5329" w:rsidP="004F5329">
      <w:pPr>
        <w:adjustRightInd w:val="0"/>
        <w:snapToGrid w:val="0"/>
        <w:spacing w:after="0"/>
        <w:rPr>
          <w:rFonts w:ascii="Times New Roman" w:eastAsia="PMingLiU" w:hAnsi="Times New Roman"/>
          <w:lang w:val="en-AU" w:eastAsia="ja-JP"/>
        </w:rPr>
      </w:pPr>
      <w:r w:rsidRPr="009C2ADD">
        <w:rPr>
          <w:rFonts w:ascii="Times New Roman" w:eastAsia="PMingLiU" w:hAnsi="Times New Roman"/>
          <w:noProof/>
          <w:lang w:eastAsia="zh-CN" w:bidi="mn-Mong-CN"/>
        </w:rPr>
        <w:lastRenderedPageBreak/>
        <w:drawing>
          <wp:inline distT="0" distB="0" distL="0" distR="0" wp14:anchorId="3F86D9D9" wp14:editId="33604342">
            <wp:extent cx="5715000" cy="5715000"/>
            <wp:effectExtent l="0" t="0" r="0" b="0"/>
            <wp:docPr id="49" name="Picture 31" descr="Kobe-summary-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Kobe-summary-re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4F5329" w:rsidRPr="00464B7F" w:rsidRDefault="004F5329" w:rsidP="004F5329">
      <w:pPr>
        <w:pStyle w:val="CommentText"/>
        <w:rPr>
          <w:rFonts w:ascii="Times New Roman" w:hAnsi="Times New Roman"/>
          <w:color w:val="FF0000"/>
        </w:rPr>
      </w:pPr>
      <w:r w:rsidRPr="00633679">
        <w:rPr>
          <w:rFonts w:ascii="Times New Roman" w:eastAsia="PMingLiU" w:hAnsi="Times New Roman"/>
          <w:b/>
          <w:bCs/>
          <w:sz w:val="22"/>
          <w:szCs w:val="22"/>
          <w:lang w:val="en-AU" w:eastAsia="zh-TW"/>
        </w:rPr>
        <w:t xml:space="preserve">Figure </w:t>
      </w:r>
      <w:r w:rsidRPr="00633679">
        <w:rPr>
          <w:rFonts w:ascii="Times New Roman" w:eastAsia="Times New Roman" w:hAnsi="Times New Roman"/>
          <w:b/>
          <w:bCs/>
          <w:sz w:val="22"/>
          <w:szCs w:val="22"/>
          <w:lang w:val="en-AU" w:eastAsia="ja-JP"/>
        </w:rPr>
        <w:t>SWO-</w:t>
      </w:r>
      <w:r w:rsidRPr="00633679">
        <w:rPr>
          <w:rFonts w:ascii="Times New Roman" w:eastAsia="PMingLiU" w:hAnsi="Times New Roman"/>
          <w:b/>
          <w:bCs/>
          <w:sz w:val="22"/>
          <w:szCs w:val="22"/>
          <w:lang w:val="en-AU" w:eastAsia="zh-TW"/>
        </w:rPr>
        <w:t xml:space="preserve">8. </w:t>
      </w:r>
      <w:r w:rsidRPr="00633679">
        <w:rPr>
          <w:rFonts w:ascii="Times New Roman" w:eastAsia="PMingLiU" w:hAnsi="Times New Roman"/>
          <w:sz w:val="22"/>
          <w:szCs w:val="22"/>
          <w:lang w:val="en-AU" w:eastAsia="zh-TW"/>
        </w:rPr>
        <w:t xml:space="preserve">Kobe plot summarising the results for each of the models in the structural uncertainty grid, where the x-axis represents </w:t>
      </w:r>
      <w:proofErr w:type="spellStart"/>
      <w:r w:rsidRPr="00633679">
        <w:rPr>
          <w:rFonts w:ascii="Times New Roman" w:eastAsia="PMingLiU" w:hAnsi="Times New Roman"/>
          <w:sz w:val="22"/>
          <w:szCs w:val="22"/>
          <w:lang w:val="en-AU" w:eastAsia="zh-TW"/>
        </w:rPr>
        <w:t>SB</w:t>
      </w:r>
      <w:r w:rsidRPr="00633679">
        <w:rPr>
          <w:rFonts w:ascii="Times New Roman" w:eastAsia="PMingLiU" w:hAnsi="Times New Roman"/>
          <w:i/>
          <w:sz w:val="22"/>
          <w:szCs w:val="22"/>
          <w:lang w:val="en-AU" w:eastAsia="zh-TW"/>
        </w:rPr>
        <w:t>latest</w:t>
      </w:r>
      <w:proofErr w:type="spellEnd"/>
      <w:r w:rsidRPr="00633679">
        <w:rPr>
          <w:rFonts w:ascii="Times New Roman" w:eastAsia="PMingLiU" w:hAnsi="Times New Roman"/>
          <w:sz w:val="22"/>
          <w:szCs w:val="22"/>
          <w:lang w:val="en-AU" w:eastAsia="zh-TW"/>
        </w:rPr>
        <w:t>/SB</w:t>
      </w:r>
      <w:r w:rsidRPr="00633679">
        <w:rPr>
          <w:rFonts w:ascii="Times New Roman" w:eastAsia="PMingLiU" w:hAnsi="Times New Roman"/>
          <w:i/>
          <w:sz w:val="22"/>
          <w:szCs w:val="22"/>
          <w:lang w:val="en-AU" w:eastAsia="zh-TW"/>
        </w:rPr>
        <w:t>MSY</w:t>
      </w:r>
      <w:r w:rsidRPr="00633679">
        <w:rPr>
          <w:rFonts w:ascii="Times New Roman" w:eastAsia="PMingLiU" w:hAnsi="Times New Roman"/>
          <w:sz w:val="22"/>
          <w:szCs w:val="22"/>
          <w:lang w:val="en-AU" w:eastAsia="zh-TW"/>
        </w:rPr>
        <w:t>. The colours depict the models in the grid with</w:t>
      </w:r>
      <w:r w:rsidRPr="00633679">
        <w:rPr>
          <w:rFonts w:ascii="Times New Roman" w:eastAsia="Times New Roman" w:hAnsi="Times New Roman"/>
          <w:sz w:val="22"/>
          <w:szCs w:val="22"/>
          <w:lang w:val="en-AU" w:eastAsia="ja-JP"/>
        </w:rPr>
        <w:t xml:space="preserve"> three levels of steepness (0.65, 0.8 and 0.95)</w:t>
      </w:r>
      <w:r w:rsidRPr="00633679">
        <w:rPr>
          <w:rFonts w:ascii="Times New Roman" w:eastAsia="PMingLiU" w:hAnsi="Times New Roman"/>
          <w:sz w:val="22"/>
          <w:szCs w:val="22"/>
          <w:lang w:val="en-AU" w:eastAsia="zh-TW"/>
        </w:rPr>
        <w:t>.</w:t>
      </w:r>
    </w:p>
    <w:p w:rsidR="004F5329" w:rsidRPr="009C2ADD" w:rsidRDefault="004F5329" w:rsidP="004F5329">
      <w:pPr>
        <w:adjustRightInd w:val="0"/>
        <w:snapToGrid w:val="0"/>
        <w:spacing w:after="0"/>
        <w:rPr>
          <w:rFonts w:ascii="Times New Roman" w:eastAsia="PMingLiU" w:hAnsi="Times New Roman"/>
          <w:lang w:val="en-AU" w:eastAsia="zh-TW"/>
        </w:rPr>
      </w:pPr>
    </w:p>
    <w:p w:rsidR="004F5329" w:rsidRPr="009C2ADD" w:rsidRDefault="004F5329" w:rsidP="004F5329">
      <w:pPr>
        <w:adjustRightInd w:val="0"/>
        <w:snapToGrid w:val="0"/>
        <w:spacing w:after="0"/>
        <w:rPr>
          <w:rFonts w:ascii="Times New Roman" w:eastAsia="PMingLiU" w:hAnsi="Times New Roman"/>
          <w:lang w:eastAsia="zh-TW"/>
        </w:rPr>
      </w:pPr>
      <w:r w:rsidRPr="009C2ADD">
        <w:rPr>
          <w:rFonts w:ascii="Times New Roman" w:eastAsia="MS Mincho" w:hAnsi="Times New Roman"/>
        </w:rPr>
        <w:br w:type="page"/>
      </w:r>
    </w:p>
    <w:p w:rsidR="004F5329" w:rsidRPr="009C2ADD" w:rsidRDefault="004F5329" w:rsidP="004F5329">
      <w:pPr>
        <w:adjustRightInd w:val="0"/>
        <w:snapToGrid w:val="0"/>
        <w:spacing w:after="0"/>
        <w:rPr>
          <w:rFonts w:ascii="Times New Roman" w:eastAsia="Times New Roman" w:hAnsi="Times New Roman"/>
          <w:lang w:val="en-AU" w:eastAsia="ja-JP"/>
        </w:rPr>
      </w:pPr>
      <w:r w:rsidRPr="009C2ADD">
        <w:rPr>
          <w:rFonts w:ascii="Times New Roman" w:eastAsia="Times New Roman" w:hAnsi="Times New Roman"/>
          <w:noProof/>
          <w:lang w:eastAsia="zh-CN" w:bidi="mn-Mong-CN"/>
        </w:rPr>
        <w:lastRenderedPageBreak/>
        <w:drawing>
          <wp:inline distT="0" distB="0" distL="0" distR="0" wp14:anchorId="0F010442" wp14:editId="350D242E">
            <wp:extent cx="5715000" cy="5715000"/>
            <wp:effectExtent l="0" t="0" r="0" b="0"/>
            <wp:docPr id="50" name="Picture 30" descr="Kobe-SBrec-summary-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obe-SBrec-summary-re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rsidR="004F5329" w:rsidRPr="009C2ADD" w:rsidRDefault="004F5329" w:rsidP="004F5329">
      <w:pPr>
        <w:adjustRightInd w:val="0"/>
        <w:snapToGrid w:val="0"/>
        <w:spacing w:after="0"/>
        <w:rPr>
          <w:rFonts w:ascii="Times New Roman" w:eastAsia="Times New Roman" w:hAnsi="Times New Roman"/>
          <w:lang w:val="en-AU" w:eastAsia="ja-JP"/>
        </w:rPr>
      </w:pPr>
      <w:r w:rsidRPr="009C2ADD">
        <w:rPr>
          <w:rFonts w:ascii="Times New Roman" w:eastAsia="PMingLiU" w:hAnsi="Times New Roman"/>
          <w:b/>
          <w:bCs/>
          <w:lang w:val="en-AU" w:eastAsia="zh-TW"/>
        </w:rPr>
        <w:t xml:space="preserve">Figure </w:t>
      </w:r>
      <w:r w:rsidRPr="009C2ADD">
        <w:rPr>
          <w:rFonts w:ascii="Times New Roman" w:eastAsia="Times New Roman" w:hAnsi="Times New Roman"/>
          <w:b/>
          <w:bCs/>
          <w:lang w:val="en-AU" w:eastAsia="ja-JP"/>
        </w:rPr>
        <w:t>SWO-9</w:t>
      </w:r>
      <w:r w:rsidRPr="009C2ADD">
        <w:rPr>
          <w:rFonts w:ascii="Times New Roman" w:eastAsia="PMingLiU" w:hAnsi="Times New Roman"/>
          <w:b/>
          <w:bCs/>
          <w:lang w:val="en-AU" w:eastAsia="zh-TW"/>
        </w:rPr>
        <w:t xml:space="preserve">. </w:t>
      </w:r>
      <w:r w:rsidRPr="009C2ADD">
        <w:rPr>
          <w:rFonts w:ascii="Times New Roman" w:eastAsia="PMingLiU" w:hAnsi="Times New Roman"/>
          <w:lang w:val="en-AU" w:eastAsia="zh-TW"/>
        </w:rPr>
        <w:t>Kobe plot summarising the results for each of the models in the structural uncertainty grid. The colours depict the models in the grid with</w:t>
      </w:r>
      <w:r w:rsidRPr="009C2ADD">
        <w:rPr>
          <w:rFonts w:ascii="Times New Roman" w:eastAsia="Times New Roman" w:hAnsi="Times New Roman"/>
          <w:lang w:val="en-AU" w:eastAsia="ja-JP"/>
        </w:rPr>
        <w:t xml:space="preserve"> three levels of steepness (0.65, 0.8 and 0.95)</w:t>
      </w:r>
      <w:r w:rsidRPr="009C2ADD">
        <w:rPr>
          <w:rFonts w:ascii="Times New Roman" w:eastAsia="PMingLiU" w:hAnsi="Times New Roman"/>
          <w:lang w:val="en-AU" w:eastAsia="zh-TW"/>
        </w:rPr>
        <w:t>.</w:t>
      </w:r>
      <w:r w:rsidRPr="009C2ADD">
        <w:rPr>
          <w:rFonts w:ascii="Times New Roman" w:eastAsia="Times New Roman" w:hAnsi="Times New Roman"/>
          <w:lang w:val="en-AU" w:eastAsia="ja-JP"/>
        </w:rPr>
        <w:t xml:space="preserve"> As in Figure SWO7, </w:t>
      </w:r>
      <w:proofErr w:type="spellStart"/>
      <w:r w:rsidRPr="009C2ADD">
        <w:rPr>
          <w:rFonts w:ascii="Times New Roman" w:eastAsia="Times New Roman" w:hAnsi="Times New Roman"/>
          <w:lang w:val="en-AU" w:eastAsia="ja-JP"/>
        </w:rPr>
        <w:t>SB</w:t>
      </w:r>
      <w:r w:rsidRPr="009C2ADD">
        <w:rPr>
          <w:rFonts w:ascii="Times New Roman" w:eastAsia="Times New Roman" w:hAnsi="Times New Roman"/>
          <w:i/>
          <w:lang w:val="en-AU" w:eastAsia="ja-JP"/>
        </w:rPr>
        <w:t>recent</w:t>
      </w:r>
      <w:proofErr w:type="spellEnd"/>
      <w:r w:rsidRPr="009C2ADD">
        <w:rPr>
          <w:rFonts w:ascii="Times New Roman" w:eastAsia="Times New Roman" w:hAnsi="Times New Roman"/>
          <w:i/>
          <w:lang w:val="en-AU" w:eastAsia="ja-JP"/>
        </w:rPr>
        <w:t xml:space="preserve"> </w:t>
      </w:r>
      <w:r w:rsidRPr="009C2ADD">
        <w:rPr>
          <w:rFonts w:ascii="Times New Roman" w:eastAsia="Times New Roman" w:hAnsi="Times New Roman"/>
          <w:lang w:val="en-AU" w:eastAsia="ja-JP"/>
        </w:rPr>
        <w:t xml:space="preserve">was used instead of </w:t>
      </w:r>
      <w:proofErr w:type="spellStart"/>
      <w:r w:rsidRPr="009C2ADD">
        <w:rPr>
          <w:rFonts w:ascii="Times New Roman" w:eastAsia="Times New Roman" w:hAnsi="Times New Roman"/>
          <w:lang w:val="en-AU" w:eastAsia="ja-JP"/>
        </w:rPr>
        <w:t>SB</w:t>
      </w:r>
      <w:r w:rsidRPr="009C2ADD">
        <w:rPr>
          <w:rFonts w:ascii="Times New Roman" w:eastAsia="Times New Roman" w:hAnsi="Times New Roman"/>
          <w:i/>
          <w:lang w:val="en-AU" w:eastAsia="ja-JP"/>
        </w:rPr>
        <w:t>latest</w:t>
      </w:r>
      <w:proofErr w:type="spellEnd"/>
      <w:r w:rsidRPr="009C2ADD">
        <w:rPr>
          <w:rFonts w:ascii="Times New Roman" w:eastAsia="Times New Roman" w:hAnsi="Times New Roman"/>
          <w:lang w:val="en-AU" w:eastAsia="ja-JP"/>
        </w:rPr>
        <w:t>.</w:t>
      </w:r>
    </w:p>
    <w:p w:rsidR="004F5329" w:rsidRPr="009C2ADD" w:rsidRDefault="004F5329" w:rsidP="004F5329">
      <w:pPr>
        <w:adjustRightInd w:val="0"/>
        <w:snapToGrid w:val="0"/>
        <w:spacing w:after="0"/>
        <w:rPr>
          <w:rFonts w:ascii="Times New Roman" w:eastAsia="Times New Roman" w:hAnsi="Times New Roman"/>
          <w:lang w:val="en-AU" w:eastAsia="ja-JP"/>
        </w:rPr>
      </w:pPr>
    </w:p>
    <w:p w:rsidR="004F5329" w:rsidRPr="009C2ADD" w:rsidRDefault="004F5329" w:rsidP="004F5329">
      <w:pPr>
        <w:adjustRightInd w:val="0"/>
        <w:snapToGrid w:val="0"/>
        <w:spacing w:after="0"/>
        <w:rPr>
          <w:rFonts w:ascii="Times New Roman" w:eastAsia="MS Mincho" w:hAnsi="Times New Roman"/>
        </w:rPr>
      </w:pPr>
    </w:p>
    <w:p w:rsidR="004F5329" w:rsidRPr="009C2ADD" w:rsidRDefault="004F5329" w:rsidP="004F5329">
      <w:pPr>
        <w:adjustRightInd w:val="0"/>
        <w:snapToGrid w:val="0"/>
        <w:spacing w:after="0"/>
        <w:rPr>
          <w:rFonts w:ascii="Times New Roman" w:eastAsia="Times New Roman" w:hAnsi="Times New Roman"/>
          <w:lang w:val="en-AU" w:eastAsia="ja-JP"/>
        </w:rPr>
      </w:pPr>
    </w:p>
    <w:p w:rsidR="004F5329" w:rsidRPr="009C2ADD" w:rsidRDefault="004F5329" w:rsidP="004F5329">
      <w:pPr>
        <w:adjustRightInd w:val="0"/>
        <w:snapToGrid w:val="0"/>
        <w:spacing w:after="0"/>
        <w:rPr>
          <w:rFonts w:ascii="Times New Roman" w:eastAsia="PMingLiU" w:hAnsi="Times New Roman"/>
          <w:b/>
          <w:bCs/>
          <w:lang w:eastAsia="zh-TW"/>
        </w:rPr>
      </w:pPr>
      <w:r w:rsidRPr="009C2ADD">
        <w:rPr>
          <w:rFonts w:ascii="Times New Roman" w:eastAsia="MS Mincho" w:hAnsi="Times New Roman"/>
          <w:b/>
          <w:bCs/>
        </w:rPr>
        <w:br w:type="page"/>
      </w:r>
    </w:p>
    <w:p w:rsidR="004F5329" w:rsidRPr="009C2ADD" w:rsidRDefault="004F5329" w:rsidP="004F5329">
      <w:pPr>
        <w:adjustRightInd w:val="0"/>
        <w:snapToGrid w:val="0"/>
        <w:spacing w:after="0"/>
        <w:rPr>
          <w:rFonts w:ascii="Times New Roman" w:eastAsia="Times New Roman" w:hAnsi="Times New Roman"/>
          <w:lang w:eastAsia="ja-JP"/>
        </w:rPr>
      </w:pPr>
    </w:p>
    <w:p w:rsidR="004F5329" w:rsidRPr="009C2ADD" w:rsidRDefault="004F5329" w:rsidP="004F5329">
      <w:pPr>
        <w:adjustRightInd w:val="0"/>
        <w:snapToGrid w:val="0"/>
        <w:spacing w:after="0"/>
        <w:rPr>
          <w:rFonts w:ascii="Times New Roman" w:eastAsia="Times New Roman" w:hAnsi="Times New Roman"/>
          <w:b/>
          <w:bCs/>
          <w:noProof/>
          <w:lang w:val="en-AU" w:eastAsia="ja-JP"/>
        </w:rPr>
      </w:pPr>
      <w:r w:rsidRPr="009C2ADD">
        <w:rPr>
          <w:rFonts w:ascii="Times New Roman" w:eastAsia="Times New Roman" w:hAnsi="Times New Roman"/>
          <w:b/>
          <w:noProof/>
          <w:lang w:eastAsia="zh-CN" w:bidi="mn-Mong-CN"/>
        </w:rPr>
        <w:drawing>
          <wp:inline distT="0" distB="0" distL="0" distR="0" wp14:anchorId="5431C822" wp14:editId="14D7AEE0">
            <wp:extent cx="5600700" cy="5600700"/>
            <wp:effectExtent l="0" t="0" r="0" b="0"/>
            <wp:docPr id="51" name="Picture 29" descr="/Users/yukiot/Dropbox/MFCL/SC13/SWO/Assessment/plots/Fig36_splotimpactAdul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sers/yukiot/Dropbox/MFCL/SC13/SWO/Assessment/plots/Fig36_splotimpactAdult.pd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0700" cy="5600700"/>
                    </a:xfrm>
                    <a:prstGeom prst="rect">
                      <a:avLst/>
                    </a:prstGeom>
                    <a:noFill/>
                    <a:ln>
                      <a:noFill/>
                    </a:ln>
                  </pic:spPr>
                </pic:pic>
              </a:graphicData>
            </a:graphic>
          </wp:inline>
        </w:drawing>
      </w:r>
    </w:p>
    <w:p w:rsidR="004F5329" w:rsidRPr="009C2ADD" w:rsidRDefault="004F5329" w:rsidP="004F5329">
      <w:pPr>
        <w:autoSpaceDE w:val="0"/>
        <w:autoSpaceDN w:val="0"/>
        <w:adjustRightInd w:val="0"/>
        <w:snapToGrid w:val="0"/>
        <w:spacing w:after="0"/>
        <w:rPr>
          <w:rFonts w:ascii="Times New Roman" w:eastAsia="Times New Roman" w:hAnsi="Times New Roman"/>
          <w:b/>
          <w:bCs/>
          <w:noProof/>
          <w:lang w:val="en-AU" w:eastAsia="ja-JP"/>
        </w:rPr>
      </w:pPr>
      <w:r w:rsidRPr="009C2ADD">
        <w:rPr>
          <w:rFonts w:ascii="Times New Roman" w:eastAsia="PMingLiU" w:hAnsi="Times New Roman"/>
          <w:b/>
          <w:bCs/>
          <w:lang w:val="en-AU" w:eastAsia="zh-TW"/>
        </w:rPr>
        <w:t xml:space="preserve">Figure </w:t>
      </w:r>
      <w:r w:rsidRPr="009C2ADD">
        <w:rPr>
          <w:rFonts w:ascii="Times New Roman" w:eastAsia="Times New Roman" w:hAnsi="Times New Roman"/>
          <w:b/>
          <w:bCs/>
          <w:lang w:val="en-AU" w:eastAsia="ja-JP"/>
        </w:rPr>
        <w:t>SWO-10</w:t>
      </w:r>
      <w:r w:rsidRPr="009C2ADD">
        <w:rPr>
          <w:rFonts w:ascii="Times New Roman" w:eastAsia="PMingLiU" w:hAnsi="Times New Roman"/>
          <w:lang w:val="en-AU" w:eastAsia="zh-TW"/>
        </w:rPr>
        <w:t xml:space="preserve">. Estimates of reduction in spawning potential due to fishing by region, and over all regions (lower </w:t>
      </w:r>
      <w:r w:rsidRPr="009C2ADD">
        <w:rPr>
          <w:rFonts w:ascii="Times New Roman" w:eastAsia="Times New Roman" w:hAnsi="Times New Roman"/>
          <w:lang w:val="en-AU" w:eastAsia="ja-JP"/>
        </w:rPr>
        <w:t>left</w:t>
      </w:r>
      <w:r w:rsidRPr="009C2ADD">
        <w:rPr>
          <w:rFonts w:ascii="Times New Roman" w:eastAsia="PMingLiU" w:hAnsi="Times New Roman"/>
          <w:lang w:val="en-AU" w:eastAsia="zh-TW"/>
        </w:rPr>
        <w:t xml:space="preserve"> panel), attributed to various fishery groups for the diagnostic case model.</w:t>
      </w:r>
      <w:r w:rsidRPr="009C2ADD">
        <w:rPr>
          <w:rFonts w:ascii="Times New Roman" w:eastAsia="Times New Roman" w:hAnsi="Times New Roman"/>
          <w:lang w:val="en-AU" w:eastAsia="ja-JP"/>
        </w:rPr>
        <w:t xml:space="preserve"> Note distant water C includes the </w:t>
      </w:r>
      <w:r w:rsidRPr="009C2ADD">
        <w:rPr>
          <w:rFonts w:ascii="Times New Roman" w:eastAsia="Times New Roman" w:hAnsi="Times New Roman"/>
          <w:b/>
          <w:lang w:eastAsia="en-NZ"/>
        </w:rPr>
        <w:t>EU</w:t>
      </w:r>
      <w:r w:rsidRPr="009C2ADD">
        <w:rPr>
          <w:rFonts w:ascii="Times New Roman" w:eastAsia="Times New Roman" w:hAnsi="Times New Roman"/>
          <w:lang w:val="en-AU" w:eastAsia="ja-JP"/>
        </w:rPr>
        <w:t xml:space="preserve"> fishery.</w:t>
      </w:r>
    </w:p>
    <w:p w:rsidR="004F5329" w:rsidRPr="009C2ADD" w:rsidRDefault="004F5329" w:rsidP="004F5329">
      <w:pPr>
        <w:adjustRightInd w:val="0"/>
        <w:snapToGrid w:val="0"/>
        <w:spacing w:after="0"/>
        <w:rPr>
          <w:rFonts w:ascii="Times New Roman" w:eastAsia="Times New Roman" w:hAnsi="Times New Roman"/>
          <w:lang w:val="en-AU" w:eastAsia="ja-JP"/>
        </w:rPr>
      </w:pPr>
      <w:r w:rsidRPr="009C2ADD">
        <w:rPr>
          <w:rFonts w:ascii="Times New Roman" w:eastAsia="MS Mincho" w:hAnsi="Times New Roman"/>
          <w:b/>
          <w:bCs/>
        </w:rPr>
        <w:br w:type="page"/>
      </w:r>
      <w:r w:rsidRPr="009C2ADD">
        <w:rPr>
          <w:rFonts w:ascii="Times New Roman" w:eastAsia="PMingLiU" w:hAnsi="Times New Roman"/>
          <w:b/>
          <w:bCs/>
          <w:lang w:val="en-AU" w:eastAsia="zh-TW"/>
        </w:rPr>
        <w:lastRenderedPageBreak/>
        <w:t xml:space="preserve">Table </w:t>
      </w:r>
      <w:r w:rsidRPr="009C2ADD">
        <w:rPr>
          <w:rFonts w:ascii="Times New Roman" w:eastAsia="Times New Roman" w:hAnsi="Times New Roman"/>
          <w:b/>
          <w:bCs/>
          <w:lang w:val="en-AU" w:eastAsia="ja-JP"/>
        </w:rPr>
        <w:t>SWO-</w:t>
      </w:r>
      <w:r w:rsidRPr="009C2ADD">
        <w:rPr>
          <w:rFonts w:ascii="Times New Roman" w:eastAsia="PMingLiU" w:hAnsi="Times New Roman"/>
          <w:b/>
          <w:bCs/>
          <w:lang w:val="en-AU" w:eastAsia="zh-TW"/>
        </w:rPr>
        <w:t>2</w:t>
      </w:r>
      <w:r w:rsidRPr="009C2ADD">
        <w:rPr>
          <w:rFonts w:ascii="Times New Roman" w:eastAsia="PMingLiU" w:hAnsi="Times New Roman"/>
          <w:lang w:val="en-AU" w:eastAsia="zh-TW"/>
        </w:rPr>
        <w:t xml:space="preserve">. Summary of reference points over the </w:t>
      </w:r>
      <w:r w:rsidRPr="009C2ADD">
        <w:rPr>
          <w:rFonts w:ascii="Times New Roman" w:eastAsia="Times New Roman" w:hAnsi="Times New Roman"/>
          <w:lang w:val="en-AU" w:eastAsia="ja-JP"/>
        </w:rPr>
        <w:t>72</w:t>
      </w:r>
      <w:r w:rsidRPr="009C2ADD">
        <w:rPr>
          <w:rFonts w:ascii="Times New Roman" w:eastAsia="PMingLiU" w:hAnsi="Times New Roman"/>
          <w:lang w:val="en-AU" w:eastAsia="zh-TW"/>
        </w:rPr>
        <w:t xml:space="preserve"> models in the structural uncertainty grid for management advice. Note that </w:t>
      </w:r>
      <w:proofErr w:type="spellStart"/>
      <w:r w:rsidRPr="009C2ADD">
        <w:rPr>
          <w:rFonts w:ascii="Times New Roman" w:eastAsia="PMingLiU" w:hAnsi="Times New Roman"/>
          <w:lang w:val="en-AU" w:eastAsia="zh-TW"/>
        </w:rPr>
        <w:t>SB</w:t>
      </w:r>
      <w:r w:rsidRPr="009C2ADD">
        <w:rPr>
          <w:rFonts w:ascii="Times New Roman" w:eastAsia="PMingLiU" w:hAnsi="Times New Roman"/>
          <w:i/>
          <w:lang w:val="en-AU" w:eastAsia="zh-TW"/>
        </w:rPr>
        <w:t>recent</w:t>
      </w:r>
      <w:proofErr w:type="spellEnd"/>
      <w:r w:rsidRPr="009C2ADD">
        <w:rPr>
          <w:rFonts w:ascii="Times New Roman" w:eastAsia="PMingLiU" w:hAnsi="Times New Roman"/>
          <w:lang w:val="en-AU" w:eastAsia="zh-TW"/>
        </w:rPr>
        <w:t>/SB</w:t>
      </w:r>
      <w:r w:rsidRPr="009C2ADD">
        <w:rPr>
          <w:rFonts w:ascii="Times New Roman" w:eastAsia="PMingLiU" w:hAnsi="Times New Roman"/>
          <w:i/>
          <w:lang w:val="en-AU" w:eastAsia="zh-TW"/>
        </w:rPr>
        <w:t xml:space="preserve">F=0 </w:t>
      </w:r>
      <w:r w:rsidRPr="009C2ADD">
        <w:rPr>
          <w:rFonts w:ascii="Times New Roman" w:eastAsia="PMingLiU" w:hAnsi="Times New Roman"/>
          <w:lang w:val="en-AU" w:eastAsia="zh-TW"/>
        </w:rPr>
        <w:t xml:space="preserve">is calculated where </w:t>
      </w:r>
      <w:proofErr w:type="spellStart"/>
      <w:r w:rsidRPr="009C2ADD">
        <w:rPr>
          <w:rFonts w:ascii="Times New Roman" w:eastAsia="PMingLiU" w:hAnsi="Times New Roman"/>
          <w:lang w:val="en-AU" w:eastAsia="zh-TW"/>
        </w:rPr>
        <w:t>SB</w:t>
      </w:r>
      <w:r w:rsidRPr="009C2ADD">
        <w:rPr>
          <w:rFonts w:ascii="Times New Roman" w:eastAsia="PMingLiU" w:hAnsi="Times New Roman"/>
          <w:i/>
          <w:lang w:val="en-AU" w:eastAsia="zh-TW"/>
        </w:rPr>
        <w:t>recent</w:t>
      </w:r>
      <w:proofErr w:type="spellEnd"/>
      <w:r w:rsidRPr="009C2ADD">
        <w:rPr>
          <w:rFonts w:ascii="Times New Roman" w:eastAsia="PMingLiU" w:hAnsi="Times New Roman"/>
          <w:i/>
          <w:lang w:val="en-AU" w:eastAsia="zh-TW"/>
        </w:rPr>
        <w:t xml:space="preserve"> </w:t>
      </w:r>
      <w:r w:rsidRPr="009C2ADD">
        <w:rPr>
          <w:rFonts w:ascii="Times New Roman" w:eastAsia="PMingLiU" w:hAnsi="Times New Roman"/>
          <w:lang w:val="en-AU" w:eastAsia="zh-TW"/>
        </w:rPr>
        <w:t>is the mean SB over 2012-2015 instead of 2011-2014 (used in the stock assessment report), at the request of the Scientific Committee.</w:t>
      </w:r>
    </w:p>
    <w:tbl>
      <w:tblPr>
        <w:tblpPr w:leftFromText="187" w:rightFromText="187" w:vertAnchor="text" w:horzAnchor="margin" w:tblpY="1"/>
        <w:tblOverlap w:val="never"/>
        <w:tblW w:w="0" w:type="auto"/>
        <w:tblBorders>
          <w:top w:val="single" w:sz="4" w:space="0" w:color="auto"/>
          <w:bottom w:val="single" w:sz="4" w:space="0" w:color="auto"/>
        </w:tblBorders>
        <w:tblLook w:val="04A0" w:firstRow="1" w:lastRow="0" w:firstColumn="1" w:lastColumn="0" w:noHBand="0" w:noVBand="1"/>
      </w:tblPr>
      <w:tblGrid>
        <w:gridCol w:w="1732"/>
        <w:gridCol w:w="1264"/>
        <w:gridCol w:w="1265"/>
        <w:gridCol w:w="1265"/>
        <w:gridCol w:w="1265"/>
        <w:gridCol w:w="1265"/>
        <w:gridCol w:w="1265"/>
      </w:tblGrid>
      <w:tr w:rsidR="004F5329" w:rsidRPr="009C2ADD" w:rsidTr="001E3F91">
        <w:tc>
          <w:tcPr>
            <w:tcW w:w="1732" w:type="dxa"/>
            <w:tcBorders>
              <w:top w:val="single" w:sz="4" w:space="0" w:color="auto"/>
              <w:bottom w:val="single" w:sz="4" w:space="0" w:color="auto"/>
            </w:tcBorders>
            <w:shd w:val="clear" w:color="auto" w:fill="auto"/>
          </w:tcPr>
          <w:p w:rsidR="004F5329" w:rsidRPr="009C2ADD" w:rsidRDefault="004F5329" w:rsidP="001E3F91">
            <w:pPr>
              <w:adjustRightInd w:val="0"/>
              <w:snapToGrid w:val="0"/>
              <w:spacing w:after="0"/>
              <w:rPr>
                <w:rFonts w:ascii="Times New Roman" w:eastAsia="Times New Roman" w:hAnsi="Times New Roman"/>
                <w:b/>
                <w:lang w:eastAsia="ja-JP"/>
              </w:rPr>
            </w:pPr>
          </w:p>
        </w:tc>
        <w:tc>
          <w:tcPr>
            <w:tcW w:w="1264"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Mean</w:t>
            </w:r>
          </w:p>
        </w:tc>
        <w:tc>
          <w:tcPr>
            <w:tcW w:w="1265"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Median</w:t>
            </w:r>
          </w:p>
        </w:tc>
        <w:tc>
          <w:tcPr>
            <w:tcW w:w="1265"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Min</w:t>
            </w:r>
          </w:p>
        </w:tc>
        <w:tc>
          <w:tcPr>
            <w:tcW w:w="1265"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10%</w:t>
            </w:r>
          </w:p>
        </w:tc>
        <w:tc>
          <w:tcPr>
            <w:tcW w:w="1265"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90%</w:t>
            </w:r>
          </w:p>
        </w:tc>
        <w:tc>
          <w:tcPr>
            <w:tcW w:w="1265" w:type="dxa"/>
            <w:tcBorders>
              <w:top w:val="single" w:sz="4" w:space="0" w:color="auto"/>
              <w:bottom w:val="single" w:sz="4" w:space="0" w:color="auto"/>
            </w:tcBorders>
            <w:shd w:val="clear" w:color="auto" w:fill="auto"/>
            <w:vAlign w:val="bottom"/>
          </w:tcPr>
          <w:p w:rsidR="004F5329" w:rsidRPr="009C2ADD" w:rsidRDefault="004F5329" w:rsidP="001E3F91">
            <w:pPr>
              <w:adjustRightInd w:val="0"/>
              <w:snapToGrid w:val="0"/>
              <w:spacing w:after="0"/>
              <w:jc w:val="center"/>
              <w:rPr>
                <w:rFonts w:ascii="Times New Roman" w:eastAsia="Times New Roman" w:hAnsi="Times New Roman"/>
                <w:b/>
                <w:lang w:eastAsia="ja-JP"/>
              </w:rPr>
            </w:pPr>
            <w:r w:rsidRPr="009C2ADD">
              <w:rPr>
                <w:rFonts w:ascii="Times New Roman" w:eastAsia="Times New Roman" w:hAnsi="Times New Roman"/>
                <w:b/>
                <w:lang w:eastAsia="ja-JP"/>
              </w:rPr>
              <w:t>Max</w:t>
            </w:r>
          </w:p>
        </w:tc>
      </w:tr>
      <w:tr w:rsidR="004F5329" w:rsidRPr="009C2ADD" w:rsidTr="001E3F91">
        <w:tc>
          <w:tcPr>
            <w:tcW w:w="1732" w:type="dxa"/>
            <w:tcBorders>
              <w:top w:val="single" w:sz="4" w:space="0" w:color="auto"/>
            </w:tcBorders>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Clatest</w:t>
            </w:r>
            <w:proofErr w:type="spellEnd"/>
          </w:p>
        </w:tc>
        <w:tc>
          <w:tcPr>
            <w:tcW w:w="1264"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9,884</w:t>
            </w:r>
          </w:p>
        </w:tc>
        <w:tc>
          <w:tcPr>
            <w:tcW w:w="1265"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9,884</w:t>
            </w:r>
          </w:p>
        </w:tc>
        <w:tc>
          <w:tcPr>
            <w:tcW w:w="1265"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9,318</w:t>
            </w:r>
          </w:p>
        </w:tc>
        <w:tc>
          <w:tcPr>
            <w:tcW w:w="1265"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9,343</w:t>
            </w:r>
          </w:p>
        </w:tc>
        <w:tc>
          <w:tcPr>
            <w:tcW w:w="1265"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10,157</w:t>
            </w:r>
          </w:p>
        </w:tc>
        <w:tc>
          <w:tcPr>
            <w:tcW w:w="1265" w:type="dxa"/>
            <w:tcBorders>
              <w:top w:val="single" w:sz="4" w:space="0" w:color="auto"/>
            </w:tcBorders>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10,287</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8,172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7,913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5,905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6,396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10,150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11,360</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YFrecent</w:t>
            </w:r>
            <w:proofErr w:type="spellEnd"/>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7,628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7,775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4,998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6,062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8,948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9,684</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fmult</w:t>
            </w:r>
            <w:proofErr w:type="spellEnd"/>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1.27</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1.15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0.66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0.79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1.89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2.32</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FMSY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0.23</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Frecent</w:t>
            </w:r>
            <w:proofErr w:type="spellEnd"/>
            <w:r w:rsidRPr="009C2ADD">
              <w:rPr>
                <w:rFonts w:ascii="Times New Roman" w:eastAsia="Times New Roman" w:hAnsi="Times New Roman"/>
                <w:i/>
                <w:lang w:eastAsia="ja-JP"/>
              </w:rPr>
              <w:t>/FMSY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0.88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0.87</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0.53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1.26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1.51</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SBMSY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17,314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17,740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7,278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8,943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26,661</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30,460</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SB0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84,173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84,075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57,070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71,199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98,039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111,000</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SBMSY/SB0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0.21</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0.11</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0.28</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SBF=0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78,619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78,301</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61,996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64,342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92,120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100,691</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r w:rsidRPr="009C2ADD">
              <w:rPr>
                <w:rFonts w:ascii="Times New Roman" w:eastAsia="Times New Roman" w:hAnsi="Times New Roman"/>
                <w:i/>
                <w:lang w:eastAsia="ja-JP"/>
              </w:rPr>
              <w:t>SBMSY/SBF=0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0.12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0.33</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SBlatest</w:t>
            </w:r>
            <w:proofErr w:type="spellEnd"/>
            <w:r w:rsidRPr="009C2ADD">
              <w:rPr>
                <w:rFonts w:ascii="Times New Roman" w:eastAsia="Times New Roman" w:hAnsi="Times New Roman"/>
                <w:i/>
                <w:lang w:eastAsia="ja-JP"/>
              </w:rPr>
              <w:t>/SB0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0.46</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SBlatest</w:t>
            </w:r>
            <w:proofErr w:type="spellEnd"/>
            <w:r w:rsidRPr="009C2ADD">
              <w:rPr>
                <w:rFonts w:ascii="Times New Roman" w:eastAsia="Times New Roman" w:hAnsi="Times New Roman"/>
                <w:i/>
                <w:lang w:eastAsia="ja-JP"/>
              </w:rPr>
              <w:t>/SBF=0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0.27</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0.49</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SBlatest</w:t>
            </w:r>
            <w:proofErr w:type="spellEnd"/>
            <w:r w:rsidRPr="009C2ADD">
              <w:rPr>
                <w:rFonts w:ascii="Times New Roman" w:eastAsia="Times New Roman" w:hAnsi="Times New Roman"/>
                <w:i/>
                <w:lang w:eastAsia="ja-JP"/>
              </w:rPr>
              <w:t>/SBMSY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1.85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1.61</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0.85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0.99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3.14</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4.05</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SBrecent</w:t>
            </w:r>
            <w:proofErr w:type="spellEnd"/>
            <w:r w:rsidRPr="009C2ADD">
              <w:rPr>
                <w:rFonts w:ascii="Times New Roman" w:eastAsia="Times New Roman" w:hAnsi="Times New Roman"/>
                <w:i/>
                <w:lang w:eastAsia="ja-JP"/>
              </w:rPr>
              <w:t>/SBF=0</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0.35</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0.27</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0.29</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0.43</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0.48</w:t>
            </w:r>
          </w:p>
        </w:tc>
      </w:tr>
      <w:tr w:rsidR="004F5329" w:rsidRPr="009C2ADD" w:rsidTr="001E3F91">
        <w:tc>
          <w:tcPr>
            <w:tcW w:w="1732" w:type="dxa"/>
            <w:shd w:val="clear" w:color="auto" w:fill="auto"/>
          </w:tcPr>
          <w:p w:rsidR="004F5329" w:rsidRPr="009C2ADD" w:rsidRDefault="004F5329" w:rsidP="001E3F91">
            <w:pPr>
              <w:adjustRightInd w:val="0"/>
              <w:snapToGrid w:val="0"/>
              <w:spacing w:after="0"/>
              <w:rPr>
                <w:rFonts w:ascii="Times New Roman" w:eastAsia="Times New Roman" w:hAnsi="Times New Roman"/>
                <w:i/>
                <w:lang w:eastAsia="ja-JP"/>
              </w:rPr>
            </w:pPr>
            <w:proofErr w:type="spellStart"/>
            <w:r w:rsidRPr="009C2ADD">
              <w:rPr>
                <w:rFonts w:ascii="Times New Roman" w:eastAsia="Times New Roman" w:hAnsi="Times New Roman"/>
                <w:i/>
                <w:lang w:eastAsia="ja-JP"/>
              </w:rPr>
              <w:t>SBrecent</w:t>
            </w:r>
            <w:proofErr w:type="spellEnd"/>
            <w:r w:rsidRPr="009C2ADD">
              <w:rPr>
                <w:rFonts w:ascii="Times New Roman" w:eastAsia="Times New Roman" w:hAnsi="Times New Roman"/>
                <w:i/>
                <w:lang w:eastAsia="ja-JP"/>
              </w:rPr>
              <w:t>/SBMSY</w:t>
            </w:r>
          </w:p>
        </w:tc>
        <w:tc>
          <w:tcPr>
            <w:tcW w:w="1264"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1.86</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1.58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0.88</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1.02</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3.10</w:t>
            </w:r>
          </w:p>
        </w:tc>
        <w:tc>
          <w:tcPr>
            <w:tcW w:w="1265" w:type="dxa"/>
            <w:shd w:val="clear" w:color="auto" w:fill="auto"/>
            <w:vAlign w:val="center"/>
          </w:tcPr>
          <w:p w:rsidR="004F5329" w:rsidRPr="009C2ADD" w:rsidRDefault="004F5329" w:rsidP="001E3F91">
            <w:pPr>
              <w:adjustRightInd w:val="0"/>
              <w:snapToGrid w:val="0"/>
              <w:spacing w:after="0"/>
              <w:jc w:val="center"/>
              <w:rPr>
                <w:rFonts w:ascii="Times New Roman" w:eastAsia="Times New Roman" w:hAnsi="Times New Roman"/>
                <w:lang w:eastAsia="ja-JP"/>
              </w:rPr>
            </w:pPr>
            <w:r w:rsidRPr="009C2ADD">
              <w:rPr>
                <w:rFonts w:ascii="Times New Roman" w:eastAsia="Times New Roman" w:hAnsi="Times New Roman"/>
                <w:lang w:eastAsia="ja-JP"/>
              </w:rPr>
              <w:t>3.96</w:t>
            </w:r>
          </w:p>
        </w:tc>
      </w:tr>
    </w:tbl>
    <w:p w:rsidR="004F5329" w:rsidRPr="009C2ADD" w:rsidRDefault="004F5329" w:rsidP="004F5329">
      <w:pPr>
        <w:autoSpaceDE w:val="0"/>
        <w:autoSpaceDN w:val="0"/>
        <w:adjustRightInd w:val="0"/>
        <w:snapToGrid w:val="0"/>
        <w:spacing w:after="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SC13 noted that the central tendency of relative recent spawning biomass was median (</w:t>
      </w:r>
      <w:proofErr w:type="spellStart"/>
      <w:r w:rsidRPr="009C2ADD">
        <w:rPr>
          <w:rFonts w:ascii="Times New Roman" w:hAnsi="Times New Roman"/>
          <w:b/>
          <w:lang w:val="en-AU"/>
        </w:rPr>
        <w:t>SBrecent</w:t>
      </w:r>
      <w:proofErr w:type="spellEnd"/>
      <w:r w:rsidRPr="009C2ADD">
        <w:rPr>
          <w:rFonts w:ascii="Times New Roman" w:hAnsi="Times New Roman"/>
          <w:b/>
          <w:lang w:val="en-AU"/>
        </w:rPr>
        <w:t>/SBF=0) = 0.35 with a probable range of 0.29 to 0.43 (80% probability interval). The median estimate (0.35) is below that estimated from the 2014 assessment grid((</w:t>
      </w:r>
      <w:proofErr w:type="spellStart"/>
      <w:r w:rsidRPr="009C2ADD">
        <w:rPr>
          <w:rFonts w:ascii="Times New Roman" w:hAnsi="Times New Roman"/>
          <w:b/>
          <w:lang w:val="en-AU"/>
        </w:rPr>
        <w:t>SBcurrent</w:t>
      </w:r>
      <w:proofErr w:type="spellEnd"/>
      <w:r w:rsidRPr="009C2ADD">
        <w:rPr>
          <w:rFonts w:ascii="Times New Roman" w:hAnsi="Times New Roman"/>
          <w:b/>
          <w:lang w:val="en-AU"/>
        </w:rPr>
        <w:t xml:space="preserve">/SBF=0) = 0.49, see SC9-SA-WP-05), noting the differences in grid uncertainty axes used in that assessment, due to the inclusion of two representations of growth and maturity. SC13 also noted that in the previous assessment this central tendency was not considered for the provision of management advice given the uncertainties in growth assumptions. The median estimate for </w:t>
      </w:r>
      <w:proofErr w:type="spellStart"/>
      <w:r w:rsidRPr="009C2ADD">
        <w:rPr>
          <w:rFonts w:ascii="Times New Roman" w:hAnsi="Times New Roman"/>
          <w:b/>
          <w:lang w:val="en-AU"/>
        </w:rPr>
        <w:t>SBrecent</w:t>
      </w:r>
      <w:proofErr w:type="spellEnd"/>
      <w:r w:rsidRPr="009C2ADD">
        <w:rPr>
          <w:rFonts w:ascii="Times New Roman" w:hAnsi="Times New Roman"/>
          <w:b/>
          <w:lang w:val="en-AU"/>
        </w:rPr>
        <w:t>/</w:t>
      </w:r>
      <w:proofErr w:type="spellStart"/>
      <w:r w:rsidRPr="009C2ADD">
        <w:rPr>
          <w:rFonts w:ascii="Times New Roman" w:hAnsi="Times New Roman"/>
          <w:b/>
          <w:lang w:val="en-AU"/>
        </w:rPr>
        <w:t>SBmsy</w:t>
      </w:r>
      <w:proofErr w:type="spellEnd"/>
      <w:r w:rsidRPr="009C2ADD">
        <w:rPr>
          <w:rFonts w:ascii="Times New Roman" w:hAnsi="Times New Roman"/>
          <w:b/>
          <w:lang w:val="en-AU"/>
        </w:rPr>
        <w:t xml:space="preserve"> is 1.23, that is below that estimated from the 2014 assessment grid ((</w:t>
      </w:r>
      <w:proofErr w:type="spellStart"/>
      <w:r w:rsidRPr="009C2ADD">
        <w:rPr>
          <w:rFonts w:ascii="Times New Roman" w:hAnsi="Times New Roman"/>
          <w:b/>
          <w:lang w:val="en-AU"/>
        </w:rPr>
        <w:t>SBcurrent</w:t>
      </w:r>
      <w:proofErr w:type="spellEnd"/>
      <w:r w:rsidRPr="009C2ADD">
        <w:rPr>
          <w:rFonts w:ascii="Times New Roman" w:hAnsi="Times New Roman"/>
          <w:b/>
          <w:lang w:val="en-AU"/>
        </w:rPr>
        <w:t>/</w:t>
      </w:r>
      <w:proofErr w:type="spellStart"/>
      <w:r w:rsidRPr="009C2ADD">
        <w:rPr>
          <w:rFonts w:ascii="Times New Roman" w:hAnsi="Times New Roman"/>
          <w:b/>
          <w:lang w:val="en-AU"/>
        </w:rPr>
        <w:t>SBmsy</w:t>
      </w:r>
      <w:proofErr w:type="spellEnd"/>
      <w:r w:rsidRPr="009C2ADD">
        <w:rPr>
          <w:rFonts w:ascii="Times New Roman" w:hAnsi="Times New Roman"/>
          <w:b/>
          <w:lang w:val="en-AU"/>
        </w:rPr>
        <w:t xml:space="preserve">) = 2.07, see SC9-SA-WP-05). </w:t>
      </w:r>
    </w:p>
    <w:p w:rsidR="004F5329" w:rsidRPr="009C2ADD" w:rsidRDefault="004F5329" w:rsidP="004F5329">
      <w:pPr>
        <w:autoSpaceDE w:val="0"/>
        <w:autoSpaceDN w:val="0"/>
        <w:adjustRightInd w:val="0"/>
        <w:snapToGrid w:val="0"/>
        <w:spacing w:after="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SC13 noted that the central tendency of relative recent fishing mortality was median (</w:t>
      </w:r>
      <w:proofErr w:type="spellStart"/>
      <w:r w:rsidRPr="009C2ADD">
        <w:rPr>
          <w:rFonts w:ascii="Times New Roman" w:hAnsi="Times New Roman"/>
          <w:b/>
          <w:lang w:val="en-AU"/>
        </w:rPr>
        <w:t>Frecent</w:t>
      </w:r>
      <w:proofErr w:type="spellEnd"/>
      <w:r w:rsidRPr="009C2ADD">
        <w:rPr>
          <w:rFonts w:ascii="Times New Roman" w:hAnsi="Times New Roman"/>
          <w:b/>
          <w:lang w:val="en-AU"/>
        </w:rPr>
        <w:t>/</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 0.86 with an 80% probability interval of 0.51 to 1.23. While this suggested that there was likely a buffer between recent fishing mortality and </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it also showed that there was some probability that recent fishing mortality was above </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 xml:space="preserve">SC13 also noted that there was a roughly 32% probability (23 out of 72 models) that the recent fishing mortality was above </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with Prob ((</w:t>
      </w:r>
      <w:proofErr w:type="spellStart"/>
      <w:r w:rsidRPr="009C2ADD">
        <w:rPr>
          <w:rFonts w:ascii="Times New Roman" w:hAnsi="Times New Roman"/>
          <w:b/>
          <w:lang w:val="en-AU"/>
        </w:rPr>
        <w:t>Frecent</w:t>
      </w:r>
      <w:proofErr w:type="spellEnd"/>
      <w:r w:rsidRPr="009C2ADD">
        <w:rPr>
          <w:rFonts w:ascii="Times New Roman" w:hAnsi="Times New Roman"/>
          <w:b/>
          <w:lang w:val="en-AU"/>
        </w:rPr>
        <w:t>/</w:t>
      </w:r>
      <w:proofErr w:type="spellStart"/>
      <w:r w:rsidRPr="009C2ADD">
        <w:rPr>
          <w:rFonts w:ascii="Times New Roman" w:hAnsi="Times New Roman"/>
          <w:b/>
          <w:lang w:val="en-AU"/>
        </w:rPr>
        <w:t>Fmsy</w:t>
      </w:r>
      <w:proofErr w:type="spellEnd"/>
      <w:r w:rsidRPr="009C2ADD">
        <w:rPr>
          <w:rFonts w:ascii="Times New Roman" w:hAnsi="Times New Roman"/>
          <w:b/>
          <w:lang w:val="en-AU"/>
        </w:rPr>
        <w:t>)&gt;1) = 0.32. The median estimate (0.86) is above that estimated from the 2014 assessment grid (</w:t>
      </w:r>
      <w:proofErr w:type="spellStart"/>
      <w:r w:rsidRPr="009C2ADD">
        <w:rPr>
          <w:rFonts w:ascii="Times New Roman" w:hAnsi="Times New Roman"/>
          <w:b/>
          <w:lang w:val="en-AU"/>
        </w:rPr>
        <w:t>Fcurrent</w:t>
      </w:r>
      <w:proofErr w:type="spellEnd"/>
      <w:r w:rsidRPr="009C2ADD">
        <w:rPr>
          <w:rFonts w:ascii="Times New Roman" w:hAnsi="Times New Roman"/>
          <w:b/>
          <w:lang w:val="en-AU"/>
        </w:rPr>
        <w:t>/</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 0.74, see SC9-SA-WP-05).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Fishing mortality rate increased notably from the mid-1990s in both model regions, on maturing</w:t>
      </w:r>
      <w:r w:rsidRPr="00D3647B">
        <w:rPr>
          <w:rFonts w:ascii="Times New Roman" w:hAnsi="Times New Roman"/>
          <w:b/>
          <w:lang w:val="en-AU"/>
        </w:rPr>
        <w:t xml:space="preserve"> </w:t>
      </w:r>
      <w:r>
        <w:rPr>
          <w:rFonts w:ascii="Times New Roman" w:hAnsi="Times New Roman"/>
          <w:b/>
          <w:lang w:val="en-AU"/>
        </w:rPr>
        <w:t>swordfish</w:t>
      </w:r>
      <w:r w:rsidRPr="009C2ADD">
        <w:rPr>
          <w:rFonts w:ascii="Times New Roman" w:hAnsi="Times New Roman"/>
          <w:b/>
          <w:lang w:val="en-AU"/>
        </w:rPr>
        <w:t xml:space="preserve"> aged (4-6) </w:t>
      </w:r>
      <w:proofErr w:type="gramStart"/>
      <w:r w:rsidRPr="009C2ADD">
        <w:rPr>
          <w:rFonts w:ascii="Times New Roman" w:hAnsi="Times New Roman"/>
          <w:b/>
          <w:lang w:val="en-AU"/>
        </w:rPr>
        <w:t>fish in particular</w:t>
      </w:r>
      <w:proofErr w:type="gramEnd"/>
      <w:r w:rsidRPr="009C2ADD">
        <w:rPr>
          <w:rFonts w:ascii="Times New Roman" w:hAnsi="Times New Roman"/>
          <w:b/>
          <w:lang w:val="en-AU"/>
        </w:rPr>
        <w:t xml:space="preserve">.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 xml:space="preserve">Across all models in the uncertainty grid the spawning biomass declines steeply between the late 1990s and 2010 but since then the rate of decline has been less.  Those declines are found in both model regions, but are higher in the eastern Region 2 (equator to 50°S, 165°E to 130°W).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lastRenderedPageBreak/>
        <w:t xml:space="preserve">SC13 noted that in comparison with the bigeye and yellowfin assessments, evidence for an increase in recent recruitment for southwest Pacific swordfish was not found in either the CPUE time series or estimates of recruitment. SC13 noted that the longline only nature of the fishery catching mainly larger, older swordfish, is not strongly informative with regards to recruitment dynamics.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pStyle w:val="ListParagraph"/>
        <w:numPr>
          <w:ilvl w:val="0"/>
          <w:numId w:val="11"/>
        </w:numPr>
        <w:autoSpaceDE w:val="0"/>
        <w:autoSpaceDN w:val="0"/>
        <w:adjustRightInd w:val="0"/>
        <w:snapToGrid w:val="0"/>
        <w:ind w:left="0" w:firstLine="0"/>
        <w:contextualSpacing w:val="0"/>
        <w:rPr>
          <w:rFonts w:ascii="Times New Roman" w:eastAsia="MS Mincho" w:hAnsi="Times New Roman"/>
          <w:b/>
          <w:lang w:val="en-US" w:eastAsia="ja-JP"/>
        </w:rPr>
      </w:pPr>
      <w:r w:rsidRPr="009C2ADD">
        <w:rPr>
          <w:rFonts w:ascii="Times New Roman" w:eastAsia="Times New Roman" w:hAnsi="Times New Roman"/>
          <w:b/>
          <w:lang w:eastAsia="en-NZ"/>
        </w:rPr>
        <w:t>Management advice and implications</w:t>
      </w:r>
      <w:r w:rsidRPr="009C2ADD">
        <w:rPr>
          <w:rFonts w:ascii="Times New Roman" w:eastAsia="Times New Roman" w:hAnsi="Times New Roman"/>
          <w:b/>
          <w:lang w:eastAsia="en-NZ"/>
        </w:rPr>
        <w:tab/>
      </w:r>
      <w:r w:rsidRPr="009C2ADD">
        <w:rPr>
          <w:rFonts w:ascii="Times New Roman" w:eastAsia="MS Mincho" w:hAnsi="Times New Roman"/>
          <w:b/>
          <w:lang w:val="en-US" w:eastAsia="ja-JP"/>
        </w:rPr>
        <w:tab/>
      </w:r>
    </w:p>
    <w:p w:rsidR="004F5329" w:rsidRPr="009C2ADD" w:rsidRDefault="004F5329" w:rsidP="004F5329">
      <w:pPr>
        <w:pStyle w:val="ListParagraph"/>
        <w:autoSpaceDE w:val="0"/>
        <w:autoSpaceDN w:val="0"/>
        <w:adjustRightInd w:val="0"/>
        <w:snapToGrid w:val="0"/>
        <w:ind w:firstLine="0"/>
        <w:contextualSpacing w:val="0"/>
        <w:rPr>
          <w:rFonts w:ascii="Times New Roman" w:eastAsia="MS Mincho" w:hAnsi="Times New Roman"/>
          <w:b/>
          <w:lang w:val="en-US" w:eastAsia="ja-JP"/>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 xml:space="preserve">Based on the uncertainty grid adopted by SC13, the south west Pacific </w:t>
      </w:r>
      <w:r>
        <w:rPr>
          <w:rFonts w:ascii="Times New Roman" w:hAnsi="Times New Roman"/>
          <w:b/>
          <w:lang w:val="en-AU"/>
        </w:rPr>
        <w:t>s</w:t>
      </w:r>
      <w:r w:rsidRPr="009C2ADD">
        <w:rPr>
          <w:rFonts w:ascii="Times New Roman" w:hAnsi="Times New Roman"/>
          <w:b/>
          <w:lang w:val="en-AU"/>
        </w:rPr>
        <w:t xml:space="preserve">wordfish spawning biomass is likely above the 20% </w:t>
      </w:r>
      <w:proofErr w:type="spellStart"/>
      <w:r w:rsidRPr="009C2ADD">
        <w:rPr>
          <w:rFonts w:ascii="Times New Roman" w:hAnsi="Times New Roman"/>
          <w:b/>
          <w:lang w:val="en-AU"/>
        </w:rPr>
        <w:t>SBf</w:t>
      </w:r>
      <w:proofErr w:type="spellEnd"/>
      <w:r w:rsidRPr="009C2ADD">
        <w:rPr>
          <w:rFonts w:ascii="Times New Roman" w:hAnsi="Times New Roman"/>
          <w:b/>
          <w:lang w:val="en-AU"/>
        </w:rPr>
        <w:t>=</w:t>
      </w:r>
      <w:proofErr w:type="gramStart"/>
      <w:r w:rsidRPr="009C2ADD">
        <w:rPr>
          <w:rFonts w:ascii="Times New Roman" w:hAnsi="Times New Roman"/>
          <w:b/>
          <w:lang w:val="en-AU"/>
        </w:rPr>
        <w:t>0,biomass</w:t>
      </w:r>
      <w:proofErr w:type="gramEnd"/>
      <w:r w:rsidRPr="009C2ADD">
        <w:rPr>
          <w:rFonts w:ascii="Times New Roman" w:hAnsi="Times New Roman"/>
          <w:b/>
          <w:lang w:val="en-AU"/>
        </w:rPr>
        <w:t xml:space="preserve"> LRP adopted for tunas and the </w:t>
      </w:r>
      <w:proofErr w:type="spellStart"/>
      <w:r w:rsidRPr="009C2ADD">
        <w:rPr>
          <w:rFonts w:ascii="Times New Roman" w:hAnsi="Times New Roman"/>
          <w:b/>
          <w:lang w:val="en-AU"/>
        </w:rPr>
        <w:t>SBmsy</w:t>
      </w:r>
      <w:proofErr w:type="spellEnd"/>
      <w:r w:rsidRPr="009C2ADD">
        <w:rPr>
          <w:rFonts w:ascii="Times New Roman" w:hAnsi="Times New Roman"/>
          <w:b/>
          <w:lang w:val="en-AU"/>
        </w:rPr>
        <w:t xml:space="preserve"> level noting that the Commission has yet to adopted an LRP for south Pacific swordfish) [and it is highly likely that the stock is not in an overfished condition (0% probability). Recent F is likely below </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and it appears that the stock is not experiencing overfishing (32% probability).  </w:t>
      </w:r>
    </w:p>
    <w:p w:rsidR="004F5329" w:rsidRPr="009C2ADD" w:rsidRDefault="004F5329" w:rsidP="004F5329">
      <w:pPr>
        <w:autoSpaceDE w:val="0"/>
        <w:autoSpaceDN w:val="0"/>
        <w:adjustRightInd w:val="0"/>
        <w:snapToGrid w:val="0"/>
        <w:spacing w:after="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 xml:space="preserve">SC13 noted that there has been an increase in fishing mortality notably from the mid-1990s, and that the biomass relative to unfished levels is estimated to have declined rapidly during the period late-1990s to 2010 followed by a more gradual but continued decline after 2010, across the uncertainty grid. It was noted the fishing mortality was likely below </w:t>
      </w:r>
      <w:proofErr w:type="spellStart"/>
      <w:r w:rsidRPr="009C2ADD">
        <w:rPr>
          <w:rFonts w:ascii="Times New Roman" w:hAnsi="Times New Roman"/>
          <w:b/>
          <w:lang w:val="en-AU"/>
        </w:rPr>
        <w:t>Fmsy</w:t>
      </w:r>
      <w:proofErr w:type="spellEnd"/>
      <w:r w:rsidRPr="009C2ADD">
        <w:rPr>
          <w:rFonts w:ascii="Times New Roman" w:hAnsi="Times New Roman"/>
          <w:b/>
          <w:lang w:val="en-AU"/>
        </w:rPr>
        <w:t xml:space="preserve">. </w:t>
      </w:r>
    </w:p>
    <w:p w:rsidR="004F5329" w:rsidRPr="009C2ADD" w:rsidRDefault="004F5329" w:rsidP="004F5329">
      <w:pPr>
        <w:pStyle w:val="ListParagraph"/>
        <w:adjustRightInd w:val="0"/>
        <w:snapToGrid w:val="0"/>
        <w:contextualSpacing w:val="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Consistent with its previous advice (from SC9), SC13 recommends that the Commission consider developing appropriate management measures for the area north of 20°S to the equator which is not covered by CMM 2009-03, noting that:</w:t>
      </w:r>
    </w:p>
    <w:p w:rsidR="004F5329" w:rsidRPr="009C2ADD" w:rsidRDefault="004F5329" w:rsidP="004F5329">
      <w:pPr>
        <w:numPr>
          <w:ilvl w:val="0"/>
          <w:numId w:val="10"/>
        </w:numPr>
        <w:adjustRightInd w:val="0"/>
        <w:snapToGrid w:val="0"/>
        <w:spacing w:after="0" w:line="240" w:lineRule="auto"/>
        <w:jc w:val="both"/>
        <w:rPr>
          <w:rFonts w:ascii="Times New Roman" w:eastAsia="Times New Roman" w:hAnsi="Times New Roman"/>
          <w:b/>
          <w:lang w:eastAsia="ja-JP"/>
        </w:rPr>
      </w:pPr>
      <w:r w:rsidRPr="009C2ADD">
        <w:rPr>
          <w:rFonts w:ascii="Times New Roman" w:eastAsia="Times New Roman" w:hAnsi="Times New Roman"/>
          <w:b/>
          <w:lang w:eastAsia="ja-JP"/>
        </w:rPr>
        <w:t xml:space="preserve">recent catches between the equator and 20°S continue to represent the largest component of the catch in Region 2 (equator to 50°S, 165°E to 130°W) and represent half the total catches from the stock, and, </w:t>
      </w:r>
    </w:p>
    <w:p w:rsidR="004F5329" w:rsidRPr="009C2ADD" w:rsidRDefault="004F5329" w:rsidP="004F5329">
      <w:pPr>
        <w:numPr>
          <w:ilvl w:val="0"/>
          <w:numId w:val="10"/>
        </w:numPr>
        <w:adjustRightInd w:val="0"/>
        <w:snapToGrid w:val="0"/>
        <w:spacing w:after="0" w:line="240" w:lineRule="auto"/>
        <w:ind w:left="1077" w:hanging="357"/>
        <w:jc w:val="both"/>
        <w:rPr>
          <w:rFonts w:ascii="Times New Roman" w:eastAsia="Times New Roman" w:hAnsi="Times New Roman"/>
          <w:b/>
          <w:lang w:eastAsia="ja-JP"/>
        </w:rPr>
      </w:pPr>
      <w:r w:rsidRPr="009C2ADD">
        <w:rPr>
          <w:rFonts w:ascii="Times New Roman" w:eastAsia="Times New Roman" w:hAnsi="Times New Roman"/>
          <w:b/>
          <w:lang w:eastAsia="ja-JP"/>
        </w:rPr>
        <w:t xml:space="preserve">catches in that area contribute substantially to fishing mortality and spawning biomass depletion levels in eastern Region 2 that are substantially higher than in the western region (Region 1). </w:t>
      </w:r>
    </w:p>
    <w:p w:rsidR="004F5329" w:rsidRPr="009C2ADD" w:rsidRDefault="004F5329" w:rsidP="004F5329">
      <w:pPr>
        <w:autoSpaceDE w:val="0"/>
        <w:autoSpaceDN w:val="0"/>
        <w:adjustRightInd w:val="0"/>
        <w:snapToGrid w:val="0"/>
        <w:spacing w:after="0"/>
        <w:rPr>
          <w:rFonts w:ascii="Times New Roman" w:hAnsi="Times New Roman"/>
          <w:b/>
          <w:lang w:val="en-AU"/>
        </w:rPr>
      </w:pPr>
    </w:p>
    <w:p w:rsidR="004F5329" w:rsidRPr="009C2ADD" w:rsidRDefault="004F5329" w:rsidP="004F5329">
      <w:pPr>
        <w:numPr>
          <w:ilvl w:val="0"/>
          <w:numId w:val="2"/>
        </w:numPr>
        <w:autoSpaceDE w:val="0"/>
        <w:autoSpaceDN w:val="0"/>
        <w:adjustRightInd w:val="0"/>
        <w:snapToGrid w:val="0"/>
        <w:spacing w:after="0" w:line="240" w:lineRule="auto"/>
        <w:ind w:left="0" w:firstLine="0"/>
        <w:jc w:val="both"/>
        <w:rPr>
          <w:rFonts w:ascii="Times New Roman" w:hAnsi="Times New Roman"/>
          <w:b/>
          <w:lang w:val="en-AU"/>
        </w:rPr>
      </w:pPr>
      <w:r w:rsidRPr="009C2ADD">
        <w:rPr>
          <w:rFonts w:ascii="Times New Roman" w:hAnsi="Times New Roman"/>
          <w:b/>
          <w:lang w:val="en-AU"/>
        </w:rPr>
        <w:t xml:space="preserve">Further, SC13 recommends that current restrictions on catches south of 20°S also be maintained. </w:t>
      </w:r>
    </w:p>
    <w:p w:rsidR="005C7178" w:rsidRDefault="005C7178" w:rsidP="005C7178">
      <w:pPr>
        <w:pStyle w:val="Heading1"/>
        <w:rPr>
          <w:rFonts w:eastAsia="MS Mincho"/>
          <w:lang w:val="en-NZ" w:eastAsia="en-NZ"/>
        </w:rPr>
      </w:pPr>
    </w:p>
    <w:p w:rsidR="005C7178" w:rsidRDefault="005C7178" w:rsidP="005C7178">
      <w:pPr>
        <w:pStyle w:val="Heading1"/>
        <w:rPr>
          <w:rFonts w:eastAsia="MS Mincho"/>
          <w:lang w:val="en-NZ" w:eastAsia="en-NZ"/>
        </w:rPr>
      </w:pPr>
      <w:bookmarkStart w:id="2" w:name="_Toc514854655"/>
      <w:r>
        <w:rPr>
          <w:rFonts w:eastAsia="MS Mincho"/>
          <w:lang w:val="en-NZ" w:eastAsia="en-NZ"/>
        </w:rPr>
        <w:t>Useful References</w:t>
      </w:r>
      <w:bookmarkEnd w:id="1"/>
      <w:bookmarkEnd w:id="2"/>
    </w:p>
    <w:p w:rsidR="00416473" w:rsidRDefault="00416473" w:rsidP="00416473">
      <w:pPr>
        <w:spacing w:after="0" w:line="240" w:lineRule="auto"/>
        <w:rPr>
          <w:b/>
        </w:rPr>
      </w:pPr>
    </w:p>
    <w:p w:rsidR="005C7178" w:rsidRPr="005C7178" w:rsidRDefault="00DC50D2"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SC13</w:t>
      </w:r>
      <w:r w:rsidR="005C7178" w:rsidRPr="005C7178">
        <w:rPr>
          <w:rFonts w:ascii="Times New Roman" w:eastAsia="MS Mincho" w:hAnsi="Times New Roman" w:cs="Times New Roman"/>
          <w:color w:val="000000"/>
          <w:lang w:val="en-NZ" w:eastAsia="en-NZ"/>
        </w:rPr>
        <w:t>-</w:t>
      </w:r>
      <w:r w:rsidR="005C7178">
        <w:rPr>
          <w:rFonts w:ascii="Times New Roman" w:eastAsia="MS Mincho" w:hAnsi="Times New Roman" w:cs="Times New Roman"/>
          <w:color w:val="000000"/>
          <w:lang w:val="en-NZ" w:eastAsia="en-NZ"/>
        </w:rPr>
        <w:t>SA-WP</w:t>
      </w:r>
      <w:r w:rsidR="004F5329">
        <w:rPr>
          <w:rFonts w:ascii="Times New Roman" w:eastAsia="MS Mincho" w:hAnsi="Times New Roman" w:cs="Times New Roman"/>
          <w:color w:val="000000"/>
          <w:lang w:val="en-NZ" w:eastAsia="en-NZ"/>
        </w:rPr>
        <w:t>-</w:t>
      </w:r>
      <w:r w:rsidR="005C7178">
        <w:rPr>
          <w:rFonts w:ascii="Times New Roman" w:eastAsia="MS Mincho" w:hAnsi="Times New Roman" w:cs="Times New Roman"/>
          <w:color w:val="000000"/>
          <w:lang w:val="en-NZ" w:eastAsia="en-NZ"/>
        </w:rPr>
        <w:t xml:space="preserve">13 </w:t>
      </w:r>
      <w:r w:rsidR="004F5329" w:rsidRPr="004F5329">
        <w:rPr>
          <w:rFonts w:cs="Arial"/>
          <w:lang w:val="en"/>
        </w:rPr>
        <w:t>Stock assessment of swordfish in the SW Pacific</w:t>
      </w:r>
      <w:r w:rsidR="005C7178">
        <w:rPr>
          <w:rFonts w:cs="Arial"/>
          <w:lang w:val="en"/>
        </w:rPr>
        <w:t xml:space="preserve">. </w:t>
      </w:r>
      <w:r w:rsidR="004F5329" w:rsidRPr="004F5329">
        <w:rPr>
          <w:rFonts w:cs="Arial"/>
          <w:lang w:val="en"/>
        </w:rPr>
        <w:t>Takeuchi Y, G. Pilling and J. Hampton.</w:t>
      </w:r>
      <w:r w:rsidR="004F5329">
        <w:rPr>
          <w:rFonts w:cs="Arial"/>
          <w:lang w:val="en"/>
        </w:rPr>
        <w:t xml:space="preserve"> (SPC-OFP)</w:t>
      </w:r>
    </w:p>
    <w:p w:rsidR="005C7178" w:rsidRPr="005C7178" w:rsidRDefault="00271913"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18" w:history="1">
        <w:r w:rsidR="004F5329" w:rsidRPr="00F208E4">
          <w:rPr>
            <w:rStyle w:val="Hyperlink"/>
          </w:rPr>
          <w:t>https://www.wcpfc.int/node/29526</w:t>
        </w:r>
      </w:hyperlink>
      <w:r w:rsidR="004F5329">
        <w:t xml:space="preserve"> </w:t>
      </w:r>
    </w:p>
    <w:p w:rsidR="005C7178" w:rsidRPr="005C7178" w:rsidRDefault="005C7178"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E15B3B" w:rsidRPr="005C7178" w:rsidRDefault="00E15B3B" w:rsidP="00E15B3B">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SC12</w:t>
      </w:r>
      <w:r w:rsidRPr="005C7178">
        <w:rPr>
          <w:rFonts w:ascii="Times New Roman" w:eastAsia="MS Mincho" w:hAnsi="Times New Roman" w:cs="Times New Roman"/>
          <w:color w:val="000000"/>
          <w:lang w:val="en-NZ" w:eastAsia="en-NZ"/>
        </w:rPr>
        <w:t>-</w:t>
      </w:r>
      <w:r>
        <w:rPr>
          <w:rFonts w:ascii="Times New Roman" w:eastAsia="MS Mincho" w:hAnsi="Times New Roman" w:cs="Times New Roman"/>
          <w:color w:val="000000"/>
          <w:lang w:val="en-NZ" w:eastAsia="en-NZ"/>
        </w:rPr>
        <w:t xml:space="preserve">SA-WP-11 </w:t>
      </w:r>
      <w:r w:rsidRPr="00E15B3B">
        <w:rPr>
          <w:rFonts w:cs="Arial"/>
          <w:lang w:val="en"/>
        </w:rPr>
        <w:t>Determination of swordfish growth and maturity relevant to the southwest Pacific stock</w:t>
      </w:r>
      <w:r>
        <w:rPr>
          <w:rFonts w:cs="Arial"/>
          <w:lang w:val="en"/>
        </w:rPr>
        <w:t xml:space="preserve">. </w:t>
      </w:r>
      <w:r w:rsidRPr="00E15B3B">
        <w:rPr>
          <w:rFonts w:cs="Arial"/>
          <w:lang w:val="en"/>
        </w:rPr>
        <w:t xml:space="preserve">Farley J., N. Clear, D. </w:t>
      </w:r>
      <w:proofErr w:type="spellStart"/>
      <w:r w:rsidRPr="00E15B3B">
        <w:rPr>
          <w:rFonts w:cs="Arial"/>
          <w:lang w:val="en"/>
        </w:rPr>
        <w:t>Kolody</w:t>
      </w:r>
      <w:proofErr w:type="spellEnd"/>
      <w:r w:rsidRPr="00E15B3B">
        <w:rPr>
          <w:rFonts w:cs="Arial"/>
          <w:lang w:val="en"/>
        </w:rPr>
        <w:t xml:space="preserve">, K. </w:t>
      </w:r>
      <w:proofErr w:type="spellStart"/>
      <w:r w:rsidRPr="00E15B3B">
        <w:rPr>
          <w:rFonts w:cs="Arial"/>
          <w:lang w:val="en"/>
        </w:rPr>
        <w:t>Krusic</w:t>
      </w:r>
      <w:proofErr w:type="spellEnd"/>
      <w:r w:rsidRPr="00E15B3B">
        <w:rPr>
          <w:rFonts w:cs="Arial"/>
          <w:lang w:val="en"/>
        </w:rPr>
        <w:t xml:space="preserve">-Golub, P. </w:t>
      </w:r>
      <w:proofErr w:type="spellStart"/>
      <w:r w:rsidRPr="00E15B3B">
        <w:rPr>
          <w:rFonts w:cs="Arial"/>
          <w:lang w:val="en"/>
        </w:rPr>
        <w:t>Eveson</w:t>
      </w:r>
      <w:proofErr w:type="spellEnd"/>
      <w:r w:rsidRPr="00E15B3B">
        <w:rPr>
          <w:rFonts w:cs="Arial"/>
          <w:lang w:val="en"/>
        </w:rPr>
        <w:t xml:space="preserve"> and J. Young</w:t>
      </w:r>
      <w:r>
        <w:rPr>
          <w:rFonts w:cs="Arial"/>
          <w:lang w:val="en"/>
        </w:rPr>
        <w:t>. (AFMA)</w:t>
      </w:r>
    </w:p>
    <w:p w:rsidR="00E15B3B" w:rsidRPr="005C7178" w:rsidRDefault="00271913" w:rsidP="00E15B3B">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19" w:history="1">
        <w:r w:rsidR="00E15B3B" w:rsidRPr="00F208E4">
          <w:rPr>
            <w:rStyle w:val="Hyperlink"/>
          </w:rPr>
          <w:t>https://www.wcpfc.int/node/27447</w:t>
        </w:r>
      </w:hyperlink>
      <w:r w:rsidR="00E15B3B">
        <w:t xml:space="preserve">  </w:t>
      </w:r>
    </w:p>
    <w:p w:rsidR="005C7178" w:rsidRDefault="005C7178" w:rsidP="005C7178">
      <w:pPr>
        <w:autoSpaceDE w:val="0"/>
        <w:autoSpaceDN w:val="0"/>
        <w:adjustRightInd w:val="0"/>
        <w:snapToGrid w:val="0"/>
        <w:spacing w:after="0" w:line="240" w:lineRule="auto"/>
        <w:jc w:val="both"/>
        <w:rPr>
          <w:rFonts w:ascii="Times New Roman" w:hAnsi="Times New Roman"/>
          <w:b/>
          <w:lang w:val="en-AU"/>
        </w:rPr>
      </w:pPr>
    </w:p>
    <w:p w:rsidR="00E15B3B" w:rsidRPr="005C7178" w:rsidRDefault="00E15B3B" w:rsidP="00E15B3B">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SC9</w:t>
      </w:r>
      <w:r w:rsidRPr="005C7178">
        <w:rPr>
          <w:rFonts w:ascii="Times New Roman" w:eastAsia="MS Mincho" w:hAnsi="Times New Roman" w:cs="Times New Roman"/>
          <w:color w:val="000000"/>
          <w:lang w:val="en-NZ" w:eastAsia="en-NZ"/>
        </w:rPr>
        <w:t>-</w:t>
      </w:r>
      <w:r>
        <w:rPr>
          <w:rFonts w:ascii="Times New Roman" w:eastAsia="MS Mincho" w:hAnsi="Times New Roman" w:cs="Times New Roman"/>
          <w:color w:val="000000"/>
          <w:lang w:val="en-NZ" w:eastAsia="en-NZ"/>
        </w:rPr>
        <w:t xml:space="preserve">SA-WP-01 </w:t>
      </w:r>
      <w:r w:rsidRPr="00E15B3B">
        <w:rPr>
          <w:rFonts w:cs="Arial"/>
          <w:lang w:val="en"/>
        </w:rPr>
        <w:t>Stock assessment of swordfish (</w:t>
      </w:r>
      <w:proofErr w:type="spellStart"/>
      <w:r w:rsidRPr="00E15B3B">
        <w:rPr>
          <w:rFonts w:cs="Arial"/>
          <w:lang w:val="en"/>
        </w:rPr>
        <w:t>Xiphias</w:t>
      </w:r>
      <w:proofErr w:type="spellEnd"/>
      <w:r w:rsidRPr="00E15B3B">
        <w:rPr>
          <w:rFonts w:cs="Arial"/>
          <w:lang w:val="en"/>
        </w:rPr>
        <w:t xml:space="preserve"> gladius) in the southwest Pacific Ocean</w:t>
      </w:r>
      <w:r>
        <w:rPr>
          <w:rFonts w:cs="Arial"/>
          <w:lang w:val="en"/>
        </w:rPr>
        <w:t xml:space="preserve">. </w:t>
      </w:r>
      <w:r w:rsidRPr="00E15B3B">
        <w:rPr>
          <w:rFonts w:cs="Arial"/>
          <w:lang w:val="en"/>
        </w:rPr>
        <w:t>Davies, N., G. Pilling, S. Harley, and J. Hampton</w:t>
      </w:r>
      <w:r>
        <w:rPr>
          <w:rFonts w:cs="Arial"/>
          <w:lang w:val="en"/>
        </w:rPr>
        <w:t>. (SPC-OFP)</w:t>
      </w:r>
    </w:p>
    <w:p w:rsidR="00E15B3B" w:rsidRDefault="00271913" w:rsidP="005C7178">
      <w:pPr>
        <w:autoSpaceDE w:val="0"/>
        <w:autoSpaceDN w:val="0"/>
        <w:adjustRightInd w:val="0"/>
        <w:snapToGrid w:val="0"/>
        <w:spacing w:after="0" w:line="240" w:lineRule="auto"/>
        <w:jc w:val="both"/>
        <w:rPr>
          <w:rFonts w:ascii="Times New Roman" w:hAnsi="Times New Roman"/>
          <w:b/>
          <w:lang w:val="en-AU"/>
        </w:rPr>
      </w:pPr>
      <w:hyperlink r:id="rId20" w:history="1">
        <w:r w:rsidR="00E15B3B" w:rsidRPr="00F208E4">
          <w:rPr>
            <w:rStyle w:val="Hyperlink"/>
          </w:rPr>
          <w:t>https://www.wcpfc.int/node/3683</w:t>
        </w:r>
      </w:hyperlink>
      <w:r w:rsidR="00E15B3B">
        <w:t xml:space="preserve"> </w:t>
      </w:r>
    </w:p>
    <w:p w:rsidR="00E15B3B" w:rsidRDefault="00E15B3B" w:rsidP="005C7178">
      <w:pPr>
        <w:autoSpaceDE w:val="0"/>
        <w:autoSpaceDN w:val="0"/>
        <w:adjustRightInd w:val="0"/>
        <w:snapToGrid w:val="0"/>
        <w:spacing w:after="0" w:line="240" w:lineRule="auto"/>
        <w:jc w:val="both"/>
        <w:rPr>
          <w:rFonts w:ascii="Times New Roman" w:hAnsi="Times New Roman"/>
          <w:b/>
          <w:lang w:val="en-AU"/>
        </w:rPr>
      </w:pPr>
    </w:p>
    <w:p w:rsidR="00FC5EB1" w:rsidRDefault="00FC5EB1" w:rsidP="00FC5EB1">
      <w:pPr>
        <w:pStyle w:val="Heading1"/>
        <w:rPr>
          <w:rFonts w:eastAsia="MS Mincho"/>
          <w:lang w:val="en-NZ" w:eastAsia="en-NZ"/>
        </w:rPr>
      </w:pPr>
      <w:bookmarkStart w:id="3" w:name="_Toc514854656"/>
      <w:r>
        <w:rPr>
          <w:rFonts w:eastAsia="MS Mincho"/>
          <w:lang w:val="en-NZ" w:eastAsia="en-NZ"/>
        </w:rPr>
        <w:lastRenderedPageBreak/>
        <w:t>Previous Assessments</w:t>
      </w:r>
      <w:bookmarkEnd w:id="3"/>
    </w:p>
    <w:p w:rsidR="005C7178" w:rsidRDefault="005C7178"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FC5EB1" w:rsidRDefault="00FC5EB1" w:rsidP="005C7178">
      <w:pPr>
        <w:autoSpaceDE w:val="0"/>
        <w:autoSpaceDN w:val="0"/>
        <w:adjustRightInd w:val="0"/>
        <w:snapToGrid w:val="0"/>
        <w:spacing w:after="0" w:line="240" w:lineRule="auto"/>
        <w:jc w:val="both"/>
        <w:rPr>
          <w:rFonts w:cs="Arial"/>
          <w:lang w:val="en"/>
        </w:rPr>
      </w:pPr>
      <w:r>
        <w:rPr>
          <w:rFonts w:ascii="Times New Roman" w:eastAsia="MS Mincho" w:hAnsi="Times New Roman" w:cs="Times New Roman"/>
          <w:color w:val="000000"/>
          <w:lang w:val="en-NZ" w:eastAsia="en-NZ"/>
        </w:rPr>
        <w:t xml:space="preserve">SC9-SA-WP-05 </w:t>
      </w:r>
      <w:r>
        <w:rPr>
          <w:rFonts w:cs="Arial"/>
          <w:lang w:val="en"/>
        </w:rPr>
        <w:t>Stock assessment of swordfish (</w:t>
      </w:r>
      <w:proofErr w:type="spellStart"/>
      <w:r>
        <w:rPr>
          <w:rFonts w:cs="Arial"/>
          <w:lang w:val="en"/>
        </w:rPr>
        <w:t>Xiphias</w:t>
      </w:r>
      <w:proofErr w:type="spellEnd"/>
      <w:r>
        <w:rPr>
          <w:rFonts w:cs="Arial"/>
          <w:lang w:val="en"/>
        </w:rPr>
        <w:t xml:space="preserve"> gladius) in the southwest Pacific Ocean. </w:t>
      </w:r>
      <w:hyperlink r:id="rId21" w:history="1">
        <w:r w:rsidRPr="0002310F">
          <w:rPr>
            <w:rStyle w:val="Hyperlink"/>
            <w:rFonts w:cs="Arial"/>
            <w:lang w:val="en"/>
          </w:rPr>
          <w:t>https://wcpfc.int/node/3683</w:t>
        </w:r>
      </w:hyperlink>
      <w:r>
        <w:rPr>
          <w:rFonts w:cs="Arial"/>
          <w:lang w:val="en"/>
        </w:rPr>
        <w:t xml:space="preserve"> </w:t>
      </w:r>
    </w:p>
    <w:p w:rsidR="00654B42" w:rsidRDefault="00654B42"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654B42" w:rsidRDefault="00654B42"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 xml:space="preserve">SC4-SA-WP-06 </w:t>
      </w:r>
      <w:proofErr w:type="spellStart"/>
      <w:r w:rsidRPr="00654B42">
        <w:rPr>
          <w:rFonts w:ascii="Times New Roman" w:eastAsia="MS Mincho" w:hAnsi="Times New Roman" w:cs="Times New Roman"/>
          <w:color w:val="000000"/>
          <w:lang w:val="en-NZ" w:eastAsia="en-NZ"/>
        </w:rPr>
        <w:t>Multifan</w:t>
      </w:r>
      <w:proofErr w:type="spellEnd"/>
      <w:r w:rsidRPr="00654B42">
        <w:rPr>
          <w:rFonts w:ascii="Times New Roman" w:eastAsia="MS Mincho" w:hAnsi="Times New Roman" w:cs="Times New Roman"/>
          <w:color w:val="000000"/>
          <w:lang w:val="en-NZ" w:eastAsia="en-NZ"/>
        </w:rPr>
        <w:t>-CL Stock Assessment of Southern Western-Central Pacific Swordfish 1952-2007.</w:t>
      </w:r>
      <w:r>
        <w:rPr>
          <w:rFonts w:ascii="Times New Roman" w:eastAsia="MS Mincho" w:hAnsi="Times New Roman" w:cs="Times New Roman"/>
          <w:color w:val="000000"/>
          <w:lang w:val="en-NZ" w:eastAsia="en-NZ"/>
        </w:rPr>
        <w:t xml:space="preserve"> </w:t>
      </w:r>
      <w:hyperlink r:id="rId22" w:history="1">
        <w:r w:rsidRPr="001641FD">
          <w:rPr>
            <w:rStyle w:val="Hyperlink"/>
            <w:rFonts w:ascii="Times New Roman" w:eastAsia="MS Mincho" w:hAnsi="Times New Roman" w:cs="Times New Roman"/>
            <w:lang w:val="en-NZ" w:eastAsia="en-NZ"/>
          </w:rPr>
          <w:t>https://wcpfc.int/node/1223</w:t>
        </w:r>
      </w:hyperlink>
      <w:r>
        <w:rPr>
          <w:rFonts w:ascii="Times New Roman" w:eastAsia="MS Mincho" w:hAnsi="Times New Roman" w:cs="Times New Roman"/>
          <w:color w:val="000000"/>
          <w:lang w:val="en-NZ" w:eastAsia="en-NZ"/>
        </w:rPr>
        <w:t xml:space="preserve"> </w:t>
      </w:r>
    </w:p>
    <w:p w:rsidR="00310A4B" w:rsidRDefault="00310A4B"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310A4B" w:rsidRDefault="00310A4B"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 xml:space="preserve">SC2-SA-WP-07 </w:t>
      </w:r>
      <w:r w:rsidR="00106AD8" w:rsidRPr="00106AD8">
        <w:rPr>
          <w:rFonts w:ascii="Times New Roman" w:eastAsia="MS Mincho" w:hAnsi="Times New Roman" w:cs="Times New Roman"/>
          <w:color w:val="000000"/>
          <w:lang w:val="en-NZ" w:eastAsia="en-NZ"/>
        </w:rPr>
        <w:t>SW Pacific Swordfish Stock Status Summary from multiple assessment models.</w:t>
      </w:r>
      <w:r w:rsidR="00106AD8">
        <w:rPr>
          <w:rFonts w:ascii="Times New Roman" w:eastAsia="MS Mincho" w:hAnsi="Times New Roman" w:cs="Times New Roman"/>
          <w:color w:val="000000"/>
          <w:lang w:val="en-NZ" w:eastAsia="en-NZ"/>
        </w:rPr>
        <w:t xml:space="preserve"> </w:t>
      </w:r>
      <w:hyperlink r:id="rId23" w:history="1">
        <w:r w:rsidR="00C31081" w:rsidRPr="004270C0">
          <w:rPr>
            <w:rStyle w:val="Hyperlink"/>
            <w:rFonts w:ascii="Times New Roman" w:eastAsia="MS Mincho" w:hAnsi="Times New Roman" w:cs="Times New Roman"/>
            <w:lang w:val="en-NZ" w:eastAsia="en-NZ"/>
          </w:rPr>
          <w:t>https://wcpfc.int/node/1752</w:t>
        </w:r>
      </w:hyperlink>
      <w:r w:rsidR="00C31081">
        <w:rPr>
          <w:rFonts w:ascii="Times New Roman" w:eastAsia="MS Mincho" w:hAnsi="Times New Roman" w:cs="Times New Roman"/>
          <w:color w:val="000000"/>
          <w:lang w:val="en-NZ" w:eastAsia="en-NZ"/>
        </w:rPr>
        <w:t xml:space="preserve"> </w:t>
      </w:r>
    </w:p>
    <w:p w:rsidR="00AB0794" w:rsidRDefault="00AB0794"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AB0794" w:rsidRDefault="00AB0794"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Pr>
          <w:rFonts w:ascii="Times New Roman" w:eastAsia="MS Mincho" w:hAnsi="Times New Roman" w:cs="Times New Roman"/>
          <w:color w:val="000000"/>
          <w:lang w:val="en-NZ" w:eastAsia="en-NZ"/>
        </w:rPr>
        <w:t xml:space="preserve">SC1-SA-WP-07 </w:t>
      </w:r>
      <w:r w:rsidRPr="00AB0794">
        <w:rPr>
          <w:rFonts w:ascii="Times New Roman" w:eastAsia="MS Mincho" w:hAnsi="Times New Roman" w:cs="Times New Roman"/>
          <w:color w:val="000000"/>
          <w:lang w:val="en-NZ" w:eastAsia="en-NZ"/>
        </w:rPr>
        <w:t>Southwest Pacific swordfish assessment: 2005-6 objectives and preliminary results.</w:t>
      </w:r>
      <w:r>
        <w:rPr>
          <w:rFonts w:ascii="Times New Roman" w:eastAsia="MS Mincho" w:hAnsi="Times New Roman" w:cs="Times New Roman"/>
          <w:color w:val="000000"/>
          <w:lang w:val="en-NZ" w:eastAsia="en-NZ"/>
        </w:rPr>
        <w:t xml:space="preserve"> </w:t>
      </w:r>
      <w:hyperlink r:id="rId24" w:history="1">
        <w:r w:rsidRPr="005A363C">
          <w:rPr>
            <w:rStyle w:val="Hyperlink"/>
            <w:rFonts w:ascii="Times New Roman" w:eastAsia="MS Mincho" w:hAnsi="Times New Roman" w:cs="Times New Roman"/>
            <w:lang w:val="en-NZ" w:eastAsia="en-NZ"/>
          </w:rPr>
          <w:t>https://wcpfc.int/node/1891</w:t>
        </w:r>
      </w:hyperlink>
      <w:r>
        <w:rPr>
          <w:rFonts w:ascii="Times New Roman" w:eastAsia="MS Mincho" w:hAnsi="Times New Roman" w:cs="Times New Roman"/>
          <w:color w:val="000000"/>
          <w:lang w:val="en-NZ" w:eastAsia="en-NZ"/>
        </w:rPr>
        <w:t xml:space="preserve"> </w:t>
      </w:r>
      <w:bookmarkStart w:id="4" w:name="_GoBack"/>
      <w:bookmarkEnd w:id="4"/>
    </w:p>
    <w:p w:rsidR="00C31081" w:rsidRDefault="00C31081"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rsidR="00C31081" w:rsidRPr="005C7178" w:rsidRDefault="00C31081" w:rsidP="005C7178">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sectPr w:rsidR="00C31081" w:rsidRPr="005C7178" w:rsidSect="00400113">
      <w:footerReference w:type="default" r:id="rId25"/>
      <w:pgSz w:w="12240" w:h="15840"/>
      <w:pgMar w:top="1440" w:right="1440" w:bottom="1440" w:left="1440" w:header="0" w:footer="101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913" w:rsidRDefault="00271913" w:rsidP="005C2B8D">
      <w:pPr>
        <w:spacing w:after="0" w:line="240" w:lineRule="auto"/>
      </w:pPr>
      <w:r>
        <w:separator/>
      </w:r>
    </w:p>
  </w:endnote>
  <w:endnote w:type="continuationSeparator" w:id="0">
    <w:p w:rsidR="00271913" w:rsidRDefault="00271913"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PMincho">
    <w:altName w:val="MS Gothic"/>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353592"/>
      <w:docPartObj>
        <w:docPartGallery w:val="Page Numbers (Bottom of Page)"/>
        <w:docPartUnique/>
      </w:docPartObj>
    </w:sdtPr>
    <w:sdtEndPr>
      <w:rPr>
        <w:noProof/>
      </w:rPr>
    </w:sdtEndPr>
    <w:sdtContent>
      <w:p w:rsidR="00550074" w:rsidRDefault="00550074">
        <w:pPr>
          <w:pStyle w:val="Footer"/>
          <w:jc w:val="center"/>
        </w:pPr>
        <w:r>
          <w:fldChar w:fldCharType="begin"/>
        </w:r>
        <w:r>
          <w:instrText xml:space="preserve"> PAGE   \* MERGEFORMAT </w:instrText>
        </w:r>
        <w:r>
          <w:fldChar w:fldCharType="separate"/>
        </w:r>
        <w:r w:rsidR="00B50E07">
          <w:rPr>
            <w:noProof/>
          </w:rPr>
          <w:t>12</w:t>
        </w:r>
        <w:r>
          <w:rPr>
            <w:noProof/>
          </w:rPr>
          <w:fldChar w:fldCharType="end"/>
        </w:r>
      </w:p>
    </w:sdtContent>
  </w:sdt>
  <w:p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913" w:rsidRDefault="00271913" w:rsidP="005C2B8D">
      <w:pPr>
        <w:spacing w:after="0" w:line="240" w:lineRule="auto"/>
      </w:pPr>
      <w:r>
        <w:separator/>
      </w:r>
    </w:p>
  </w:footnote>
  <w:footnote w:type="continuationSeparator" w:id="0">
    <w:p w:rsidR="00271913" w:rsidRDefault="00271913"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709250E"/>
    <w:multiLevelType w:val="hybridMultilevel"/>
    <w:tmpl w:val="83B887D2"/>
    <w:lvl w:ilvl="0" w:tplc="C82E05D8">
      <w:start w:val="427"/>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4844032"/>
    <w:multiLevelType w:val="hybridMultilevel"/>
    <w:tmpl w:val="38547C34"/>
    <w:lvl w:ilvl="0" w:tplc="1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9" w15:restartNumberingAfterBreak="0">
    <w:nsid w:val="779615A1"/>
    <w:multiLevelType w:val="hybridMultilevel"/>
    <w:tmpl w:val="11CE7A62"/>
    <w:lvl w:ilvl="0" w:tplc="BC2423B4">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0"/>
  </w:num>
  <w:num w:numId="6">
    <w:abstractNumId w:val="2"/>
    <w:lvlOverride w:ilvl="0">
      <w:startOverride w:val="393"/>
    </w:lvlOverride>
  </w:num>
  <w:num w:numId="7">
    <w:abstractNumId w:val="5"/>
  </w:num>
  <w:num w:numId="8">
    <w:abstractNumId w:val="7"/>
  </w:num>
  <w:num w:numId="9">
    <w:abstractNumId w:val="8"/>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661B4"/>
    <w:rsid w:val="00106AD8"/>
    <w:rsid w:val="00271913"/>
    <w:rsid w:val="002D086C"/>
    <w:rsid w:val="003060E3"/>
    <w:rsid w:val="00310A4B"/>
    <w:rsid w:val="00335F8E"/>
    <w:rsid w:val="0038238E"/>
    <w:rsid w:val="00390CC3"/>
    <w:rsid w:val="003F50D6"/>
    <w:rsid w:val="00400113"/>
    <w:rsid w:val="00416473"/>
    <w:rsid w:val="00487880"/>
    <w:rsid w:val="004B05DF"/>
    <w:rsid w:val="004B2C1D"/>
    <w:rsid w:val="004C0F6A"/>
    <w:rsid w:val="004C1EE5"/>
    <w:rsid w:val="004C4F3D"/>
    <w:rsid w:val="004F5329"/>
    <w:rsid w:val="005374AB"/>
    <w:rsid w:val="00550074"/>
    <w:rsid w:val="005A5AA1"/>
    <w:rsid w:val="005B1A1E"/>
    <w:rsid w:val="005B3B5D"/>
    <w:rsid w:val="005C2B8D"/>
    <w:rsid w:val="005C7178"/>
    <w:rsid w:val="00632E02"/>
    <w:rsid w:val="006515DB"/>
    <w:rsid w:val="00654B42"/>
    <w:rsid w:val="006A51C4"/>
    <w:rsid w:val="006F1084"/>
    <w:rsid w:val="00705049"/>
    <w:rsid w:val="0073054D"/>
    <w:rsid w:val="007766EA"/>
    <w:rsid w:val="007B6CCE"/>
    <w:rsid w:val="007F084A"/>
    <w:rsid w:val="007F71A5"/>
    <w:rsid w:val="00867480"/>
    <w:rsid w:val="009C1672"/>
    <w:rsid w:val="00AB0794"/>
    <w:rsid w:val="00AC71A5"/>
    <w:rsid w:val="00B50E07"/>
    <w:rsid w:val="00BD56FE"/>
    <w:rsid w:val="00C01084"/>
    <w:rsid w:val="00C31081"/>
    <w:rsid w:val="00C64AF4"/>
    <w:rsid w:val="00CC3DC6"/>
    <w:rsid w:val="00CC59BE"/>
    <w:rsid w:val="00CF0B93"/>
    <w:rsid w:val="00D4373F"/>
    <w:rsid w:val="00DC1CE4"/>
    <w:rsid w:val="00DC50D2"/>
    <w:rsid w:val="00E10994"/>
    <w:rsid w:val="00E15B3B"/>
    <w:rsid w:val="00F528D9"/>
    <w:rsid w:val="00F535CC"/>
    <w:rsid w:val="00FB657D"/>
    <w:rsid w:val="00FC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E70BF"/>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4B05DF"/>
    <w:pPr>
      <w:spacing w:after="100"/>
    </w:p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3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
    <w:basedOn w:val="Normal"/>
    <w:link w:val="ListParagraphChar"/>
    <w:uiPriority w:val="34"/>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
    <w:link w:val="ListParagraph"/>
    <w:uiPriority w:val="34"/>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semiHidden/>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styleId="CommentText">
    <w:name w:val="annotation text"/>
    <w:basedOn w:val="Normal"/>
    <w:link w:val="CommentTextChar"/>
    <w:uiPriority w:val="99"/>
    <w:unhideWhenUsed/>
    <w:rsid w:val="004F5329"/>
    <w:pPr>
      <w:spacing w:after="240" w:line="240" w:lineRule="auto"/>
      <w:jc w:val="both"/>
    </w:pPr>
    <w:rPr>
      <w:rFonts w:ascii="Calibri" w:eastAsiaTheme="minorEastAsia" w:hAnsi="Calibri" w:cs="Times New Roman"/>
      <w:sz w:val="20"/>
      <w:szCs w:val="20"/>
      <w:lang w:val="en-NZ"/>
    </w:rPr>
  </w:style>
  <w:style w:type="character" w:customStyle="1" w:styleId="CommentTextChar">
    <w:name w:val="Comment Text Char"/>
    <w:basedOn w:val="DefaultParagraphFont"/>
    <w:link w:val="CommentText"/>
    <w:uiPriority w:val="99"/>
    <w:rsid w:val="004F5329"/>
    <w:rPr>
      <w:rFonts w:ascii="Calibri" w:eastAsiaTheme="minorEastAsia" w:hAnsi="Calibri" w:cs="Times New Roman"/>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www.wcpfc.int/node/2952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cpfc.int/node/3683"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wcpfc.int/node/3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cpfc.int/node/1891"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cpfc.int/node/1752" TargetMode="External"/><Relationship Id="rId10" Type="http://schemas.openxmlformats.org/officeDocument/2006/relationships/image" Target="media/image3.png"/><Relationship Id="rId19" Type="http://schemas.openxmlformats.org/officeDocument/2006/relationships/hyperlink" Target="https://www.wcpfc.int/node/274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cpfc.int/node/122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B02F3-6310-4BB9-9312-5C92F974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Anthony J. Beeching</cp:lastModifiedBy>
  <cp:revision>15</cp:revision>
  <cp:lastPrinted>2018-05-22T03:28:00Z</cp:lastPrinted>
  <dcterms:created xsi:type="dcterms:W3CDTF">2017-10-31T21:26:00Z</dcterms:created>
  <dcterms:modified xsi:type="dcterms:W3CDTF">2018-05-24T00:55:00Z</dcterms:modified>
</cp:coreProperties>
</file>