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33E8"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030A0AF9"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3353B512"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r w:rsidRPr="00E46F60">
        <w:rPr>
          <w:rFonts w:ascii="Times New Roman" w:hAnsi="Times New Roman" w:cs="Times New Roman"/>
          <w:noProof/>
          <w:lang w:eastAsia="zh-CN" w:bidi="mn-Mong-CN"/>
        </w:rPr>
        <w:drawing>
          <wp:inline distT="0" distB="0" distL="0" distR="0" wp14:anchorId="55480609" wp14:editId="471C7BEF">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2D563960"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5FE3ED71" w14:textId="77777777" w:rsidR="00E46F60" w:rsidRPr="00E46F60" w:rsidRDefault="00E46F60" w:rsidP="00565FAA">
      <w:pPr>
        <w:autoSpaceDE w:val="0"/>
        <w:autoSpaceDN w:val="0"/>
        <w:adjustRightInd w:val="0"/>
        <w:snapToGrid w:val="0"/>
        <w:spacing w:after="0" w:line="240" w:lineRule="auto"/>
        <w:jc w:val="center"/>
        <w:rPr>
          <w:rFonts w:ascii="Times New Roman" w:hAnsi="Times New Roman" w:cs="Times New Roman"/>
          <w:b/>
          <w:bCs/>
          <w:lang w:val="en-AU" w:eastAsia="en-NZ"/>
        </w:rPr>
      </w:pPr>
    </w:p>
    <w:p w14:paraId="4618F286"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r w:rsidRPr="00E46F60">
        <w:rPr>
          <w:rFonts w:ascii="Times New Roman" w:hAnsi="Times New Roman" w:cs="Times New Roman"/>
          <w:b/>
          <w:lang w:val="en-NZ"/>
        </w:rPr>
        <w:t xml:space="preserve">The Commission for the Conservation and Management of </w:t>
      </w:r>
    </w:p>
    <w:p w14:paraId="461CDCCA"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r w:rsidRPr="00E46F60">
        <w:rPr>
          <w:rFonts w:ascii="Times New Roman" w:hAnsi="Times New Roman" w:cs="Times New Roman"/>
          <w:b/>
          <w:lang w:val="en-NZ"/>
        </w:rPr>
        <w:t xml:space="preserve">Highly Migratory Fish Stocks in the Western and Central Pacific Ocean </w:t>
      </w:r>
    </w:p>
    <w:p w14:paraId="5C4F109E"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603D5211"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2B8239C2"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3DEE8A50" w14:textId="77777777" w:rsidR="00E46F60" w:rsidRPr="00E46F60" w:rsidRDefault="00E46F60" w:rsidP="00565FAA">
      <w:pPr>
        <w:adjustRightInd w:val="0"/>
        <w:snapToGrid w:val="0"/>
        <w:spacing w:after="0" w:line="240" w:lineRule="auto"/>
        <w:jc w:val="center"/>
        <w:rPr>
          <w:rFonts w:ascii="Times New Roman" w:hAnsi="Times New Roman" w:cs="Times New Roman"/>
          <w:b/>
          <w:caps/>
          <w:lang w:val="en-NZ"/>
        </w:rPr>
      </w:pPr>
      <w:r w:rsidRPr="00E46F60">
        <w:rPr>
          <w:rFonts w:ascii="Times New Roman" w:hAnsi="Times New Roman" w:cs="Times New Roman"/>
          <w:b/>
          <w:caps/>
          <w:lang w:val="en-NZ"/>
        </w:rPr>
        <w:t>Scientific Committee</w:t>
      </w:r>
    </w:p>
    <w:p w14:paraId="033CF9CE" w14:textId="77777777" w:rsidR="00E46F60" w:rsidRPr="00E46F60" w:rsidRDefault="00E46F60" w:rsidP="00565FAA">
      <w:pPr>
        <w:adjustRightInd w:val="0"/>
        <w:snapToGrid w:val="0"/>
        <w:spacing w:after="0" w:line="240" w:lineRule="auto"/>
        <w:jc w:val="center"/>
        <w:rPr>
          <w:rFonts w:ascii="Times New Roman" w:hAnsi="Times New Roman" w:cs="Times New Roman"/>
          <w:b/>
          <w:lang w:val="en-NZ"/>
        </w:rPr>
      </w:pPr>
    </w:p>
    <w:p w14:paraId="74CCD57F" w14:textId="77777777" w:rsidR="00E46F60" w:rsidRPr="00E46F60" w:rsidRDefault="00E46F60" w:rsidP="00565FAA">
      <w:pPr>
        <w:adjustRightInd w:val="0"/>
        <w:snapToGrid w:val="0"/>
        <w:spacing w:after="0" w:line="240" w:lineRule="auto"/>
        <w:jc w:val="center"/>
        <w:rPr>
          <w:rFonts w:ascii="Times New Roman" w:hAnsi="Times New Roman" w:cs="Times New Roman"/>
          <w:b/>
          <w:sz w:val="36"/>
          <w:szCs w:val="36"/>
        </w:rPr>
      </w:pPr>
    </w:p>
    <w:p w14:paraId="097C5F2F" w14:textId="5A9DE57A" w:rsidR="004B05DF" w:rsidRPr="00E46F60" w:rsidRDefault="004D1F0E" w:rsidP="00565FAA">
      <w:pPr>
        <w:adjustRightInd w:val="0"/>
        <w:snapToGrid w:val="0"/>
        <w:spacing w:after="0" w:line="240" w:lineRule="auto"/>
        <w:jc w:val="center"/>
        <w:rPr>
          <w:rFonts w:ascii="Times New Roman" w:hAnsi="Times New Roman" w:cs="Times New Roman"/>
          <w:b/>
          <w:caps/>
          <w:sz w:val="28"/>
          <w:szCs w:val="28"/>
        </w:rPr>
      </w:pPr>
      <w:r w:rsidRPr="00E46F60">
        <w:rPr>
          <w:rFonts w:ascii="Times New Roman" w:hAnsi="Times New Roman" w:cs="Times New Roman"/>
          <w:b/>
          <w:caps/>
          <w:sz w:val="28"/>
          <w:szCs w:val="28"/>
        </w:rPr>
        <w:t>North</w:t>
      </w:r>
      <w:r w:rsidR="00400113" w:rsidRPr="00E46F60">
        <w:rPr>
          <w:rFonts w:ascii="Times New Roman" w:hAnsi="Times New Roman" w:cs="Times New Roman"/>
          <w:b/>
          <w:caps/>
          <w:sz w:val="28"/>
          <w:szCs w:val="28"/>
        </w:rPr>
        <w:t xml:space="preserve"> </w:t>
      </w:r>
      <w:r w:rsidR="003F50D6" w:rsidRPr="00E46F60">
        <w:rPr>
          <w:rFonts w:ascii="Times New Roman" w:hAnsi="Times New Roman" w:cs="Times New Roman"/>
          <w:b/>
          <w:caps/>
          <w:sz w:val="28"/>
          <w:szCs w:val="28"/>
        </w:rPr>
        <w:t xml:space="preserve">Pacific </w:t>
      </w:r>
      <w:r w:rsidR="00400113" w:rsidRPr="00E46F60">
        <w:rPr>
          <w:rFonts w:ascii="Times New Roman" w:hAnsi="Times New Roman" w:cs="Times New Roman"/>
          <w:b/>
          <w:caps/>
          <w:sz w:val="28"/>
          <w:szCs w:val="28"/>
        </w:rPr>
        <w:t>S</w:t>
      </w:r>
      <w:r w:rsidR="007A432D" w:rsidRPr="00E46F60">
        <w:rPr>
          <w:rFonts w:ascii="Times New Roman" w:hAnsi="Times New Roman" w:cs="Times New Roman"/>
          <w:b/>
          <w:caps/>
          <w:sz w:val="28"/>
          <w:szCs w:val="28"/>
        </w:rPr>
        <w:t xml:space="preserve">triped Marlin </w:t>
      </w:r>
      <w:r w:rsidR="004B05DF" w:rsidRPr="00E46F60">
        <w:rPr>
          <w:rFonts w:ascii="Times New Roman" w:hAnsi="Times New Roman" w:cs="Times New Roman"/>
          <w:b/>
          <w:caps/>
          <w:sz w:val="28"/>
          <w:szCs w:val="28"/>
        </w:rPr>
        <w:t>(</w:t>
      </w:r>
      <w:r w:rsidR="00E46F60" w:rsidRPr="00E46F60">
        <w:rPr>
          <w:rFonts w:ascii="Times New Roman" w:hAnsi="Times New Roman" w:cs="Times New Roman"/>
          <w:b/>
          <w:i/>
          <w:iCs/>
          <w:sz w:val="28"/>
          <w:szCs w:val="28"/>
        </w:rPr>
        <w:t>Kajikia audax</w:t>
      </w:r>
      <w:r w:rsidR="007A432D" w:rsidRPr="00E46F60">
        <w:rPr>
          <w:rFonts w:ascii="Times New Roman" w:hAnsi="Times New Roman" w:cs="Times New Roman"/>
          <w:b/>
          <w:caps/>
          <w:sz w:val="28"/>
          <w:szCs w:val="28"/>
        </w:rPr>
        <w:t>)</w:t>
      </w:r>
    </w:p>
    <w:p w14:paraId="299D24DE" w14:textId="77777777" w:rsidR="00E46F60" w:rsidRPr="00E46F60" w:rsidRDefault="00E46F60" w:rsidP="00565FAA">
      <w:pPr>
        <w:adjustRightInd w:val="0"/>
        <w:snapToGrid w:val="0"/>
        <w:spacing w:after="0" w:line="240" w:lineRule="auto"/>
        <w:jc w:val="center"/>
        <w:rPr>
          <w:rFonts w:ascii="Times New Roman" w:hAnsi="Times New Roman" w:cs="Times New Roman"/>
          <w:b/>
          <w:caps/>
          <w:sz w:val="28"/>
          <w:szCs w:val="28"/>
        </w:rPr>
      </w:pPr>
    </w:p>
    <w:p w14:paraId="035C490C" w14:textId="56AA0903" w:rsidR="004B05DF" w:rsidRPr="00E46F60" w:rsidRDefault="004B05DF" w:rsidP="00565FAA">
      <w:pPr>
        <w:adjustRightInd w:val="0"/>
        <w:snapToGrid w:val="0"/>
        <w:spacing w:after="0" w:line="240" w:lineRule="auto"/>
        <w:jc w:val="center"/>
        <w:rPr>
          <w:rFonts w:ascii="Times New Roman" w:hAnsi="Times New Roman" w:cs="Times New Roman"/>
          <w:bCs/>
          <w:caps/>
        </w:rPr>
      </w:pPr>
      <w:r w:rsidRPr="00E46F60">
        <w:rPr>
          <w:rFonts w:ascii="Times New Roman" w:hAnsi="Times New Roman" w:cs="Times New Roman"/>
          <w:bCs/>
          <w:caps/>
        </w:rPr>
        <w:t xml:space="preserve">Stock Status </w:t>
      </w:r>
      <w:r w:rsidR="00E46F60" w:rsidRPr="00E46F60">
        <w:rPr>
          <w:rFonts w:ascii="Times New Roman" w:hAnsi="Times New Roman" w:cs="Times New Roman"/>
          <w:bCs/>
          <w:caps/>
        </w:rPr>
        <w:t xml:space="preserve">AND </w:t>
      </w:r>
      <w:r w:rsidRPr="00E46F60">
        <w:rPr>
          <w:rFonts w:ascii="Times New Roman" w:hAnsi="Times New Roman" w:cs="Times New Roman"/>
          <w:bCs/>
          <w:caps/>
        </w:rPr>
        <w:t>Management Advice</w:t>
      </w:r>
    </w:p>
    <w:p w14:paraId="54288E42" w14:textId="32E64F79"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8839219" w14:textId="7A88AB4F"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6820FAEB" w14:textId="54470813"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40DA0A9" w14:textId="59D9527A"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013DFF6C" w14:textId="427C7154"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3B148BF8" w14:textId="1E4A6FFA"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28B69D38" w14:textId="00BA2731"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007E3EF9" w14:textId="06428478" w:rsidR="00E46F60" w:rsidRPr="00E46F60" w:rsidRDefault="00E46F60" w:rsidP="00565FAA">
      <w:pPr>
        <w:adjustRightInd w:val="0"/>
        <w:snapToGrid w:val="0"/>
        <w:spacing w:after="0" w:line="240" w:lineRule="auto"/>
        <w:jc w:val="center"/>
        <w:rPr>
          <w:rFonts w:ascii="Times New Roman" w:hAnsi="Times New Roman" w:cs="Times New Roman"/>
          <w:bCs/>
          <w:caps/>
        </w:rPr>
      </w:pPr>
    </w:p>
    <w:p w14:paraId="40E09C70" w14:textId="03DE3FAB" w:rsidR="00E46F60" w:rsidRPr="00E46F60" w:rsidRDefault="00E46F60" w:rsidP="00565FAA">
      <w:pPr>
        <w:adjustRightInd w:val="0"/>
        <w:snapToGrid w:val="0"/>
        <w:spacing w:after="0" w:line="240" w:lineRule="auto"/>
        <w:jc w:val="center"/>
        <w:rPr>
          <w:rFonts w:ascii="Times New Roman" w:hAnsi="Times New Roman" w:cs="Times New Roman"/>
          <w:bCs/>
          <w:caps/>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525D7AA5" w14:textId="77777777" w:rsidR="004B05DF" w:rsidRPr="00E46F60" w:rsidRDefault="004B05DF" w:rsidP="00565FAA">
          <w:pPr>
            <w:pStyle w:val="TOCHeading"/>
            <w:adjustRightInd w:val="0"/>
            <w:snapToGrid w:val="0"/>
            <w:spacing w:before="0" w:after="240" w:line="240" w:lineRule="auto"/>
            <w:rPr>
              <w:rFonts w:ascii="Times New Roman" w:hAnsi="Times New Roman" w:cs="Times New Roman"/>
            </w:rPr>
          </w:pPr>
          <w:r w:rsidRPr="00E46F60">
            <w:rPr>
              <w:rFonts w:ascii="Times New Roman" w:hAnsi="Times New Roman" w:cs="Times New Roman"/>
            </w:rPr>
            <w:t>Contents</w:t>
          </w:r>
        </w:p>
        <w:p w14:paraId="1D9EA871" w14:textId="7BAA898C" w:rsidR="00E46F60" w:rsidRDefault="004B05DF" w:rsidP="00565FAA">
          <w:pPr>
            <w:pStyle w:val="TOC1"/>
            <w:rPr>
              <w:rFonts w:eastAsiaTheme="minorEastAsia"/>
              <w:lang w:eastAsia="ko-KR"/>
            </w:rPr>
          </w:pPr>
          <w:r w:rsidRPr="00E46F60">
            <w:rPr>
              <w:noProof w:val="0"/>
            </w:rPr>
            <w:fldChar w:fldCharType="begin"/>
          </w:r>
          <w:r w:rsidRPr="00E46F60">
            <w:instrText xml:space="preserve"> TOC \o "1-3" \h \z \u </w:instrText>
          </w:r>
          <w:r w:rsidRPr="00E46F60">
            <w:rPr>
              <w:noProof w:val="0"/>
            </w:rPr>
            <w:fldChar w:fldCharType="separate"/>
          </w:r>
          <w:hyperlink w:anchor="_Toc24987576" w:history="1">
            <w:r w:rsidR="00E46F60" w:rsidRPr="004071CC">
              <w:rPr>
                <w:rStyle w:val="Hyperlink"/>
              </w:rPr>
              <w:t>SC15 2019 (STOCK ASSESSMENT CONDUCTED)</w:t>
            </w:r>
            <w:r w:rsidR="00E46F60">
              <w:rPr>
                <w:webHidden/>
              </w:rPr>
              <w:tab/>
            </w:r>
            <w:r w:rsidR="00E46F60">
              <w:rPr>
                <w:webHidden/>
              </w:rPr>
              <w:fldChar w:fldCharType="begin"/>
            </w:r>
            <w:r w:rsidR="00E46F60">
              <w:rPr>
                <w:webHidden/>
              </w:rPr>
              <w:instrText xml:space="preserve"> PAGEREF _Toc24987576 \h </w:instrText>
            </w:r>
            <w:r w:rsidR="00E46F60">
              <w:rPr>
                <w:webHidden/>
              </w:rPr>
            </w:r>
            <w:r w:rsidR="00E46F60">
              <w:rPr>
                <w:webHidden/>
              </w:rPr>
              <w:fldChar w:fldCharType="separate"/>
            </w:r>
            <w:r w:rsidR="00E46F60">
              <w:rPr>
                <w:webHidden/>
              </w:rPr>
              <w:t>2</w:t>
            </w:r>
            <w:r w:rsidR="00E46F60">
              <w:rPr>
                <w:webHidden/>
              </w:rPr>
              <w:fldChar w:fldCharType="end"/>
            </w:r>
          </w:hyperlink>
        </w:p>
        <w:p w14:paraId="6AB0A820" w14:textId="2C893C32" w:rsidR="00E46F60" w:rsidRPr="00565FAA" w:rsidRDefault="00057701" w:rsidP="00565FAA">
          <w:pPr>
            <w:pStyle w:val="TOC1"/>
            <w:rPr>
              <w:rFonts w:eastAsiaTheme="minorEastAsia"/>
              <w:lang w:eastAsia="ko-KR"/>
            </w:rPr>
          </w:pPr>
          <w:hyperlink w:anchor="_Toc24987577" w:history="1">
            <w:r w:rsidR="00E46F60" w:rsidRPr="00565FAA">
              <w:rPr>
                <w:rStyle w:val="Hyperlink"/>
              </w:rPr>
              <w:t>SC14 2018 (NO STOCK ASSESSMENT)</w:t>
            </w:r>
            <w:r w:rsidR="00E46F60" w:rsidRPr="00565FAA">
              <w:rPr>
                <w:webHidden/>
              </w:rPr>
              <w:tab/>
            </w:r>
            <w:r w:rsidR="00E46F60" w:rsidRPr="00565FAA">
              <w:rPr>
                <w:webHidden/>
              </w:rPr>
              <w:fldChar w:fldCharType="begin"/>
            </w:r>
            <w:r w:rsidR="00E46F60" w:rsidRPr="00565FAA">
              <w:rPr>
                <w:webHidden/>
              </w:rPr>
              <w:instrText xml:space="preserve"> PAGEREF _Toc24987577 \h </w:instrText>
            </w:r>
            <w:r w:rsidR="00E46F60" w:rsidRPr="00565FAA">
              <w:rPr>
                <w:webHidden/>
              </w:rPr>
            </w:r>
            <w:r w:rsidR="00E46F60" w:rsidRPr="00565FAA">
              <w:rPr>
                <w:webHidden/>
              </w:rPr>
              <w:fldChar w:fldCharType="separate"/>
            </w:r>
            <w:r w:rsidR="00E46F60" w:rsidRPr="00565FAA">
              <w:rPr>
                <w:webHidden/>
              </w:rPr>
              <w:t>11</w:t>
            </w:r>
            <w:r w:rsidR="00E46F60" w:rsidRPr="00565FAA">
              <w:rPr>
                <w:webHidden/>
              </w:rPr>
              <w:fldChar w:fldCharType="end"/>
            </w:r>
          </w:hyperlink>
        </w:p>
        <w:p w14:paraId="162ED2DB" w14:textId="1DBDB322" w:rsidR="00E46F60" w:rsidRDefault="00057701" w:rsidP="00565FAA">
          <w:pPr>
            <w:pStyle w:val="TOC1"/>
            <w:rPr>
              <w:rFonts w:eastAsiaTheme="minorEastAsia"/>
              <w:lang w:eastAsia="ko-KR"/>
            </w:rPr>
          </w:pPr>
          <w:hyperlink w:anchor="_Toc24987578" w:history="1">
            <w:r w:rsidR="00E46F60" w:rsidRPr="004071CC">
              <w:rPr>
                <w:rStyle w:val="Hyperlink"/>
              </w:rPr>
              <w:t>SC13 2017 (NO STOCK ASSESSMENT)</w:t>
            </w:r>
            <w:r w:rsidR="00E46F60">
              <w:rPr>
                <w:webHidden/>
              </w:rPr>
              <w:tab/>
            </w:r>
            <w:r w:rsidR="00E46F60">
              <w:rPr>
                <w:webHidden/>
              </w:rPr>
              <w:fldChar w:fldCharType="begin"/>
            </w:r>
            <w:r w:rsidR="00E46F60">
              <w:rPr>
                <w:webHidden/>
              </w:rPr>
              <w:instrText xml:space="preserve"> PAGEREF _Toc24987578 \h </w:instrText>
            </w:r>
            <w:r w:rsidR="00E46F60">
              <w:rPr>
                <w:webHidden/>
              </w:rPr>
            </w:r>
            <w:r w:rsidR="00E46F60">
              <w:rPr>
                <w:webHidden/>
              </w:rPr>
              <w:fldChar w:fldCharType="separate"/>
            </w:r>
            <w:r w:rsidR="00E46F60">
              <w:rPr>
                <w:webHidden/>
              </w:rPr>
              <w:t>15</w:t>
            </w:r>
            <w:r w:rsidR="00E46F60">
              <w:rPr>
                <w:webHidden/>
              </w:rPr>
              <w:fldChar w:fldCharType="end"/>
            </w:r>
          </w:hyperlink>
        </w:p>
        <w:p w14:paraId="1D5BDF5F" w14:textId="1E74FE99" w:rsidR="00E46F60" w:rsidRPr="00565FAA" w:rsidRDefault="00057701" w:rsidP="00565FAA">
          <w:pPr>
            <w:pStyle w:val="TOC1"/>
            <w:rPr>
              <w:rFonts w:eastAsiaTheme="minorEastAsia"/>
              <w:lang w:eastAsia="ko-KR"/>
            </w:rPr>
          </w:pPr>
          <w:hyperlink w:anchor="_Toc24987579" w:history="1">
            <w:r w:rsidR="00E46F60" w:rsidRPr="00565FAA">
              <w:rPr>
                <w:rStyle w:val="Hyperlink"/>
              </w:rPr>
              <w:t>Useful References</w:t>
            </w:r>
            <w:r w:rsidR="00E46F60" w:rsidRPr="00565FAA">
              <w:rPr>
                <w:webHidden/>
              </w:rPr>
              <w:tab/>
            </w:r>
            <w:r w:rsidR="00E46F60" w:rsidRPr="00565FAA">
              <w:rPr>
                <w:webHidden/>
              </w:rPr>
              <w:fldChar w:fldCharType="begin"/>
            </w:r>
            <w:r w:rsidR="00E46F60" w:rsidRPr="00565FAA">
              <w:rPr>
                <w:webHidden/>
              </w:rPr>
              <w:instrText xml:space="preserve"> PAGEREF _Toc24987579 \h </w:instrText>
            </w:r>
            <w:r w:rsidR="00E46F60" w:rsidRPr="00565FAA">
              <w:rPr>
                <w:webHidden/>
              </w:rPr>
            </w:r>
            <w:r w:rsidR="00E46F60" w:rsidRPr="00565FAA">
              <w:rPr>
                <w:webHidden/>
              </w:rPr>
              <w:fldChar w:fldCharType="separate"/>
            </w:r>
            <w:r w:rsidR="00E46F60" w:rsidRPr="00565FAA">
              <w:rPr>
                <w:webHidden/>
              </w:rPr>
              <w:t>16</w:t>
            </w:r>
            <w:r w:rsidR="00E46F60" w:rsidRPr="00565FAA">
              <w:rPr>
                <w:webHidden/>
              </w:rPr>
              <w:fldChar w:fldCharType="end"/>
            </w:r>
          </w:hyperlink>
        </w:p>
        <w:p w14:paraId="689501BF" w14:textId="37483804" w:rsidR="00E46F60" w:rsidRPr="00565FAA" w:rsidRDefault="00057701" w:rsidP="00565FAA">
          <w:pPr>
            <w:pStyle w:val="TOC1"/>
            <w:rPr>
              <w:rFonts w:eastAsiaTheme="minorEastAsia"/>
              <w:lang w:eastAsia="ko-KR"/>
            </w:rPr>
          </w:pPr>
          <w:hyperlink w:anchor="_Toc24987580" w:history="1">
            <w:r w:rsidR="00E46F60" w:rsidRPr="00565FAA">
              <w:rPr>
                <w:rStyle w:val="Hyperlink"/>
              </w:rPr>
              <w:t>Previous Assessments</w:t>
            </w:r>
            <w:r w:rsidR="00E46F60" w:rsidRPr="00565FAA">
              <w:rPr>
                <w:webHidden/>
              </w:rPr>
              <w:tab/>
            </w:r>
            <w:r w:rsidR="00E46F60" w:rsidRPr="00565FAA">
              <w:rPr>
                <w:webHidden/>
              </w:rPr>
              <w:fldChar w:fldCharType="begin"/>
            </w:r>
            <w:r w:rsidR="00E46F60" w:rsidRPr="00565FAA">
              <w:rPr>
                <w:webHidden/>
              </w:rPr>
              <w:instrText xml:space="preserve"> PAGEREF _Toc24987580 \h </w:instrText>
            </w:r>
            <w:r w:rsidR="00E46F60" w:rsidRPr="00565FAA">
              <w:rPr>
                <w:webHidden/>
              </w:rPr>
            </w:r>
            <w:r w:rsidR="00E46F60" w:rsidRPr="00565FAA">
              <w:rPr>
                <w:webHidden/>
              </w:rPr>
              <w:fldChar w:fldCharType="separate"/>
            </w:r>
            <w:r w:rsidR="00E46F60" w:rsidRPr="00565FAA">
              <w:rPr>
                <w:webHidden/>
              </w:rPr>
              <w:t>16</w:t>
            </w:r>
            <w:r w:rsidR="00E46F60" w:rsidRPr="00565FAA">
              <w:rPr>
                <w:webHidden/>
              </w:rPr>
              <w:fldChar w:fldCharType="end"/>
            </w:r>
          </w:hyperlink>
        </w:p>
        <w:p w14:paraId="7AC0EE10" w14:textId="3770EC1B" w:rsidR="004B05DF" w:rsidRPr="00E46F60" w:rsidRDefault="004B05DF" w:rsidP="00565FAA">
          <w:pPr>
            <w:adjustRightInd w:val="0"/>
            <w:snapToGrid w:val="0"/>
            <w:spacing w:after="240" w:line="240" w:lineRule="auto"/>
            <w:rPr>
              <w:rFonts w:ascii="Times New Roman" w:hAnsi="Times New Roman" w:cs="Times New Roman"/>
            </w:rPr>
          </w:pPr>
          <w:r w:rsidRPr="00E46F60">
            <w:rPr>
              <w:rFonts w:ascii="Times New Roman" w:hAnsi="Times New Roman" w:cs="Times New Roman"/>
              <w:b/>
              <w:bCs/>
              <w:noProof/>
            </w:rPr>
            <w:fldChar w:fldCharType="end"/>
          </w:r>
        </w:p>
      </w:sdtContent>
    </w:sdt>
    <w:p w14:paraId="577C36C6" w14:textId="77777777" w:rsidR="00E46F60" w:rsidRPr="00E46F60" w:rsidRDefault="00E46F60" w:rsidP="00565FAA">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E46F60">
        <w:rPr>
          <w:rFonts w:ascii="Times New Roman" w:hAnsi="Times New Roman" w:cs="Times New Roman"/>
        </w:rPr>
        <w:br w:type="page"/>
      </w:r>
    </w:p>
    <w:p w14:paraId="4AAADCB5" w14:textId="76E3DC1D" w:rsidR="00E46F60" w:rsidRPr="00F8297B" w:rsidRDefault="00E46F60" w:rsidP="00565FAA">
      <w:pPr>
        <w:pStyle w:val="Heading1"/>
        <w:adjustRightInd w:val="0"/>
        <w:snapToGrid w:val="0"/>
        <w:spacing w:before="0" w:line="240" w:lineRule="auto"/>
        <w:rPr>
          <w:rFonts w:ascii="Times New Roman" w:hAnsi="Times New Roman" w:cs="Times New Roman"/>
          <w:b/>
          <w:bCs/>
          <w:sz w:val="28"/>
          <w:szCs w:val="28"/>
        </w:rPr>
      </w:pPr>
      <w:bookmarkStart w:id="0" w:name="_Toc24987576"/>
      <w:r w:rsidRPr="00F8297B">
        <w:rPr>
          <w:rFonts w:ascii="Times New Roman" w:hAnsi="Times New Roman" w:cs="Times New Roman"/>
          <w:b/>
          <w:bCs/>
          <w:sz w:val="28"/>
          <w:szCs w:val="28"/>
        </w:rPr>
        <w:lastRenderedPageBreak/>
        <w:t>SC15 2019 (STOCK ASSESSMENT CONDUCTED)</w:t>
      </w:r>
      <w:bookmarkEnd w:id="0"/>
    </w:p>
    <w:p w14:paraId="1E8036E1" w14:textId="37C61068" w:rsidR="00E46F60" w:rsidRPr="00E46F60" w:rsidRDefault="00E46F60" w:rsidP="00565FAA">
      <w:pPr>
        <w:adjustRightInd w:val="0"/>
        <w:snapToGrid w:val="0"/>
        <w:spacing w:after="0" w:line="240" w:lineRule="auto"/>
        <w:rPr>
          <w:rFonts w:ascii="Times New Roman" w:hAnsi="Times New Roman" w:cs="Times New Roman"/>
        </w:rPr>
      </w:pPr>
    </w:p>
    <w:p w14:paraId="6AE73247" w14:textId="77777777" w:rsidR="00E46F60" w:rsidRPr="00E46F60" w:rsidRDefault="00E46F60" w:rsidP="00565FAA">
      <w:pPr>
        <w:pStyle w:val="ListParagraph"/>
        <w:numPr>
          <w:ilvl w:val="0"/>
          <w:numId w:val="24"/>
        </w:numPr>
        <w:adjustRightInd w:val="0"/>
        <w:snapToGrid w:val="0"/>
        <w:ind w:left="0" w:firstLine="0"/>
        <w:contextualSpacing w:val="0"/>
        <w:jc w:val="left"/>
        <w:rPr>
          <w:rFonts w:ascii="Times New Roman" w:hAnsi="Times New Roman"/>
          <w:b/>
        </w:rPr>
      </w:pPr>
      <w:r w:rsidRPr="00E46F60">
        <w:rPr>
          <w:rFonts w:ascii="Times New Roman" w:hAnsi="Times New Roman"/>
          <w:b/>
        </w:rPr>
        <w:t>Stock Status</w:t>
      </w:r>
      <w:r w:rsidRPr="00E46F60">
        <w:rPr>
          <w:rFonts w:ascii="Times New Roman" w:hAnsi="Times New Roman"/>
          <w:b/>
          <w:lang w:eastAsia="ja-JP"/>
        </w:rPr>
        <w:t xml:space="preserve"> and trends</w:t>
      </w:r>
    </w:p>
    <w:p w14:paraId="4280C96D" w14:textId="77777777" w:rsidR="00E46F60" w:rsidRPr="00E46F60" w:rsidRDefault="00E46F60" w:rsidP="00565FAA">
      <w:pPr>
        <w:pStyle w:val="WCPFC"/>
        <w:numPr>
          <w:ilvl w:val="0"/>
          <w:numId w:val="0"/>
        </w:numPr>
        <w:adjustRightInd w:val="0"/>
        <w:spacing w:after="0"/>
        <w:rPr>
          <w:rFonts w:cs="Times New Roman"/>
          <w:b/>
        </w:rPr>
      </w:pPr>
    </w:p>
    <w:p w14:paraId="61BC2958" w14:textId="77777777" w:rsidR="00E46F60" w:rsidRPr="00E46F60" w:rsidRDefault="00E46F60" w:rsidP="00565FAA">
      <w:pPr>
        <w:pStyle w:val="WCPFC"/>
        <w:adjustRightInd w:val="0"/>
        <w:spacing w:after="0"/>
        <w:ind w:left="0" w:firstLine="0"/>
      </w:pPr>
      <w:r w:rsidRPr="00E46F60">
        <w:t>SC15 noted that ISC provided the following conclusions on the stock status of Western and Central North Pacific striped marlin:</w:t>
      </w:r>
    </w:p>
    <w:p w14:paraId="0A8B1181" w14:textId="77777777" w:rsidR="00E46F60" w:rsidRPr="00E46F60" w:rsidRDefault="00E46F60" w:rsidP="00565FAA">
      <w:pPr>
        <w:pStyle w:val="NormalWeb"/>
        <w:adjustRightInd w:val="0"/>
        <w:snapToGrid w:val="0"/>
        <w:spacing w:before="0" w:beforeAutospacing="0" w:after="0" w:afterAutospacing="0"/>
        <w:rPr>
          <w:rFonts w:eastAsiaTheme="minorEastAsia"/>
          <w:lang w:val="en-NZ"/>
        </w:rPr>
      </w:pPr>
    </w:p>
    <w:p w14:paraId="142B30FF"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Estimates of population biomass of the </w:t>
      </w:r>
      <w:r w:rsidRPr="00E46F60">
        <w:rPr>
          <w:rFonts w:eastAsiaTheme="minorEastAsia"/>
        </w:rPr>
        <w:t xml:space="preserve">Western and Central </w:t>
      </w:r>
      <w:r w:rsidRPr="00E46F60">
        <w:t xml:space="preserve">North Pacific </w:t>
      </w:r>
      <w:r w:rsidRPr="00E46F60">
        <w:rPr>
          <w:rFonts w:eastAsiaTheme="minorEastAsia"/>
        </w:rPr>
        <w:t xml:space="preserve">Ocean (WCNPO) </w:t>
      </w:r>
      <w:r w:rsidRPr="00E46F60">
        <w:t xml:space="preserve">striped marlin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E46F60">
        <w:rPr>
          <w:i/>
          <w:iCs/>
        </w:rPr>
        <w:t>SSB</w:t>
      </w:r>
      <w:r w:rsidRPr="00E46F60">
        <w:rPr>
          <w:position w:val="-2"/>
          <w:vertAlign w:val="subscript"/>
        </w:rPr>
        <w:t>MSY</w:t>
      </w:r>
      <w:r w:rsidRPr="00E46F60">
        <w:t xml:space="preserve">, the spawning stock biomass to produce MSY, Figure </w:t>
      </w:r>
      <w:r w:rsidRPr="00E46F60">
        <w:rPr>
          <w:rFonts w:eastAsiaTheme="minorEastAsia"/>
        </w:rPr>
        <w:t>NMLS-</w:t>
      </w:r>
      <w:r w:rsidRPr="00E46F60">
        <w:t>1a). In 2017, SSB = 981 t and SSB/SSB</w:t>
      </w:r>
      <w:r w:rsidRPr="00E46F60">
        <w:rPr>
          <w:position w:val="-2"/>
          <w:vertAlign w:val="subscript"/>
        </w:rPr>
        <w:t>MSY</w:t>
      </w:r>
      <w:r w:rsidRPr="00E46F60">
        <w:rPr>
          <w:position w:val="-2"/>
        </w:rPr>
        <w:t xml:space="preserve"> </w:t>
      </w:r>
      <w:r w:rsidRPr="00E46F60">
        <w:t xml:space="preserve">= 0.38. Fishing mortality on the stock (average </w:t>
      </w:r>
      <w:r w:rsidRPr="00E46F60">
        <w:rPr>
          <w:i/>
          <w:iCs/>
        </w:rPr>
        <w:t xml:space="preserve">F </w:t>
      </w:r>
      <w:r w:rsidRPr="00E46F60">
        <w:t>on ages 3-12) has been around F</w:t>
      </w:r>
      <w:r w:rsidRPr="00E46F60">
        <w:rPr>
          <w:position w:val="-2"/>
          <w:vertAlign w:val="subscript"/>
        </w:rPr>
        <w:t>MSY</w:t>
      </w:r>
      <w:r w:rsidRPr="00E46F60">
        <w:rPr>
          <w:position w:val="-2"/>
        </w:rPr>
        <w:t xml:space="preserve"> </w:t>
      </w:r>
      <w:r w:rsidRPr="00E46F60">
        <w:t xml:space="preserve">since 2014 (Figure </w:t>
      </w:r>
      <w:r w:rsidRPr="00E46F60">
        <w:rPr>
          <w:rFonts w:eastAsiaTheme="minorEastAsia"/>
        </w:rPr>
        <w:t>NMLS-</w:t>
      </w:r>
      <w:r w:rsidRPr="00E46F60">
        <w:t>1b). It averaged roughly 0.64 yr</w:t>
      </w:r>
      <w:r w:rsidRPr="00E46F60">
        <w:rPr>
          <w:position w:val="10"/>
        </w:rPr>
        <w:t xml:space="preserve">-1 </w:t>
      </w:r>
      <w:r w:rsidRPr="00E46F60">
        <w:t xml:space="preserve">during 2015-2017, or 7% above </w:t>
      </w:r>
      <w:r w:rsidRPr="00E46F60">
        <w:rPr>
          <w:i/>
          <w:iCs/>
        </w:rPr>
        <w:t>F</w:t>
      </w:r>
      <w:r w:rsidRPr="00E46F60">
        <w:rPr>
          <w:position w:val="-2"/>
          <w:vertAlign w:val="subscript"/>
        </w:rPr>
        <w:t>MSY</w:t>
      </w:r>
      <w:r w:rsidRPr="00E46F60">
        <w:rPr>
          <w:position w:val="-2"/>
        </w:rPr>
        <w:t xml:space="preserve"> </w:t>
      </w:r>
      <w:r w:rsidRPr="00E46F60">
        <w:t>and in 2017, F=0.80 yr</w:t>
      </w:r>
      <w:r w:rsidRPr="00E46F60">
        <w:rPr>
          <w:position w:val="10"/>
        </w:rPr>
        <w:t xml:space="preserve">-1 </w:t>
      </w:r>
      <w:r w:rsidRPr="00E46F60">
        <w:t>with a relative fishing mortality of F/F</w:t>
      </w:r>
      <w:r w:rsidRPr="00E46F60">
        <w:rPr>
          <w:position w:val="-2"/>
          <w:vertAlign w:val="subscript"/>
        </w:rPr>
        <w:t>MSY</w:t>
      </w:r>
      <w:r w:rsidRPr="00E46F60">
        <w:rPr>
          <w:position w:val="-2"/>
        </w:rPr>
        <w:t xml:space="preserve"> </w:t>
      </w:r>
      <w:r w:rsidRPr="00E46F60">
        <w:t>= 1.33 (Table NMLS-</w:t>
      </w:r>
      <w:r w:rsidRPr="00E46F60">
        <w:rPr>
          <w:rFonts w:eastAsiaTheme="minorEastAsia"/>
        </w:rPr>
        <w:t>0</w:t>
      </w:r>
      <w:r w:rsidRPr="00E46F60">
        <w:t>2). Fishing mortality has been above F</w:t>
      </w:r>
      <w:r w:rsidRPr="00E46F60">
        <w:rPr>
          <w:position w:val="-2"/>
        </w:rPr>
        <w:t xml:space="preserve">MSY </w:t>
      </w:r>
      <w:r w:rsidRPr="00E46F60">
        <w:t xml:space="preserve">in every year except 1984, 1992, and 2016. The predicted value of the spawning potential ratio (SPR, the predicted spawning output at current </w:t>
      </w:r>
      <w:r w:rsidRPr="00E46F60">
        <w:rPr>
          <w:i/>
          <w:iCs/>
        </w:rPr>
        <w:t xml:space="preserve">F </w:t>
      </w:r>
      <w:r w:rsidRPr="00E46F60">
        <w:t xml:space="preserve">as a fraction of unfished spawning output) is estimated to be </w:t>
      </w:r>
      <w:r w:rsidRPr="00E46F60">
        <w:rPr>
          <w:i/>
          <w:iCs/>
        </w:rPr>
        <w:t>SPR</w:t>
      </w:r>
      <w:r w:rsidRPr="00E46F60">
        <w:rPr>
          <w:i/>
          <w:iCs/>
          <w:position w:val="-2"/>
          <w:vertAlign w:val="subscript"/>
        </w:rPr>
        <w:t>2015-2017</w:t>
      </w:r>
      <w:r w:rsidRPr="00E46F60">
        <w:rPr>
          <w:i/>
          <w:iCs/>
          <w:position w:val="-2"/>
        </w:rPr>
        <w:t xml:space="preserve"> </w:t>
      </w:r>
      <w:r w:rsidRPr="00E46F60">
        <w:t xml:space="preserve">= 17% and is approximately equal to the SPR required to produce MSY. Recruitment averaged about 263,000 age-0 recruits between 1994 and 2017, which was 34% below the 1975-2017 average. No target or limit reference points have been established for the </w:t>
      </w:r>
      <w:r w:rsidRPr="00E46F60">
        <w:rPr>
          <w:rFonts w:eastAsiaTheme="minorEastAsia"/>
        </w:rPr>
        <w:t>WCNPO</w:t>
      </w:r>
      <w:r w:rsidRPr="00E46F60">
        <w:t xml:space="preserve"> striped marlin stock under the auspices of the WCPFC. Despite the relatively large L</w:t>
      </w:r>
      <w:r w:rsidRPr="00E46F60">
        <w:rPr>
          <w:position w:val="-2"/>
        </w:rPr>
        <w:t>50</w:t>
      </w:r>
      <w:r w:rsidRPr="00E46F60">
        <w:t>/L</w:t>
      </w:r>
      <w:r w:rsidRPr="00E46F60">
        <w:rPr>
          <w:position w:val="-2"/>
        </w:rPr>
        <w:t xml:space="preserve">inf </w:t>
      </w:r>
      <w:r w:rsidRPr="00E46F60">
        <w:t xml:space="preserve">ratio for WCNPO </w:t>
      </w:r>
      <w:r w:rsidRPr="00E46F60">
        <w:rPr>
          <w:rFonts w:eastAsiaTheme="minorEastAsia"/>
        </w:rPr>
        <w:t>striped marlin</w:t>
      </w:r>
      <w:r w:rsidRPr="00E46F60">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Pr="00E46F60">
        <w:rPr>
          <w:rFonts w:eastAsiaTheme="minorEastAsia"/>
        </w:rPr>
        <w:t>WCNPO</w:t>
      </w:r>
      <w:r w:rsidRPr="00E46F60" w:rsidDel="009722ED">
        <w:t xml:space="preserve"> </w:t>
      </w:r>
      <w:r w:rsidRPr="00E46F60">
        <w:t xml:space="preserve">striped marlin is evaluated relative to MSY-based reference points, the 2017 spawning stock biomass of 981 mt is 62% below </w:t>
      </w:r>
      <w:proofErr w:type="gramStart"/>
      <w:r w:rsidRPr="00E46F60">
        <w:rPr>
          <w:i/>
          <w:iCs/>
        </w:rPr>
        <w:t>SSB</w:t>
      </w:r>
      <w:r w:rsidRPr="00E46F60">
        <w:rPr>
          <w:vertAlign w:val="subscript"/>
        </w:rPr>
        <w:t>MSY</w:t>
      </w:r>
      <w:r w:rsidRPr="00E46F60">
        <w:t>(</w:t>
      </w:r>
      <w:proofErr w:type="gramEnd"/>
      <w:r w:rsidRPr="00E46F60">
        <w:t xml:space="preserve">2,604 t) and the 2015-2017 fishing mortality exceeds </w:t>
      </w:r>
      <w:r w:rsidRPr="00E46F60">
        <w:rPr>
          <w:i/>
          <w:iCs/>
        </w:rPr>
        <w:t>F</w:t>
      </w:r>
      <w:r w:rsidRPr="00E46F60">
        <w:rPr>
          <w:position w:val="-2"/>
          <w:vertAlign w:val="subscript"/>
        </w:rPr>
        <w:t>MSY</w:t>
      </w:r>
      <w:r w:rsidRPr="00E46F60">
        <w:rPr>
          <w:position w:val="-2"/>
        </w:rPr>
        <w:t xml:space="preserve"> </w:t>
      </w:r>
      <w:r w:rsidRPr="00E46F60">
        <w:t xml:space="preserve">by 7%. Therefore, relative to MSY-based reference points, overfishing is occurring and the </w:t>
      </w:r>
      <w:r w:rsidRPr="00E46F60">
        <w:rPr>
          <w:rFonts w:eastAsiaTheme="minorEastAsia"/>
        </w:rPr>
        <w:t>WCNPO</w:t>
      </w:r>
      <w:r w:rsidRPr="00E46F60" w:rsidDel="009722ED">
        <w:t xml:space="preserve"> </w:t>
      </w:r>
      <w:r w:rsidRPr="00E46F60">
        <w:t xml:space="preserve">striped marlin stock is overfished (Figure </w:t>
      </w:r>
      <w:r w:rsidRPr="00E46F60">
        <w:rPr>
          <w:rFonts w:eastAsiaTheme="minorEastAsia"/>
        </w:rPr>
        <w:t>NMLS-0</w:t>
      </w:r>
      <w:r w:rsidRPr="00E46F60">
        <w:t xml:space="preserve">2). </w:t>
      </w:r>
    </w:p>
    <w:p w14:paraId="580363C7" w14:textId="77777777" w:rsidR="00E46F60" w:rsidRPr="00E46F60" w:rsidRDefault="00E46F60" w:rsidP="00565FAA">
      <w:pPr>
        <w:pStyle w:val="NormalWeb"/>
        <w:adjustRightInd w:val="0"/>
        <w:snapToGrid w:val="0"/>
        <w:spacing w:before="0" w:beforeAutospacing="0" w:after="0" w:afterAutospacing="0"/>
        <w:ind w:left="720"/>
        <w:jc w:val="both"/>
      </w:pPr>
    </w:p>
    <w:p w14:paraId="1517AB87" w14:textId="77777777" w:rsidR="00E46F60" w:rsidRPr="00E46F60" w:rsidRDefault="00E46F60" w:rsidP="00565FAA">
      <w:pPr>
        <w:pStyle w:val="NormalWeb"/>
        <w:adjustRightInd w:val="0"/>
        <w:snapToGrid w:val="0"/>
        <w:spacing w:before="0" w:beforeAutospacing="0" w:after="0" w:afterAutospacing="0"/>
        <w:ind w:left="720"/>
        <w:jc w:val="both"/>
      </w:pPr>
      <w:r w:rsidRPr="00E46F60">
        <w:t>Biological reference points were computed for the base case model with Stock Synthesis (Table NMLS-</w:t>
      </w:r>
      <w:r w:rsidRPr="00E46F60">
        <w:rPr>
          <w:rFonts w:eastAsiaTheme="minorEastAsia"/>
        </w:rPr>
        <w:t>0</w:t>
      </w:r>
      <w:r w:rsidRPr="00E46F60">
        <w:t>1 and Table NMLS-</w:t>
      </w:r>
      <w:r w:rsidRPr="00E46F60">
        <w:rPr>
          <w:rFonts w:eastAsiaTheme="minorEastAsia"/>
        </w:rPr>
        <w:t>0</w:t>
      </w:r>
      <w:r w:rsidRPr="00E46F60">
        <w:t>2). The point estimate of maximum sustainable yield (MSY) was 4,946 t. The point estimate of the spawning biomass to produce MSY (adult female biomass, SSB</w:t>
      </w:r>
      <w:r w:rsidRPr="00E46F60">
        <w:rPr>
          <w:position w:val="-2"/>
          <w:vertAlign w:val="subscript"/>
        </w:rPr>
        <w:t>MSY</w:t>
      </w:r>
      <w:r w:rsidRPr="00E46F60">
        <w:t>) was 2,604 t. The point estimate of F</w:t>
      </w:r>
      <w:r w:rsidRPr="00E46F60">
        <w:rPr>
          <w:position w:val="-2"/>
          <w:vertAlign w:val="subscript"/>
        </w:rPr>
        <w:t>MSY</w:t>
      </w:r>
      <w:r w:rsidRPr="00E46F60">
        <w:t>, the fishing mortality rate to produce MSY (average fishing mortality on ages 3 – 12) was 0.60 and the corresponding equilibrium value of spawning potential ratio at MSY was SPR</w:t>
      </w:r>
      <w:r w:rsidRPr="00E46F60">
        <w:rPr>
          <w:position w:val="-2"/>
          <w:vertAlign w:val="subscript"/>
        </w:rPr>
        <w:t>MSY</w:t>
      </w:r>
      <w:r w:rsidRPr="00E46F60">
        <w:rPr>
          <w:position w:val="-2"/>
        </w:rPr>
        <w:t xml:space="preserve"> </w:t>
      </w:r>
      <w:r w:rsidRPr="00E46F60">
        <w:t>= 18%.</w:t>
      </w:r>
    </w:p>
    <w:p w14:paraId="481C128A" w14:textId="77777777" w:rsidR="00E46F60" w:rsidRPr="00E46F60" w:rsidRDefault="00E46F60" w:rsidP="00565FAA">
      <w:pPr>
        <w:pStyle w:val="NormalWeb"/>
        <w:adjustRightInd w:val="0"/>
        <w:snapToGrid w:val="0"/>
        <w:spacing w:before="0" w:beforeAutospacing="0" w:after="0" w:afterAutospacing="0"/>
        <w:ind w:left="720"/>
        <w:jc w:val="both"/>
      </w:pPr>
    </w:p>
    <w:p w14:paraId="78001052"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Stock projections for </w:t>
      </w:r>
      <w:r w:rsidRPr="00E46F60">
        <w:rPr>
          <w:rFonts w:eastAsiaTheme="minorEastAsia"/>
        </w:rPr>
        <w:t>WCNPO</w:t>
      </w:r>
      <w:r w:rsidRPr="00E46F60" w:rsidDel="009722ED">
        <w:t xml:space="preserve"> </w:t>
      </w:r>
      <w:r w:rsidRPr="00E46F60">
        <w:t xml:space="preserve">striped marlin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Pr="00E46F60">
        <w:rPr>
          <w:rFonts w:eastAsiaTheme="minorEastAsia"/>
        </w:rPr>
        <w:t>striped marlin</w:t>
      </w:r>
      <w:r w:rsidRPr="00E46F60">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w:t>
      </w:r>
      <w:r w:rsidRPr="00E46F60">
        <w:lastRenderedPageBreak/>
        <w:t xml:space="preserve">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w:t>
      </w:r>
      <w:proofErr w:type="gramStart"/>
      <w:r w:rsidRPr="00E46F60">
        <w:t>five fishing</w:t>
      </w:r>
      <w:proofErr w:type="gramEnd"/>
      <w:r w:rsidRPr="00E46F60">
        <w:t xml:space="preserve"> mortality stock projection scenarios were: 1) F status quo (average F during 2015-2017), 2) F</w:t>
      </w:r>
      <w:r w:rsidRPr="00E46F60">
        <w:rPr>
          <w:position w:val="-2"/>
          <w:vertAlign w:val="subscript"/>
        </w:rPr>
        <w:t>MSY</w:t>
      </w:r>
      <w:r w:rsidRPr="00E46F60">
        <w:t>, 3) F at 0.2·SSB</w:t>
      </w:r>
      <w:r w:rsidRPr="00E46F60">
        <w:rPr>
          <w:position w:val="-2"/>
          <w:vertAlign w:val="subscript"/>
        </w:rPr>
        <w:t>0</w:t>
      </w:r>
      <w:r w:rsidRPr="00E46F60">
        <w:t>, 4) F</w:t>
      </w:r>
      <w:r w:rsidRPr="00E46F60">
        <w:rPr>
          <w:position w:val="-2"/>
          <w:vertAlign w:val="subscript"/>
        </w:rPr>
        <w:t>High</w:t>
      </w:r>
      <w:r w:rsidRPr="00E46F60">
        <w:rPr>
          <w:position w:val="-2"/>
        </w:rPr>
        <w:t xml:space="preserve"> </w:t>
      </w:r>
      <w:r w:rsidRPr="00E46F60">
        <w:t>at the highest 3-year average during 1975-2017, and 5) F</w:t>
      </w:r>
      <w:r w:rsidRPr="00E46F60">
        <w:rPr>
          <w:position w:val="-2"/>
          <w:vertAlign w:val="subscript"/>
        </w:rPr>
        <w:t>Low</w:t>
      </w:r>
      <w:r w:rsidRPr="00E46F60">
        <w:rPr>
          <w:position w:val="-2"/>
        </w:rPr>
        <w:t xml:space="preserve"> </w:t>
      </w:r>
      <w:r w:rsidRPr="00E46F60">
        <w:t>at F</w:t>
      </w:r>
      <w:r w:rsidRPr="00E46F60">
        <w:rPr>
          <w:position w:val="-2"/>
          <w:vertAlign w:val="subscript"/>
        </w:rPr>
        <w:t>30%</w:t>
      </w:r>
      <w:r w:rsidRPr="00E46F60">
        <w:rPr>
          <w:vertAlign w:val="subscript"/>
        </w:rPr>
        <w:t>.</w:t>
      </w:r>
      <w:r w:rsidRPr="00E46F60">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NMLS-</w:t>
      </w:r>
      <w:r w:rsidRPr="00E46F60">
        <w:rPr>
          <w:rFonts w:eastAsiaTheme="minorEastAsia"/>
        </w:rPr>
        <w:t>0</w:t>
      </w:r>
      <w:r w:rsidRPr="00E46F60">
        <w:t>3, Figure NMLS-</w:t>
      </w:r>
      <w:r w:rsidRPr="00E46F60">
        <w:rPr>
          <w:rFonts w:eastAsiaTheme="minorEastAsia"/>
        </w:rPr>
        <w:t>0</w:t>
      </w:r>
      <w:r w:rsidRPr="00E46F60">
        <w:t>3 and Figure NMLS-</w:t>
      </w:r>
      <w:r w:rsidRPr="00E46F60">
        <w:rPr>
          <w:rFonts w:eastAsiaTheme="minorEastAsia"/>
        </w:rPr>
        <w:t>0</w:t>
      </w:r>
      <w:r w:rsidRPr="00E46F60">
        <w:t xml:space="preserve">4). </w:t>
      </w:r>
    </w:p>
    <w:p w14:paraId="357F11FA" w14:textId="77777777" w:rsidR="00E46F60" w:rsidRPr="00E46F60" w:rsidRDefault="00E46F60" w:rsidP="00565FAA">
      <w:pPr>
        <w:pStyle w:val="ListParagraph"/>
        <w:adjustRightInd w:val="0"/>
        <w:snapToGrid w:val="0"/>
        <w:contextualSpacing w:val="0"/>
        <w:rPr>
          <w:rFonts w:ascii="Times New Roman" w:hAnsi="Times New Roman"/>
          <w:b/>
        </w:rPr>
      </w:pPr>
    </w:p>
    <w:p w14:paraId="66E164C8"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the following stock status from ISC:</w:t>
      </w:r>
    </w:p>
    <w:p w14:paraId="6FE43900" w14:textId="77777777" w:rsidR="00E46F60" w:rsidRPr="00E46F60" w:rsidRDefault="00E46F60" w:rsidP="00565FAA">
      <w:pPr>
        <w:pStyle w:val="ListParagraph"/>
        <w:adjustRightInd w:val="0"/>
        <w:snapToGrid w:val="0"/>
        <w:contextualSpacing w:val="0"/>
        <w:rPr>
          <w:rFonts w:ascii="Times New Roman" w:hAnsi="Times New Roman"/>
          <w:b/>
        </w:rPr>
      </w:pPr>
    </w:p>
    <w:p w14:paraId="216BA7DE" w14:textId="77777777" w:rsidR="00E46F60" w:rsidRPr="00E46F60" w:rsidRDefault="00E46F60" w:rsidP="00565FAA">
      <w:pPr>
        <w:pStyle w:val="NormalWeb"/>
        <w:adjustRightInd w:val="0"/>
        <w:snapToGrid w:val="0"/>
        <w:spacing w:before="0" w:beforeAutospacing="0" w:after="0" w:afterAutospacing="0"/>
        <w:ind w:left="720"/>
        <w:jc w:val="both"/>
      </w:pPr>
      <w:r w:rsidRPr="00E46F60">
        <w:t xml:space="preserve">Biomass (age 1 and older) for the </w:t>
      </w:r>
      <w:r w:rsidRPr="00E46F60">
        <w:rPr>
          <w:rFonts w:eastAsiaTheme="minorEastAsia"/>
        </w:rPr>
        <w:t>WCNPO</w:t>
      </w:r>
      <w:r w:rsidRPr="00E46F60" w:rsidDel="009722ED">
        <w:t xml:space="preserve"> </w:t>
      </w:r>
      <w:r w:rsidRPr="00E46F60">
        <w:t>striped marlin stock decreased from 17,000 t in 1975 to 6,000 t in 2017. Estimated fishing mortality averaged F=0.97 yr</w:t>
      </w:r>
      <w:r w:rsidRPr="00E46F60">
        <w:rPr>
          <w:position w:val="10"/>
        </w:rPr>
        <w:t xml:space="preserve">-1 </w:t>
      </w:r>
      <w:r w:rsidRPr="00E46F60">
        <w:t>during the 1975-1994 period with a range of 0.60 to 1.59 yr</w:t>
      </w:r>
      <w:r w:rsidRPr="00E46F60">
        <w:rPr>
          <w:position w:val="10"/>
        </w:rPr>
        <w:t>-1</w:t>
      </w:r>
      <w:r w:rsidRPr="00E46F60">
        <w:t>, peaked at F=1.71 year</w:t>
      </w:r>
      <w:r w:rsidRPr="00E46F60">
        <w:rPr>
          <w:position w:val="10"/>
        </w:rPr>
        <w:t xml:space="preserve">-1 </w:t>
      </w:r>
      <w:r w:rsidRPr="00E46F60">
        <w:t>in 2001, and declined sharply to F=0.64 yr</w:t>
      </w:r>
      <w:r w:rsidRPr="00E46F60">
        <w:rPr>
          <w:position w:val="10"/>
        </w:rPr>
        <w:t xml:space="preserve">-1 </w:t>
      </w:r>
      <w:r w:rsidRPr="00E46F60">
        <w:t>in the most recent years (2015-2017). Fishing mortality has fluctuated around F</w:t>
      </w:r>
      <w:r w:rsidRPr="00E46F60">
        <w:rPr>
          <w:position w:val="-2"/>
          <w:vertAlign w:val="subscript"/>
        </w:rPr>
        <w:t>MSY</w:t>
      </w:r>
      <w:r w:rsidRPr="00E46F60">
        <w:rPr>
          <w:position w:val="-2"/>
        </w:rPr>
        <w:t xml:space="preserve"> </w:t>
      </w:r>
      <w:r w:rsidRPr="00E46F60">
        <w:t>since 2013. Compared to MSY-based reference points, the current spawning biomass (average for 2015- 2017) was 76% below SSB</w:t>
      </w:r>
      <w:r w:rsidRPr="00E46F60">
        <w:rPr>
          <w:position w:val="-2"/>
          <w:vertAlign w:val="subscript"/>
        </w:rPr>
        <w:t>MSY</w:t>
      </w:r>
      <w:r w:rsidRPr="00E46F60">
        <w:rPr>
          <w:position w:val="-2"/>
        </w:rPr>
        <w:t xml:space="preserve"> </w:t>
      </w:r>
      <w:r w:rsidRPr="00E46F60">
        <w:t>and the current fishing mortality (average for ages 3 – 12 in 2015-2017) was 7% above F</w:t>
      </w:r>
      <w:r w:rsidRPr="00E46F60">
        <w:rPr>
          <w:position w:val="-2"/>
          <w:vertAlign w:val="subscript"/>
        </w:rPr>
        <w:t>MSY</w:t>
      </w:r>
      <w:r w:rsidRPr="00E46F60">
        <w:t xml:space="preserve">. </w:t>
      </w:r>
    </w:p>
    <w:p w14:paraId="3A13B4A8" w14:textId="77777777" w:rsidR="00E46F60" w:rsidRPr="00E46F60" w:rsidRDefault="00E46F60" w:rsidP="00565FAA">
      <w:pPr>
        <w:pStyle w:val="NormalWeb"/>
        <w:adjustRightInd w:val="0"/>
        <w:snapToGrid w:val="0"/>
        <w:spacing w:before="0" w:beforeAutospacing="0" w:after="0" w:afterAutospacing="0"/>
        <w:ind w:left="720"/>
        <w:jc w:val="both"/>
      </w:pPr>
    </w:p>
    <w:p w14:paraId="21067609"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Based on these findings, the following information on the status of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is provided:</w:t>
      </w:r>
    </w:p>
    <w:p w14:paraId="0FEB0B6B" w14:textId="77777777" w:rsidR="00E46F60" w:rsidRPr="00E46F60" w:rsidRDefault="00E46F60" w:rsidP="00565FAA">
      <w:pPr>
        <w:numPr>
          <w:ilvl w:val="0"/>
          <w:numId w:val="22"/>
        </w:numPr>
        <w:tabs>
          <w:tab w:val="clear" w:pos="720"/>
          <w:tab w:val="num" w:pos="1440"/>
        </w:tabs>
        <w:adjustRightInd w:val="0"/>
        <w:snapToGrid w:val="0"/>
        <w:spacing w:after="0" w:line="240" w:lineRule="auto"/>
        <w:ind w:left="1440"/>
        <w:jc w:val="both"/>
        <w:rPr>
          <w:rFonts w:ascii="Times New Roman" w:eastAsia="MS PGothic" w:hAnsi="Times New Roman" w:cs="Times New Roman"/>
        </w:rPr>
      </w:pPr>
      <w:r w:rsidRPr="00E46F60">
        <w:rPr>
          <w:rFonts w:ascii="Times New Roman" w:eastAsia="MS PGothic" w:hAnsi="Times New Roman" w:cs="Times New Roman"/>
        </w:rPr>
        <w:t xml:space="preserve">There are no established reference points for WCNPO </w:t>
      </w:r>
      <w:r w:rsidRPr="00E46F60">
        <w:rPr>
          <w:rFonts w:ascii="Times New Roman" w:eastAsiaTheme="minorEastAsia" w:hAnsi="Times New Roman" w:cs="Times New Roman"/>
        </w:rPr>
        <w:t>striped marlin</w:t>
      </w:r>
      <w:r w:rsidRPr="00E46F60">
        <w:rPr>
          <w:rFonts w:ascii="Times New Roman" w:eastAsia="MS PGothic" w:hAnsi="Times New Roman" w:cs="Times New Roman"/>
        </w:rPr>
        <w:t xml:space="preserve">; </w:t>
      </w:r>
    </w:p>
    <w:p w14:paraId="4721BAAC" w14:textId="77777777" w:rsidR="00E46F60" w:rsidRPr="00E46F60" w:rsidRDefault="00E46F60" w:rsidP="00565FAA">
      <w:pPr>
        <w:numPr>
          <w:ilvl w:val="0"/>
          <w:numId w:val="22"/>
        </w:numPr>
        <w:tabs>
          <w:tab w:val="clear" w:pos="720"/>
          <w:tab w:val="num" w:pos="1440"/>
        </w:tabs>
        <w:adjustRightInd w:val="0"/>
        <w:snapToGrid w:val="0"/>
        <w:spacing w:after="0" w:line="240" w:lineRule="auto"/>
        <w:ind w:left="1440"/>
        <w:jc w:val="both"/>
        <w:rPr>
          <w:rFonts w:ascii="Times New Roman" w:eastAsia="MS PGothic" w:hAnsi="Times New Roman" w:cs="Times New Roman"/>
        </w:rPr>
      </w:pPr>
      <w:r w:rsidRPr="00E46F60">
        <w:rPr>
          <w:rFonts w:ascii="Times New Roman" w:eastAsia="MS PGothic" w:hAnsi="Times New Roman" w:cs="Times New Roman"/>
        </w:rPr>
        <w:t xml:space="preserve">Results from the base case assessment model show that under current conditions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is overfished and is subject to overfishing relative to MSY- based reference points (Table NMLS-</w:t>
      </w:r>
      <w:r w:rsidRPr="00E46F60">
        <w:rPr>
          <w:rFonts w:ascii="Times New Roman" w:eastAsiaTheme="minorEastAsia" w:hAnsi="Times New Roman" w:cs="Times New Roman"/>
        </w:rPr>
        <w:t>0</w:t>
      </w:r>
      <w:r w:rsidRPr="00E46F60">
        <w:rPr>
          <w:rFonts w:ascii="Times New Roman" w:eastAsia="MS PGothic" w:hAnsi="Times New Roman" w:cs="Times New Roman"/>
        </w:rPr>
        <w:t>1, Table NMLS-</w:t>
      </w:r>
      <w:r w:rsidRPr="00E46F60">
        <w:rPr>
          <w:rFonts w:ascii="Times New Roman" w:eastAsiaTheme="minorEastAsia" w:hAnsi="Times New Roman" w:cs="Times New Roman"/>
        </w:rPr>
        <w:t>0</w:t>
      </w:r>
      <w:r w:rsidRPr="00E46F60">
        <w:rPr>
          <w:rFonts w:ascii="Times New Roman" w:eastAsia="MS PGothic" w:hAnsi="Times New Roman" w:cs="Times New Roman"/>
        </w:rPr>
        <w:t>2, and Figure NMLS-</w:t>
      </w:r>
      <w:r w:rsidRPr="00E46F60">
        <w:rPr>
          <w:rFonts w:ascii="Times New Roman" w:eastAsiaTheme="minorEastAsia" w:hAnsi="Times New Roman" w:cs="Times New Roman"/>
        </w:rPr>
        <w:t>0</w:t>
      </w:r>
      <w:r w:rsidRPr="00E46F60">
        <w:rPr>
          <w:rFonts w:ascii="Times New Roman" w:eastAsia="MS PGothic" w:hAnsi="Times New Roman" w:cs="Times New Roman"/>
        </w:rPr>
        <w:t xml:space="preserve">1). </w:t>
      </w:r>
    </w:p>
    <w:p w14:paraId="7403382A" w14:textId="77777777" w:rsidR="00E46F60" w:rsidRPr="00E46F60" w:rsidRDefault="00E46F60" w:rsidP="00565FAA">
      <w:pPr>
        <w:pStyle w:val="ListParagraph"/>
        <w:adjustRightInd w:val="0"/>
        <w:snapToGrid w:val="0"/>
        <w:contextualSpacing w:val="0"/>
        <w:rPr>
          <w:rFonts w:ascii="Times New Roman" w:hAnsi="Times New Roman"/>
          <w:b/>
          <w:bCs/>
        </w:rPr>
      </w:pPr>
    </w:p>
    <w:p w14:paraId="3A8EA1BD" w14:textId="77777777" w:rsidR="00E46F60" w:rsidRPr="00E46F60" w:rsidRDefault="00E46F60" w:rsidP="00565FAA">
      <w:pPr>
        <w:pStyle w:val="WCPFC"/>
        <w:adjustRightInd w:val="0"/>
        <w:spacing w:after="0"/>
        <w:ind w:left="0" w:firstLine="0"/>
        <w:rPr>
          <w:rFonts w:cs="Times New Roman"/>
        </w:rPr>
      </w:pPr>
      <w:r w:rsidRPr="00E46F60">
        <w:rPr>
          <w:rFonts w:cs="Times New Roman"/>
        </w:rPr>
        <w:t>SC15 noted that the assessment results are sensitive to the growth assumption and the ISC billfish working group</w:t>
      </w:r>
      <w:r w:rsidRPr="00E46F60">
        <w:rPr>
          <w:rFonts w:eastAsia="MS Mincho" w:cs="Times New Roman"/>
          <w:lang w:eastAsia="ja-JP"/>
        </w:rPr>
        <w:t xml:space="preserve"> </w:t>
      </w:r>
      <w:r w:rsidRPr="00E46F60">
        <w:rPr>
          <w:rFonts w:cs="Times New Roman"/>
          <w:lang w:eastAsia="ja-JP"/>
        </w:rPr>
        <w:t>(hereafter, WG)</w:t>
      </w:r>
      <w:r w:rsidRPr="00E46F60">
        <w:rPr>
          <w:rFonts w:cs="Times New Roman"/>
        </w:rPr>
        <w:t xml:space="preserve"> chair noted that the WG will attempt to revise the growth curve at the next stock assessment. </w:t>
      </w:r>
    </w:p>
    <w:p w14:paraId="0CDF9A84" w14:textId="77777777" w:rsidR="00E46F60" w:rsidRPr="00E46F60" w:rsidRDefault="00E46F60" w:rsidP="00565FAA">
      <w:pPr>
        <w:pStyle w:val="ListParagraph"/>
        <w:adjustRightInd w:val="0"/>
        <w:snapToGrid w:val="0"/>
        <w:ind w:left="0"/>
        <w:contextualSpacing w:val="0"/>
        <w:rPr>
          <w:rFonts w:ascii="Times New Roman" w:hAnsi="Times New Roman"/>
        </w:rPr>
      </w:pPr>
    </w:p>
    <w:p w14:paraId="79377F09" w14:textId="77777777" w:rsidR="00E46F60" w:rsidRPr="00E46F60" w:rsidRDefault="00E46F60" w:rsidP="00565FAA">
      <w:pPr>
        <w:pStyle w:val="WCPFC"/>
        <w:adjustRightInd w:val="0"/>
        <w:spacing w:after="0"/>
        <w:ind w:left="0" w:firstLine="0"/>
        <w:rPr>
          <w:rFonts w:cs="Times New Roman"/>
        </w:rPr>
      </w:pPr>
      <w:r w:rsidRPr="00E46F60">
        <w:rPr>
          <w:rFonts w:cs="Times New Roman"/>
        </w:rPr>
        <w:t xml:space="preserve">SC15 also highlighted the sharp decline in the stock biomass in the mid-1990s and recommends that ISC further investigate the reasons for this decline. </w:t>
      </w:r>
    </w:p>
    <w:p w14:paraId="6111683D" w14:textId="77777777" w:rsidR="00E46F60" w:rsidRPr="00E46F60" w:rsidRDefault="00E46F60" w:rsidP="00565FAA">
      <w:pPr>
        <w:pStyle w:val="WCPFC"/>
        <w:numPr>
          <w:ilvl w:val="0"/>
          <w:numId w:val="0"/>
        </w:numPr>
        <w:adjustRightInd w:val="0"/>
        <w:spacing w:after="0"/>
        <w:rPr>
          <w:rFonts w:cs="Times New Roman"/>
          <w:b/>
          <w:lang w:eastAsia="ja-JP"/>
        </w:rPr>
      </w:pPr>
    </w:p>
    <w:p w14:paraId="73D8E29E" w14:textId="77777777" w:rsidR="00E46F60" w:rsidRPr="00E46F60" w:rsidRDefault="00E46F60" w:rsidP="00565FAA">
      <w:pPr>
        <w:pStyle w:val="WCPFC"/>
        <w:numPr>
          <w:ilvl w:val="0"/>
          <w:numId w:val="24"/>
        </w:numPr>
        <w:adjustRightInd w:val="0"/>
        <w:spacing w:after="0"/>
        <w:ind w:left="0" w:firstLine="0"/>
        <w:rPr>
          <w:rFonts w:cs="Times New Roman"/>
          <w:b/>
          <w:lang w:eastAsia="ja-JP"/>
        </w:rPr>
      </w:pPr>
      <w:r w:rsidRPr="00E46F60">
        <w:rPr>
          <w:rFonts w:cs="Times New Roman"/>
          <w:b/>
          <w:lang w:eastAsia="ja-JP"/>
        </w:rPr>
        <w:t>Management advice and implications</w:t>
      </w:r>
    </w:p>
    <w:p w14:paraId="627ACE45" w14:textId="77777777" w:rsidR="00E46F60" w:rsidRPr="00E46F60" w:rsidRDefault="00E46F60" w:rsidP="00565FAA">
      <w:pPr>
        <w:adjustRightInd w:val="0"/>
        <w:snapToGrid w:val="0"/>
        <w:spacing w:after="0" w:line="240" w:lineRule="auto"/>
        <w:jc w:val="both"/>
        <w:rPr>
          <w:rFonts w:ascii="Times New Roman" w:hAnsi="Times New Roman" w:cs="Times New Roman"/>
          <w:b/>
          <w:strike/>
        </w:rPr>
      </w:pPr>
    </w:p>
    <w:p w14:paraId="1C48051C"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that some CCMs expressed concerns that based on the new assessment the WCNPO striped marlin stock was overfished and overfishing was occurring relative to MSY-based reference points.</w:t>
      </w:r>
    </w:p>
    <w:p w14:paraId="11F8C70F"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0FF953A8"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lastRenderedPageBreak/>
        <w:t>SC15 noted that while fishing mortality has declined since 2000 fishing mortality has generally remained above F</w:t>
      </w:r>
      <w:r w:rsidRPr="00E46F60">
        <w:rPr>
          <w:rFonts w:cs="Times New Roman"/>
          <w:bCs/>
          <w:vertAlign w:val="subscript"/>
        </w:rPr>
        <w:t>MSY</w:t>
      </w:r>
      <w:r w:rsidRPr="00E46F60">
        <w:rPr>
          <w:rFonts w:cs="Times New Roman"/>
          <w:bCs/>
        </w:rPr>
        <w:t xml:space="preserve"> since the introduction of CMM 2010-01 and the stock biomass continues to remain well below SB</w:t>
      </w:r>
      <w:r w:rsidRPr="00E46F60">
        <w:rPr>
          <w:rFonts w:cs="Times New Roman"/>
          <w:bCs/>
          <w:vertAlign w:val="subscript"/>
        </w:rPr>
        <w:t>MSY</w:t>
      </w:r>
      <w:r w:rsidRPr="00E46F60">
        <w:rPr>
          <w:rFonts w:cs="Times New Roman"/>
          <w:bCs/>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6B0B1943" w14:textId="77777777" w:rsidR="00E46F60" w:rsidRPr="00E46F60" w:rsidRDefault="00E46F60" w:rsidP="00565FAA">
      <w:pPr>
        <w:pStyle w:val="ListParagraph"/>
        <w:adjustRightInd w:val="0"/>
        <w:snapToGrid w:val="0"/>
        <w:ind w:left="0"/>
        <w:contextualSpacing w:val="0"/>
        <w:rPr>
          <w:rFonts w:ascii="Times New Roman" w:hAnsi="Times New Roman"/>
          <w:bCs/>
          <w:lang w:eastAsia="ja-JP"/>
        </w:rPr>
      </w:pPr>
    </w:p>
    <w:p w14:paraId="23D51940" w14:textId="77777777" w:rsidR="00E46F60" w:rsidRPr="00E46F60" w:rsidRDefault="00E46F60" w:rsidP="00565FAA">
      <w:pPr>
        <w:pStyle w:val="WCPFC"/>
        <w:adjustRightInd w:val="0"/>
        <w:spacing w:after="0"/>
        <w:ind w:left="0" w:firstLine="0"/>
        <w:rPr>
          <w:rFonts w:cs="Times New Roman"/>
          <w:bCs/>
          <w:lang w:eastAsia="ja-JP"/>
        </w:rPr>
      </w:pPr>
      <w:r w:rsidRPr="00E46F60">
        <w:rPr>
          <w:rFonts w:cs="Times New Roman"/>
          <w:bCs/>
        </w:rPr>
        <w:t>SC15 also noted that this stock does not have agreed upon limit reference points and measures on catch limits and reductions in fishing mortality to allow rebuilding of this stock</w:t>
      </w:r>
      <w:r w:rsidRPr="00E46F60">
        <w:rPr>
          <w:rFonts w:cs="Times New Roman"/>
          <w:bCs/>
          <w:lang w:eastAsia="ja-JP"/>
        </w:rPr>
        <w:t>.</w:t>
      </w:r>
    </w:p>
    <w:p w14:paraId="4136741B"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61111110"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recommends that WCPFC16 consider identifying appropriate limit reference points for WCNPO</w:t>
      </w:r>
      <w:r w:rsidRPr="00E46F60" w:rsidDel="009722ED">
        <w:rPr>
          <w:rFonts w:cs="Times New Roman"/>
          <w:bCs/>
        </w:rPr>
        <w:t xml:space="preserve"> </w:t>
      </w:r>
      <w:r w:rsidRPr="00E46F60">
        <w:rPr>
          <w:rFonts w:cs="Times New Roman"/>
          <w:bCs/>
        </w:rPr>
        <w:t xml:space="preserve">striped marlin. </w:t>
      </w:r>
    </w:p>
    <w:p w14:paraId="66C88A2C" w14:textId="77777777" w:rsidR="00E46F60" w:rsidRPr="00E46F60" w:rsidRDefault="00E46F60" w:rsidP="00565FAA">
      <w:pPr>
        <w:pStyle w:val="ListParagraph"/>
        <w:adjustRightInd w:val="0"/>
        <w:snapToGrid w:val="0"/>
        <w:ind w:left="0"/>
        <w:contextualSpacing w:val="0"/>
        <w:rPr>
          <w:rFonts w:ascii="Times New Roman" w:eastAsia="MS PGothic" w:hAnsi="Times New Roman"/>
          <w:bCs/>
        </w:rPr>
      </w:pPr>
    </w:p>
    <w:p w14:paraId="3669A163" w14:textId="77777777" w:rsidR="00E46F60" w:rsidRPr="00E46F60" w:rsidRDefault="00E46F60" w:rsidP="00565FAA">
      <w:pPr>
        <w:pStyle w:val="WCPFC"/>
        <w:adjustRightInd w:val="0"/>
        <w:spacing w:after="0"/>
        <w:ind w:left="0" w:firstLine="0"/>
        <w:rPr>
          <w:rFonts w:eastAsia="MS PGothic" w:cs="Times New Roman"/>
          <w:bCs/>
        </w:rPr>
      </w:pPr>
      <w:r w:rsidRPr="00E46F60">
        <w:rPr>
          <w:rFonts w:cs="Times New Roman"/>
          <w:bCs/>
          <w:lang w:eastAsia="ja-JP"/>
        </w:rPr>
        <w:t xml:space="preserve">SC15 recommends the WCPFC consider appropriate actions to ensure rebuilding this stock to the NC14 rebuilding target. SC15 noted that if lower than average recruitment persists over the near future the probability of rebuilding the stock would be low, noting that there has been a long-term decline in recruitment since the 1990s. Under </w:t>
      </w:r>
      <w:r w:rsidRPr="00E46F60">
        <w:rPr>
          <w:rFonts w:cs="Times New Roman"/>
          <w:bCs/>
          <w:color w:val="222222"/>
          <w:shd w:val="clear" w:color="auto" w:fill="FFFFFF"/>
        </w:rPr>
        <w:t>the F</w:t>
      </w:r>
      <w:r w:rsidRPr="00E46F60">
        <w:rPr>
          <w:rFonts w:cs="Times New Roman"/>
          <w:bCs/>
          <w:color w:val="222222"/>
          <w:shd w:val="clear" w:color="auto" w:fill="FFFFFF"/>
          <w:vertAlign w:val="subscript"/>
        </w:rPr>
        <w:t>MSY</w:t>
      </w:r>
      <w:r w:rsidRPr="00E46F60">
        <w:rPr>
          <w:rFonts w:cs="Times New Roman"/>
          <w:bCs/>
          <w:color w:val="222222"/>
          <w:shd w:val="clear" w:color="auto" w:fill="FFFFFF"/>
        </w:rPr>
        <w:t xml:space="preserve"> scenario with short-term recruitment assumptions, the probability of achieving 20%SB</w:t>
      </w:r>
      <w:r w:rsidRPr="00E46F60">
        <w:rPr>
          <w:rFonts w:cs="Times New Roman"/>
          <w:bCs/>
          <w:color w:val="222222"/>
          <w:shd w:val="clear" w:color="auto" w:fill="FFFFFF"/>
          <w:vertAlign w:val="subscript"/>
        </w:rPr>
        <w:t>0</w:t>
      </w:r>
      <w:r w:rsidRPr="00E46F60">
        <w:rPr>
          <w:rFonts w:cs="Times New Roman"/>
          <w:bCs/>
          <w:color w:val="222222"/>
          <w:shd w:val="clear" w:color="auto" w:fill="FFFFFF"/>
        </w:rPr>
        <w:t xml:space="preserve"> in 2027 is &lt;0.5%.</w:t>
      </w:r>
    </w:p>
    <w:p w14:paraId="0D611FEB" w14:textId="77777777" w:rsidR="00E46F60" w:rsidRPr="00E46F60" w:rsidRDefault="00E46F60" w:rsidP="00565FAA">
      <w:pPr>
        <w:pStyle w:val="ListParagraph"/>
        <w:adjustRightInd w:val="0"/>
        <w:snapToGrid w:val="0"/>
        <w:ind w:left="0"/>
        <w:contextualSpacing w:val="0"/>
        <w:rPr>
          <w:rFonts w:ascii="Times New Roman" w:hAnsi="Times New Roman"/>
          <w:bCs/>
        </w:rPr>
      </w:pPr>
    </w:p>
    <w:p w14:paraId="621242C0" w14:textId="77777777" w:rsidR="00E46F60" w:rsidRPr="00E46F60" w:rsidRDefault="00E46F60" w:rsidP="00565FAA">
      <w:pPr>
        <w:pStyle w:val="WCPFC"/>
        <w:adjustRightInd w:val="0"/>
        <w:spacing w:after="0"/>
        <w:ind w:left="0" w:firstLine="0"/>
        <w:rPr>
          <w:rFonts w:cs="Times New Roman"/>
          <w:bCs/>
        </w:rPr>
      </w:pPr>
      <w:r w:rsidRPr="00E46F60">
        <w:rPr>
          <w:rFonts w:cs="Times New Roman"/>
          <w:bCs/>
        </w:rPr>
        <w:t>SC15 noted the following conservation advice from ISC:</w:t>
      </w:r>
    </w:p>
    <w:p w14:paraId="7197AB6B" w14:textId="77777777" w:rsidR="00E46F60" w:rsidRPr="00E46F60" w:rsidRDefault="00E46F60" w:rsidP="00565FAA">
      <w:pPr>
        <w:adjustRightInd w:val="0"/>
        <w:snapToGrid w:val="0"/>
        <w:spacing w:after="0" w:line="240" w:lineRule="auto"/>
        <w:ind w:left="1440"/>
        <w:jc w:val="both"/>
        <w:rPr>
          <w:rFonts w:ascii="Times New Roman" w:eastAsia="MS PGothic" w:hAnsi="Times New Roman" w:cs="Times New Roman"/>
          <w:bCs/>
        </w:rPr>
      </w:pPr>
    </w:p>
    <w:p w14:paraId="629828BF"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The status of the </w:t>
      </w:r>
      <w:r w:rsidRPr="00E46F60">
        <w:rPr>
          <w:rFonts w:ascii="Times New Roman" w:eastAsiaTheme="minorEastAsia" w:hAnsi="Times New Roman" w:cs="Times New Roman"/>
        </w:rPr>
        <w:t>WCNPO</w:t>
      </w:r>
      <w:r w:rsidRPr="00E46F60" w:rsidDel="009722ED">
        <w:rPr>
          <w:rFonts w:ascii="Times New Roman" w:eastAsia="MS PGothic" w:hAnsi="Times New Roman" w:cs="Times New Roman"/>
        </w:rPr>
        <w:t xml:space="preserve"> </w:t>
      </w:r>
      <w:r w:rsidRPr="00E46F60">
        <w:rPr>
          <w:rFonts w:ascii="Times New Roman" w:eastAsia="MS PGothic" w:hAnsi="Times New Roman" w:cs="Times New Roman"/>
        </w:rPr>
        <w:t>striped marlin stock shows evidence of substantial depletion of spawning potential (SSB</w:t>
      </w:r>
      <w:r w:rsidRPr="00E46F60">
        <w:rPr>
          <w:rFonts w:ascii="Times New Roman" w:eastAsia="MS PGothic" w:hAnsi="Times New Roman" w:cs="Times New Roman"/>
          <w:position w:val="-2"/>
        </w:rPr>
        <w:t xml:space="preserve">2017 </w:t>
      </w:r>
      <w:r w:rsidRPr="00E46F60">
        <w:rPr>
          <w:rFonts w:ascii="Times New Roman" w:eastAsia="MS PGothic" w:hAnsi="Times New Roman" w:cs="Times New Roman"/>
        </w:rPr>
        <w:t>is 62% below SSB</w:t>
      </w:r>
      <w:r w:rsidRPr="00E46F60">
        <w:rPr>
          <w:rFonts w:ascii="Times New Roman" w:eastAsia="MS PGothic" w:hAnsi="Times New Roman" w:cs="Times New Roman"/>
          <w:position w:val="-2"/>
        </w:rPr>
        <w:t>MSY</w:t>
      </w:r>
      <w:r w:rsidRPr="00E46F60">
        <w:rPr>
          <w:rFonts w:ascii="Times New Roman" w:eastAsia="MS PGothic" w:hAnsi="Times New Roman" w:cs="Times New Roman"/>
        </w:rPr>
        <w:t>), however fishing mortality has fluctuated around F</w:t>
      </w:r>
      <w:r w:rsidRPr="00E46F60">
        <w:rPr>
          <w:rFonts w:ascii="Times New Roman" w:eastAsia="MS PGothic" w:hAnsi="Times New Roman" w:cs="Times New Roman"/>
          <w:position w:val="-2"/>
          <w:vertAlign w:val="subscript"/>
        </w:rPr>
        <w:t>MSY</w:t>
      </w:r>
      <w:r w:rsidRPr="00E46F60">
        <w:rPr>
          <w:rFonts w:ascii="Times New Roman" w:eastAsia="MS PGothic" w:hAnsi="Times New Roman" w:cs="Times New Roman"/>
          <w:position w:val="-2"/>
        </w:rPr>
        <w:t xml:space="preserve"> </w:t>
      </w:r>
      <w:r w:rsidRPr="00E46F60">
        <w:rPr>
          <w:rFonts w:ascii="Times New Roman" w:eastAsia="MS PGothic" w:hAnsi="Times New Roman" w:cs="Times New Roman"/>
        </w:rPr>
        <w:t xml:space="preserve">in the last four years. The </w:t>
      </w:r>
      <w:r w:rsidRPr="00E46F60">
        <w:rPr>
          <w:rFonts w:ascii="Times New Roman" w:eastAsiaTheme="minorEastAsia" w:hAnsi="Times New Roman" w:cs="Times New Roman"/>
        </w:rPr>
        <w:t>WCNPO</w:t>
      </w:r>
      <w:r w:rsidRPr="00E46F60" w:rsidDel="009722ED">
        <w:rPr>
          <w:rFonts w:ascii="Times New Roman" w:eastAsia="MS PGothic" w:hAnsi="Times New Roman" w:cs="Times New Roman"/>
        </w:rPr>
        <w:t xml:space="preserve"> </w:t>
      </w:r>
      <w:r w:rsidRPr="00E46F60">
        <w:rPr>
          <w:rFonts w:ascii="Times New Roman" w:eastAsia="MS PGothic" w:hAnsi="Times New Roman" w:cs="Times New Roman"/>
        </w:rPr>
        <w:t xml:space="preserve">striped marlin stock has produced average annual yields of around 2,100 t per year since 2012, or about 40% of the MSY catch amount. However, </w:t>
      </w:r>
      <w:proofErr w:type="gramStart"/>
      <w:r w:rsidRPr="00E46F60">
        <w:rPr>
          <w:rFonts w:ascii="Times New Roman" w:eastAsia="MS PGothic" w:hAnsi="Times New Roman" w:cs="Times New Roman"/>
        </w:rPr>
        <w:t>the majority of</w:t>
      </w:r>
      <w:proofErr w:type="gramEnd"/>
      <w:r w:rsidRPr="00E46F60">
        <w:rPr>
          <w:rFonts w:ascii="Times New Roman" w:eastAsia="MS PGothic" w:hAnsi="Times New Roman" w:cs="Times New Roman"/>
        </w:rPr>
        <w:t xml:space="preserve"> the catch are likely immature fish. </w:t>
      </w:r>
      <w:proofErr w:type="gramStart"/>
      <w:r w:rsidRPr="00E46F60">
        <w:rPr>
          <w:rFonts w:ascii="Times New Roman" w:eastAsia="MS PGothic" w:hAnsi="Times New Roman" w:cs="Times New Roman"/>
        </w:rPr>
        <w:t>All of</w:t>
      </w:r>
      <w:proofErr w:type="gramEnd"/>
      <w:r w:rsidRPr="00E46F60">
        <w:rPr>
          <w:rFonts w:ascii="Times New Roman" w:eastAsia="MS PGothic" w:hAnsi="Times New Roman" w:cs="Times New Roman"/>
        </w:rPr>
        <w:t xml:space="preserve"> the projections show an increasing trend in spawning stock biomass during the 2018-2020 period, with the exception of the high F scenario under the short-term recruitment scenario. This increasing trend in SSB is due to the </w:t>
      </w:r>
      <w:proofErr w:type="gramStart"/>
      <w:r w:rsidRPr="00E46F60">
        <w:rPr>
          <w:rFonts w:ascii="Times New Roman" w:eastAsia="MS PGothic" w:hAnsi="Times New Roman" w:cs="Times New Roman"/>
        </w:rPr>
        <w:t>2017 year</w:t>
      </w:r>
      <w:proofErr w:type="gramEnd"/>
      <w:r w:rsidRPr="00E46F60">
        <w:rPr>
          <w:rFonts w:ascii="Times New Roman" w:eastAsia="MS PGothic" w:hAnsi="Times New Roman" w:cs="Times New Roman"/>
        </w:rPr>
        <w:t xml:space="preserve"> class, which is estimated from the stock-recruitment curve and is more than twice as large as recent average recruitment. </w:t>
      </w:r>
    </w:p>
    <w:p w14:paraId="0260116A"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3A88C3CF"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Based on these findings, the following conservation information is provided: </w:t>
      </w:r>
    </w:p>
    <w:p w14:paraId="2BCCADCD"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Projection results under the long-term recruitment scenario show that the stock has at least a 60% probability of rebuilding to 20%SSB</w:t>
      </w:r>
      <w:r w:rsidRPr="00E46F60">
        <w:rPr>
          <w:vertAlign w:val="subscript"/>
        </w:rPr>
        <w:t>0</w:t>
      </w:r>
      <w:r w:rsidRPr="00E46F60">
        <w:t xml:space="preserve">, the rebuilding target specified by NC14, by 2022 for all harvest scenarios, </w:t>
      </w:r>
      <w:proofErr w:type="gramStart"/>
      <w:r w:rsidRPr="00E46F60">
        <w:t>with the exception of</w:t>
      </w:r>
      <w:proofErr w:type="gramEnd"/>
      <w:r w:rsidRPr="00E46F60">
        <w:t xml:space="preserve"> the highest F scenario (Average F 1975-1977);</w:t>
      </w:r>
    </w:p>
    <w:p w14:paraId="66345488"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E46F60">
        <w:rPr>
          <w:vertAlign w:val="subscript"/>
        </w:rPr>
        <w:t>0</w:t>
      </w:r>
      <w:r w:rsidRPr="00E46F60">
        <w:t>=3,610 t</w:t>
      </w:r>
      <w:r w:rsidRPr="00E46F60">
        <w:rPr>
          <w:rStyle w:val="FootnoteReference"/>
        </w:rPr>
        <w:footnoteReference w:id="1"/>
      </w:r>
      <w:r w:rsidRPr="00E46F60">
        <w:rPr>
          <w:position w:val="8"/>
        </w:rPr>
        <w:t xml:space="preserve"> </w:t>
      </w:r>
      <w:r w:rsidRPr="00E46F60">
        <w:t xml:space="preserve">by 2022. This corresponds to a reduction of roughly 37% from the recent average yield of 2,151 t; </w:t>
      </w:r>
    </w:p>
    <w:p w14:paraId="009BD50E" w14:textId="77777777" w:rsidR="00E46F60" w:rsidRPr="00E46F60" w:rsidRDefault="00E46F60" w:rsidP="00565FAA">
      <w:pPr>
        <w:pStyle w:val="NormalWeb"/>
        <w:numPr>
          <w:ilvl w:val="0"/>
          <w:numId w:val="25"/>
        </w:numPr>
        <w:adjustRightInd w:val="0"/>
        <w:snapToGrid w:val="0"/>
        <w:spacing w:before="0" w:beforeAutospacing="0" w:after="0" w:afterAutospacing="0"/>
        <w:jc w:val="both"/>
      </w:pPr>
      <w:r w:rsidRPr="00E46F60">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E46F60">
        <w:rPr>
          <w:rFonts w:eastAsiaTheme="minorEastAsia"/>
        </w:rPr>
        <w:t>0</w:t>
      </w:r>
      <w:r w:rsidRPr="00E46F60">
        <w:t xml:space="preserve">3). </w:t>
      </w:r>
    </w:p>
    <w:p w14:paraId="75491FEC"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115A9687"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lastRenderedPageBreak/>
        <w:t xml:space="preserve">It was also noted that retrospective analyses show that the assessment model appears to overestimate spawning potential in recent years, which may mean the projection results are ecologically optimistic. </w:t>
      </w:r>
    </w:p>
    <w:p w14:paraId="5B4D6660"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435D4698"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b/>
          <w:bCs/>
        </w:rPr>
      </w:pPr>
      <w:r w:rsidRPr="00E46F60">
        <w:rPr>
          <w:rFonts w:ascii="Times New Roman" w:eastAsia="MS PGothic" w:hAnsi="Times New Roman" w:cs="Times New Roman"/>
          <w:b/>
          <w:bCs/>
        </w:rPr>
        <w:t xml:space="preserve">Special Comments </w:t>
      </w:r>
    </w:p>
    <w:p w14:paraId="6C6A0743"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3AA59192"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7CCE6E2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1665698D"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stock. </w:t>
      </w:r>
    </w:p>
    <w:p w14:paraId="4B8EF880"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46E01BC5"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b/>
          <w:bCs/>
        </w:rPr>
      </w:pPr>
      <w:r w:rsidRPr="00E46F60">
        <w:rPr>
          <w:rFonts w:ascii="Times New Roman" w:eastAsia="MS PGothic" w:hAnsi="Times New Roman" w:cs="Times New Roman"/>
          <w:b/>
          <w:bCs/>
        </w:rPr>
        <w:t xml:space="preserve">Research Needs </w:t>
      </w:r>
    </w:p>
    <w:p w14:paraId="1E96232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00CFF0DB"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To improve the stock assessment, the WG recommends continuing model development work, to reduce data conflicts and modeling uncertainties, and reevaluating and improving input assessment data. </w:t>
      </w:r>
    </w:p>
    <w:p w14:paraId="4457B8EE"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745E6537"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645DE3B8"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p>
    <w:p w14:paraId="00F5E3B0" w14:textId="77777777"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hAnsi="Times New Roman" w:cs="Times New Roman"/>
          <w:noProof/>
          <w:lang w:eastAsia="zh-CN" w:bidi="mn-Mong-CN"/>
        </w:rPr>
        <w:drawing>
          <wp:anchor distT="0" distB="0" distL="114300" distR="114300" simplePos="0" relativeHeight="251659264" behindDoc="0" locked="0" layoutInCell="1" allowOverlap="1" wp14:anchorId="22E62708" wp14:editId="727426CF">
            <wp:simplePos x="0" y="0"/>
            <wp:positionH relativeFrom="margin">
              <wp:posOffset>0</wp:posOffset>
            </wp:positionH>
            <wp:positionV relativeFrom="paragraph">
              <wp:posOffset>704850</wp:posOffset>
            </wp:positionV>
            <wp:extent cx="6071616" cy="2112264"/>
            <wp:effectExtent l="0" t="0" r="5715" b="2540"/>
            <wp:wrapTopAndBottom/>
            <wp:docPr id="158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 xml:space="preserve">1. </w:t>
      </w:r>
      <w:r w:rsidRPr="00E46F60">
        <w:rPr>
          <w:rFonts w:ascii="Times New Roman" w:eastAsia="MS PGothic" w:hAnsi="Times New Roman" w:cs="Times New Roman"/>
        </w:rPr>
        <w:t>Reported catch (t) used in the stock assessment along with annual estimates of population biomass (age-1 and older, t), female spawning biomass (t), relative female spawning biomass (</w:t>
      </w:r>
      <w:r w:rsidRPr="00E46F60">
        <w:rPr>
          <w:rFonts w:ascii="Times New Roman" w:eastAsia="MS PGothic" w:hAnsi="Times New Roman" w:cs="Times New Roman"/>
          <w:i/>
          <w:iCs/>
        </w:rPr>
        <w:t>SSB/SSB</w:t>
      </w:r>
      <w:r w:rsidRPr="00E46F60">
        <w:rPr>
          <w:rFonts w:ascii="Times New Roman" w:eastAsia="MS PGothic" w:hAnsi="Times New Roman" w:cs="Times New Roman"/>
          <w:i/>
          <w:iCs/>
          <w:vertAlign w:val="subscript"/>
        </w:rPr>
        <w:t>MSY</w:t>
      </w:r>
      <w:r w:rsidRPr="00E46F60">
        <w:rPr>
          <w:rFonts w:ascii="Times New Roman" w:eastAsia="MS PGothic" w:hAnsi="Times New Roman" w:cs="Times New Roman"/>
        </w:rPr>
        <w:t>), recruitment (thousands of age-0 fish), fishing mortality (average F, ages-3 – 12), relative fishing mortality (</w:t>
      </w:r>
      <w:r w:rsidRPr="00E46F60">
        <w:rPr>
          <w:rFonts w:ascii="Times New Roman" w:eastAsia="MS PGothic" w:hAnsi="Times New Roman" w:cs="Times New Roman"/>
          <w:i/>
          <w:iCs/>
        </w:rPr>
        <w:t>F/F</w:t>
      </w:r>
      <w:r w:rsidRPr="00E46F60">
        <w:rPr>
          <w:rFonts w:ascii="Times New Roman" w:eastAsia="MS PGothic" w:hAnsi="Times New Roman" w:cs="Times New Roman"/>
          <w:i/>
          <w:iCs/>
          <w:vertAlign w:val="subscript"/>
        </w:rPr>
        <w:t>MSY</w:t>
      </w:r>
      <w:r w:rsidRPr="00E46F60">
        <w:rPr>
          <w:rFonts w:ascii="Times New Roman" w:eastAsia="MS PGothic" w:hAnsi="Times New Roman" w:cs="Times New Roman"/>
        </w:rPr>
        <w:t xml:space="preserve">), and spawning potential ratio of WCNPO </w:t>
      </w:r>
      <w:r w:rsidRPr="00E46F60">
        <w:rPr>
          <w:rFonts w:ascii="Times New Roman" w:eastAsiaTheme="minorEastAsia" w:hAnsi="Times New Roman" w:cs="Times New Roman"/>
        </w:rPr>
        <w:t>striped marlin</w:t>
      </w:r>
      <w:r w:rsidRPr="00E46F60">
        <w:rPr>
          <w:rFonts w:ascii="Times New Roman" w:eastAsia="MS PGothic" w:hAnsi="Times New Roman" w:cs="Times New Roman"/>
        </w:rPr>
        <w:t xml:space="preserve">. </w:t>
      </w:r>
    </w:p>
    <w:p w14:paraId="742C823E" w14:textId="77777777" w:rsidR="00E46F60" w:rsidRPr="00E46F60" w:rsidRDefault="00E46F60" w:rsidP="00565FAA">
      <w:pPr>
        <w:pStyle w:val="NormalWeb"/>
        <w:adjustRightInd w:val="0"/>
        <w:snapToGrid w:val="0"/>
        <w:spacing w:before="0" w:beforeAutospacing="0" w:after="0" w:afterAutospacing="0"/>
      </w:pPr>
    </w:p>
    <w:p w14:paraId="6A8D8446" w14:textId="77777777"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hAnsi="Times New Roman" w:cs="Times New Roman"/>
          <w:noProof/>
          <w:lang w:eastAsia="zh-CN" w:bidi="mn-Mong-CN"/>
        </w:rPr>
        <w:lastRenderedPageBreak/>
        <w:drawing>
          <wp:anchor distT="0" distB="0" distL="114300" distR="114300" simplePos="0" relativeHeight="251660288" behindDoc="0" locked="0" layoutInCell="1" allowOverlap="1" wp14:anchorId="6D01C949" wp14:editId="7893D98C">
            <wp:simplePos x="0" y="0"/>
            <wp:positionH relativeFrom="column">
              <wp:posOffset>1303674</wp:posOffset>
            </wp:positionH>
            <wp:positionV relativeFrom="paragraph">
              <wp:posOffset>689003</wp:posOffset>
            </wp:positionV>
            <wp:extent cx="2899410" cy="1903095"/>
            <wp:effectExtent l="0" t="0" r="0" b="1905"/>
            <wp:wrapTopAndBottom/>
            <wp:docPr id="1588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9410" cy="1903095"/>
                    </a:xfrm>
                    <a:prstGeom prst="rect">
                      <a:avLst/>
                    </a:prstGeom>
                  </pic:spPr>
                </pic:pic>
              </a:graphicData>
            </a:graphic>
            <wp14:sizeRelH relativeFrom="margin">
              <wp14:pctWidth>0</wp14:pctWidth>
            </wp14:sizeRelH>
            <wp14:sizeRelV relativeFrom="margin">
              <wp14:pctHeight>0</wp14:pctHeight>
            </wp14:sizeRelV>
          </wp:anchor>
        </w:drawing>
      </w:r>
      <w:r w:rsidRPr="00E46F60">
        <w:rPr>
          <w:rFonts w:ascii="Times New Roman" w:eastAsia="MS PGothic" w:hAnsi="Times New Roman" w:cs="Times New Roman"/>
          <w:b/>
          <w:bCs/>
        </w:rPr>
        <w:t xml:space="preserve">Table </w:t>
      </w:r>
      <w:r w:rsidRPr="00E46F60">
        <w:rPr>
          <w:rFonts w:ascii="Times New Roman" w:eastAsiaTheme="minorEastAsia" w:hAnsi="Times New Roman" w:cs="Times New Roman"/>
          <w:b/>
          <w:bCs/>
        </w:rPr>
        <w:t>NMLS-0</w:t>
      </w:r>
      <w:r w:rsidRPr="00E46F60">
        <w:rPr>
          <w:rFonts w:ascii="Times New Roman" w:eastAsia="MS PGothic" w:hAnsi="Times New Roman" w:cs="Times New Roman"/>
          <w:b/>
          <w:bCs/>
        </w:rPr>
        <w:t xml:space="preserve">2. </w:t>
      </w:r>
      <w:r w:rsidRPr="00E46F60">
        <w:rPr>
          <w:rFonts w:ascii="Times New Roman" w:eastAsia="MS PGothic" w:hAnsi="Times New Roman" w:cs="Times New Roman"/>
        </w:rPr>
        <w:t xml:space="preserve">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 </w:t>
      </w:r>
    </w:p>
    <w:p w14:paraId="2AD55C4E" w14:textId="77777777" w:rsidR="00E46F60" w:rsidRDefault="00E46F60" w:rsidP="00565FAA">
      <w:pPr>
        <w:adjustRightInd w:val="0"/>
        <w:snapToGrid w:val="0"/>
        <w:spacing w:after="0" w:line="240" w:lineRule="auto"/>
        <w:jc w:val="both"/>
        <w:rPr>
          <w:rFonts w:ascii="Times New Roman" w:eastAsia="MS PGothic" w:hAnsi="Times New Roman" w:cs="Times New Roman"/>
          <w:b/>
          <w:bCs/>
        </w:rPr>
      </w:pPr>
    </w:p>
    <w:p w14:paraId="521871A2" w14:textId="54786C08" w:rsidR="00E46F60" w:rsidRPr="00E46F60" w:rsidRDefault="00E46F60" w:rsidP="00565FAA">
      <w:pPr>
        <w:adjustRightInd w:val="0"/>
        <w:snapToGrid w:val="0"/>
        <w:spacing w:after="0" w:line="240" w:lineRule="auto"/>
        <w:jc w:val="both"/>
        <w:rPr>
          <w:rFonts w:ascii="Times New Roman" w:eastAsia="MS PGothic" w:hAnsi="Times New Roman" w:cs="Times New Roman"/>
        </w:rPr>
      </w:pP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 xml:space="preserve">3. </w:t>
      </w:r>
      <w:r w:rsidRPr="00E46F60">
        <w:rPr>
          <w:rFonts w:ascii="Times New Roman" w:eastAsia="MS PGothic" w:hAnsi="Times New Roman" w:cs="Times New Roman"/>
        </w:rPr>
        <w:t xml:space="preserve">Projected median values of </w:t>
      </w:r>
      <w:r w:rsidRPr="00E46F60">
        <w:rPr>
          <w:rFonts w:ascii="Times New Roman" w:eastAsiaTheme="minorEastAsia" w:hAnsi="Times New Roman" w:cs="Times New Roman"/>
        </w:rPr>
        <w:t>WCNPO</w:t>
      </w:r>
      <w:r w:rsidRPr="00E46F60">
        <w:rPr>
          <w:rFonts w:ascii="Times New Roman" w:eastAsia="MS PGothic" w:hAnsi="Times New Roman" w:cs="Times New Roman"/>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the year in which this occurs is provided; NA indicates projections that did not meet this criterion. Note that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xml:space="preserve"> is 3,610 t and SSB</w:t>
      </w:r>
      <w:r w:rsidRPr="00E46F60">
        <w:rPr>
          <w:rFonts w:ascii="Times New Roman" w:eastAsia="MS PGothic" w:hAnsi="Times New Roman" w:cs="Times New Roman"/>
          <w:vertAlign w:val="subscript"/>
        </w:rPr>
        <w:t>MSY</w:t>
      </w:r>
      <w:r w:rsidRPr="00E46F60">
        <w:rPr>
          <w:rFonts w:ascii="Times New Roman" w:eastAsia="MS PGothic" w:hAnsi="Times New Roman" w:cs="Times New Roman"/>
        </w:rPr>
        <w:t xml:space="preserve"> is 2,604 t. </w:t>
      </w:r>
    </w:p>
    <w:p w14:paraId="0ECC2587"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drawing>
          <wp:inline distT="0" distB="0" distL="0" distR="0" wp14:anchorId="5B0DBC94" wp14:editId="6B8EFFDE">
            <wp:extent cx="4520485" cy="4549210"/>
            <wp:effectExtent l="0" t="0" r="0" b="3810"/>
            <wp:docPr id="158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7838" cy="4566673"/>
                    </a:xfrm>
                    <a:prstGeom prst="rect">
                      <a:avLst/>
                    </a:prstGeom>
                  </pic:spPr>
                </pic:pic>
              </a:graphicData>
            </a:graphic>
          </wp:inline>
        </w:drawing>
      </w:r>
    </w:p>
    <w:p w14:paraId="34FC25D7"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lastRenderedPageBreak/>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48448139"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drawing>
          <wp:inline distT="0" distB="0" distL="0" distR="0" wp14:anchorId="12B80DBD" wp14:editId="39F3C116">
            <wp:extent cx="5346700" cy="7378700"/>
            <wp:effectExtent l="0" t="0" r="0" b="0"/>
            <wp:docPr id="1588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12">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071E4991"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2FF8FBB2"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7DDCA218"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14436909"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79212A8D"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086A4A7A"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drawing>
          <wp:inline distT="0" distB="0" distL="0" distR="0" wp14:anchorId="57433006" wp14:editId="47963783">
            <wp:extent cx="5359400" cy="7340600"/>
            <wp:effectExtent l="0" t="0" r="0" b="0"/>
            <wp:docPr id="1588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13">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70B7E97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5A85189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3F0DD524"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10B68FF6" w14:textId="77777777" w:rsidR="00E46F60" w:rsidRPr="00E46F60" w:rsidRDefault="00E46F60" w:rsidP="00565FAA">
      <w:pPr>
        <w:adjustRightInd w:val="0"/>
        <w:snapToGrid w:val="0"/>
        <w:spacing w:after="0" w:line="240" w:lineRule="auto"/>
        <w:rPr>
          <w:rFonts w:ascii="Times New Roman" w:hAnsi="Times New Roman" w:cs="Times New Roman"/>
        </w:rPr>
      </w:pPr>
      <w:r w:rsidRPr="00E46F60">
        <w:rPr>
          <w:rFonts w:ascii="Times New Roman" w:eastAsia="MS PGothic" w:hAnsi="Times New Roman" w:cs="Times New Roman"/>
          <w:b/>
          <w:bCs/>
        </w:rPr>
        <w:lastRenderedPageBreak/>
        <w:t>Table NMLS-</w:t>
      </w:r>
      <w:r w:rsidRPr="00E46F60">
        <w:rPr>
          <w:rFonts w:ascii="Times New Roman" w:eastAsiaTheme="minorEastAsia" w:hAnsi="Times New Roman" w:cs="Times New Roman"/>
          <w:b/>
          <w:bCs/>
        </w:rPr>
        <w:t>0</w:t>
      </w:r>
      <w:r w:rsidRPr="00E46F60">
        <w:rPr>
          <w:rFonts w:ascii="Times New Roman" w:eastAsia="MS PGothic" w:hAnsi="Times New Roman" w:cs="Times New Roman"/>
          <w:b/>
          <w:bCs/>
        </w:rPr>
        <w:t>3. (Continued)</w:t>
      </w:r>
    </w:p>
    <w:p w14:paraId="46BD8797" w14:textId="77777777" w:rsidR="00E46F60" w:rsidRPr="00E46F60" w:rsidRDefault="00E46F60" w:rsidP="00565FAA">
      <w:pPr>
        <w:adjustRightInd w:val="0"/>
        <w:snapToGrid w:val="0"/>
        <w:spacing w:after="0" w:line="240" w:lineRule="auto"/>
        <w:jc w:val="center"/>
        <w:rPr>
          <w:rFonts w:ascii="Times New Roman" w:hAnsi="Times New Roman" w:cs="Times New Roman"/>
        </w:rPr>
      </w:pPr>
      <w:r w:rsidRPr="00E46F60">
        <w:rPr>
          <w:rFonts w:ascii="Times New Roman" w:hAnsi="Times New Roman" w:cs="Times New Roman"/>
          <w:noProof/>
          <w:lang w:eastAsia="zh-CN" w:bidi="mn-Mong-CN"/>
        </w:rPr>
        <w:drawing>
          <wp:inline distT="0" distB="0" distL="0" distR="0" wp14:anchorId="68DC748E" wp14:editId="6C704EDD">
            <wp:extent cx="5396230" cy="2196465"/>
            <wp:effectExtent l="0" t="0" r="1270" b="635"/>
            <wp:docPr id="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700780AC"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tbl>
      <w:tblPr>
        <w:tblStyle w:val="TableGrid"/>
        <w:tblW w:w="0" w:type="auto"/>
        <w:tblLook w:val="04A0" w:firstRow="1" w:lastRow="0" w:firstColumn="1" w:lastColumn="0" w:noHBand="0" w:noVBand="1"/>
      </w:tblPr>
      <w:tblGrid>
        <w:gridCol w:w="4725"/>
        <w:gridCol w:w="4635"/>
      </w:tblGrid>
      <w:tr w:rsidR="00E46F60" w:rsidRPr="00E46F60" w14:paraId="5A2893DA" w14:textId="77777777" w:rsidTr="00573C70">
        <w:tc>
          <w:tcPr>
            <w:tcW w:w="4788" w:type="dxa"/>
            <w:tcBorders>
              <w:top w:val="nil"/>
              <w:left w:val="nil"/>
              <w:bottom w:val="nil"/>
              <w:right w:val="nil"/>
            </w:tcBorders>
            <w:vAlign w:val="center"/>
          </w:tcPr>
          <w:p w14:paraId="6AE03800" w14:textId="77777777" w:rsidR="00E46F60" w:rsidRPr="00E46F60" w:rsidRDefault="00E46F60" w:rsidP="00565FAA">
            <w:pPr>
              <w:adjustRightInd w:val="0"/>
              <w:snapToGrid w:val="0"/>
              <w:jc w:val="center"/>
              <w:rPr>
                <w:rFonts w:ascii="Times New Roman" w:eastAsiaTheme="minorEastAsia" w:hAnsi="Times New Roman" w:cs="Times New Roman"/>
              </w:rPr>
            </w:pPr>
          </w:p>
          <w:p w14:paraId="36D13908" w14:textId="77777777" w:rsidR="00E46F60" w:rsidRPr="00E46F60" w:rsidRDefault="00E46F60" w:rsidP="00565FAA">
            <w:pPr>
              <w:adjustRightInd w:val="0"/>
              <w:snapToGrid w:val="0"/>
              <w:jc w:val="center"/>
              <w:rPr>
                <w:rFonts w:ascii="Times New Roman" w:eastAsiaTheme="minorEastAsia" w:hAnsi="Times New Roman" w:cs="Times New Roman"/>
              </w:rPr>
            </w:pPr>
          </w:p>
          <w:p w14:paraId="1385CA71" w14:textId="77777777" w:rsidR="00E46F60" w:rsidRPr="00E46F60" w:rsidRDefault="00E46F60" w:rsidP="00565FAA">
            <w:pPr>
              <w:adjustRightInd w:val="0"/>
              <w:snapToGrid w:val="0"/>
              <w:jc w:val="center"/>
              <w:rPr>
                <w:rFonts w:ascii="Times New Roman" w:eastAsiaTheme="minorEastAsia" w:hAnsi="Times New Roman" w:cs="Times New Roman"/>
              </w:rPr>
            </w:pPr>
          </w:p>
          <w:p w14:paraId="0EB3FF0F" w14:textId="77777777" w:rsidR="00E46F60" w:rsidRPr="00E46F60" w:rsidRDefault="00E46F60" w:rsidP="00565FAA">
            <w:pPr>
              <w:adjustRightInd w:val="0"/>
              <w:snapToGrid w:val="0"/>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2B8E67FA" wp14:editId="76610E43">
                  <wp:extent cx="2935381" cy="2073499"/>
                  <wp:effectExtent l="0" t="0" r="0" b="3175"/>
                  <wp:docPr id="2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4487" cy="2094059"/>
                          </a:xfrm>
                          <a:prstGeom prst="rect">
                            <a:avLst/>
                          </a:prstGeom>
                        </pic:spPr>
                      </pic:pic>
                    </a:graphicData>
                  </a:graphic>
                </wp:inline>
              </w:drawing>
            </w:r>
          </w:p>
        </w:tc>
        <w:tc>
          <w:tcPr>
            <w:tcW w:w="4788" w:type="dxa"/>
            <w:tcBorders>
              <w:top w:val="nil"/>
              <w:left w:val="nil"/>
              <w:bottom w:val="nil"/>
              <w:right w:val="nil"/>
            </w:tcBorders>
            <w:vAlign w:val="center"/>
          </w:tcPr>
          <w:p w14:paraId="2A4CAA28"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1F023848" wp14:editId="3335D82E">
                  <wp:extent cx="2873829" cy="2718267"/>
                  <wp:effectExtent l="0" t="0" r="3175" b="6350"/>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8401" cy="2732050"/>
                          </a:xfrm>
                          <a:prstGeom prst="rect">
                            <a:avLst/>
                          </a:prstGeom>
                        </pic:spPr>
                      </pic:pic>
                    </a:graphicData>
                  </a:graphic>
                </wp:inline>
              </w:drawing>
            </w:r>
          </w:p>
        </w:tc>
      </w:tr>
      <w:tr w:rsidR="00E46F60" w:rsidRPr="00E46F60" w14:paraId="344D5E28" w14:textId="77777777" w:rsidTr="00573C70">
        <w:tc>
          <w:tcPr>
            <w:tcW w:w="4788" w:type="dxa"/>
            <w:tcBorders>
              <w:top w:val="nil"/>
              <w:left w:val="nil"/>
              <w:bottom w:val="nil"/>
              <w:right w:val="nil"/>
            </w:tcBorders>
          </w:tcPr>
          <w:p w14:paraId="61BCEB6F"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 xml:space="preserve">Figure </w:t>
            </w:r>
            <w:r w:rsidRPr="00E46F60">
              <w:rPr>
                <w:rFonts w:ascii="Times New Roman" w:eastAsiaTheme="minorEastAsia" w:hAnsi="Times New Roman" w:cs="Times New Roman"/>
                <w:b/>
                <w:bCs/>
                <w:sz w:val="20"/>
                <w:szCs w:val="20"/>
              </w:rPr>
              <w:t>N</w:t>
            </w:r>
            <w:r w:rsidRPr="00E46F60">
              <w:rPr>
                <w:rFonts w:ascii="Times New Roman" w:eastAsia="MS PGothic" w:hAnsi="Times New Roman" w:cs="Times New Roman"/>
                <w:b/>
                <w:bCs/>
                <w:sz w:val="20"/>
                <w:szCs w:val="20"/>
              </w:rPr>
              <w:t>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1. </w:t>
            </w:r>
            <w:r w:rsidRPr="00E46F60">
              <w:rPr>
                <w:rFonts w:ascii="Times New Roman" w:eastAsia="MS PGothic" w:hAnsi="Times New Roman" w:cs="Times New Roman"/>
                <w:sz w:val="20"/>
                <w:szCs w:val="20"/>
              </w:rPr>
              <w:t>Time series of estimates of (a) population biomass (age 1+), (b) spawning biomass, (c) recruitment (age-0 fish), and (d) instantaneous fishing mortality (average for age 3-12, year</w:t>
            </w:r>
            <w:r w:rsidRPr="00E46F60">
              <w:rPr>
                <w:rFonts w:ascii="Times New Roman" w:eastAsia="MS PGothic" w:hAnsi="Times New Roman" w:cs="Times New Roman"/>
                <w:position w:val="6"/>
                <w:sz w:val="20"/>
                <w:szCs w:val="20"/>
              </w:rPr>
              <w:t>-1</w:t>
            </w:r>
            <w:r w:rsidRPr="00E46F60">
              <w:rPr>
                <w:rFonts w:ascii="Times New Roman" w:eastAsia="MS PGothic" w:hAnsi="Times New Roman" w:cs="Times New Roman"/>
                <w:sz w:val="20"/>
                <w:szCs w:val="20"/>
              </w:rPr>
              <w:t xml:space="preserve">) for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E46F60">
              <w:rPr>
                <w:rFonts w:ascii="Times New Roman" w:eastAsia="MS PGothic" w:hAnsi="Times New Roman" w:cs="Times New Roman"/>
                <w:sz w:val="20"/>
                <w:szCs w:val="20"/>
                <w:vertAlign w:val="subscript"/>
              </w:rPr>
              <w:t>MSY</w:t>
            </w:r>
            <w:r w:rsidRPr="00E46F60">
              <w:rPr>
                <w:rFonts w:ascii="Times New Roman" w:eastAsia="MS PGothic" w:hAnsi="Times New Roman" w:cs="Times New Roman"/>
                <w:sz w:val="20"/>
                <w:szCs w:val="20"/>
              </w:rPr>
              <w:t xml:space="preserve"> and F</w:t>
            </w:r>
            <w:r w:rsidRPr="00E46F60">
              <w:rPr>
                <w:rFonts w:ascii="Times New Roman" w:eastAsia="MS PGothic" w:hAnsi="Times New Roman" w:cs="Times New Roman"/>
                <w:sz w:val="20"/>
                <w:szCs w:val="20"/>
                <w:vertAlign w:val="subscript"/>
              </w:rPr>
              <w:t>MSY</w:t>
            </w:r>
            <w:r w:rsidRPr="00E46F60">
              <w:rPr>
                <w:rFonts w:ascii="Times New Roman" w:eastAsia="MS PGothic" w:hAnsi="Times New Roman" w:cs="Times New Roman"/>
                <w:sz w:val="20"/>
                <w:szCs w:val="20"/>
              </w:rPr>
              <w:t xml:space="preserve">. </w:t>
            </w:r>
          </w:p>
        </w:tc>
        <w:tc>
          <w:tcPr>
            <w:tcW w:w="4788" w:type="dxa"/>
            <w:tcBorders>
              <w:top w:val="nil"/>
              <w:left w:val="nil"/>
              <w:bottom w:val="nil"/>
              <w:right w:val="nil"/>
            </w:tcBorders>
          </w:tcPr>
          <w:p w14:paraId="27A0E7FA" w14:textId="77777777" w:rsidR="00E46F60" w:rsidRPr="00E46F60" w:rsidRDefault="00E46F60" w:rsidP="00565FAA">
            <w:pPr>
              <w:adjustRightInd w:val="0"/>
              <w:snapToGrid w:val="0"/>
              <w:jc w:val="both"/>
              <w:rPr>
                <w:rFonts w:ascii="Times New Roman" w:eastAsia="MS PGothic"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2. </w:t>
            </w:r>
            <w:r w:rsidRPr="00E46F60">
              <w:rPr>
                <w:rFonts w:ascii="Times New Roman" w:eastAsia="MS PGothic" w:hAnsi="Times New Roman" w:cs="Times New Roman"/>
                <w:sz w:val="20"/>
                <w:szCs w:val="20"/>
              </w:rPr>
              <w:t xml:space="preserve">Kobe plot of the time series of estimates of relative fishing mortality (average of age 3-12) and relative spawning stock biomass of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during 1975-2017. The white square denotes the first year (1975) of the assessment, the white circle denotes 2004, and the white triangle denotes the last year (2017) of the assessment. </w:t>
            </w:r>
          </w:p>
          <w:p w14:paraId="62F035D0" w14:textId="77777777" w:rsidR="00E46F60" w:rsidRPr="00E46F60" w:rsidRDefault="00E46F60" w:rsidP="00565FAA">
            <w:pPr>
              <w:adjustRightInd w:val="0"/>
              <w:snapToGrid w:val="0"/>
              <w:rPr>
                <w:rFonts w:ascii="Times New Roman" w:eastAsiaTheme="minorEastAsia" w:hAnsi="Times New Roman" w:cs="Times New Roman"/>
                <w:sz w:val="20"/>
                <w:szCs w:val="20"/>
              </w:rPr>
            </w:pPr>
          </w:p>
        </w:tc>
      </w:tr>
      <w:tr w:rsidR="00E46F60" w:rsidRPr="00E46F60" w14:paraId="2B1463E4" w14:textId="77777777" w:rsidTr="00573C70">
        <w:tc>
          <w:tcPr>
            <w:tcW w:w="4788" w:type="dxa"/>
            <w:tcBorders>
              <w:top w:val="nil"/>
              <w:left w:val="nil"/>
              <w:bottom w:val="nil"/>
              <w:right w:val="nil"/>
            </w:tcBorders>
            <w:vAlign w:val="center"/>
          </w:tcPr>
          <w:p w14:paraId="1721E619"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lastRenderedPageBreak/>
              <w:drawing>
                <wp:inline distT="0" distB="0" distL="0" distR="0" wp14:anchorId="33B33521" wp14:editId="7D09F359">
                  <wp:extent cx="2932445" cy="3605349"/>
                  <wp:effectExtent l="0" t="0" r="1270" b="0"/>
                  <wp:docPr id="2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8678" cy="3613013"/>
                          </a:xfrm>
                          <a:prstGeom prst="rect">
                            <a:avLst/>
                          </a:prstGeom>
                        </pic:spPr>
                      </pic:pic>
                    </a:graphicData>
                  </a:graphic>
                </wp:inline>
              </w:drawing>
            </w:r>
          </w:p>
        </w:tc>
        <w:tc>
          <w:tcPr>
            <w:tcW w:w="4788" w:type="dxa"/>
            <w:tcBorders>
              <w:top w:val="nil"/>
              <w:left w:val="nil"/>
              <w:bottom w:val="nil"/>
              <w:right w:val="nil"/>
            </w:tcBorders>
            <w:vAlign w:val="center"/>
          </w:tcPr>
          <w:p w14:paraId="0A84FE17" w14:textId="77777777" w:rsidR="00E46F60" w:rsidRPr="00E46F60" w:rsidRDefault="00E46F60" w:rsidP="00565FAA">
            <w:pPr>
              <w:adjustRightInd w:val="0"/>
              <w:snapToGrid w:val="0"/>
              <w:jc w:val="center"/>
              <w:rPr>
                <w:rFonts w:ascii="Times New Roman" w:eastAsiaTheme="minorEastAsia" w:hAnsi="Times New Roman" w:cs="Times New Roman"/>
              </w:rPr>
            </w:pPr>
            <w:r w:rsidRPr="00E46F60">
              <w:rPr>
                <w:rFonts w:ascii="Times New Roman" w:hAnsi="Times New Roman" w:cs="Times New Roman"/>
                <w:noProof/>
                <w:lang w:eastAsia="zh-CN" w:bidi="mn-Mong-CN"/>
              </w:rPr>
              <w:drawing>
                <wp:inline distT="0" distB="0" distL="0" distR="0" wp14:anchorId="01C99EAA" wp14:editId="2ED880A7">
                  <wp:extent cx="2860766" cy="3781063"/>
                  <wp:effectExtent l="0" t="0" r="0" b="0"/>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316" cy="3781790"/>
                          </a:xfrm>
                          <a:prstGeom prst="rect">
                            <a:avLst/>
                          </a:prstGeom>
                        </pic:spPr>
                      </pic:pic>
                    </a:graphicData>
                  </a:graphic>
                </wp:inline>
              </w:drawing>
            </w:r>
          </w:p>
        </w:tc>
      </w:tr>
      <w:tr w:rsidR="00E46F60" w:rsidRPr="00E46F60" w14:paraId="20C78945" w14:textId="77777777" w:rsidTr="00573C70">
        <w:tc>
          <w:tcPr>
            <w:tcW w:w="4788" w:type="dxa"/>
            <w:tcBorders>
              <w:top w:val="nil"/>
              <w:left w:val="nil"/>
              <w:bottom w:val="nil"/>
              <w:right w:val="nil"/>
            </w:tcBorders>
          </w:tcPr>
          <w:p w14:paraId="4848E9C2"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3. </w:t>
            </w:r>
            <w:r w:rsidRPr="00E46F60">
              <w:rPr>
                <w:rFonts w:ascii="Times New Roman" w:eastAsia="MS PGothic" w:hAnsi="Times New Roman" w:cs="Times New Roman"/>
                <w:sz w:val="20"/>
                <w:szCs w:val="20"/>
              </w:rPr>
              <w:t xml:space="preserve">Historical and projected trajectories of spawning biomass and total catch from the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base case model based upon F scenarios (projection 1-10): (a) projected spawning biomass and (b) projected catch. </w:t>
            </w:r>
          </w:p>
        </w:tc>
        <w:tc>
          <w:tcPr>
            <w:tcW w:w="4788" w:type="dxa"/>
            <w:tcBorders>
              <w:top w:val="nil"/>
              <w:left w:val="nil"/>
              <w:bottom w:val="nil"/>
              <w:right w:val="nil"/>
            </w:tcBorders>
          </w:tcPr>
          <w:p w14:paraId="303C9FB4" w14:textId="77777777" w:rsidR="00E46F60" w:rsidRPr="00E46F60" w:rsidRDefault="00E46F60" w:rsidP="00565FAA">
            <w:pPr>
              <w:adjustRightInd w:val="0"/>
              <w:snapToGrid w:val="0"/>
              <w:jc w:val="both"/>
              <w:rPr>
                <w:rFonts w:ascii="Times New Roman" w:eastAsiaTheme="minorEastAsia" w:hAnsi="Times New Roman" w:cs="Times New Roman"/>
                <w:sz w:val="20"/>
                <w:szCs w:val="20"/>
              </w:rPr>
            </w:pPr>
            <w:r w:rsidRPr="00E46F60">
              <w:rPr>
                <w:rFonts w:ascii="Times New Roman" w:eastAsia="MS PGothic" w:hAnsi="Times New Roman" w:cs="Times New Roman"/>
                <w:b/>
                <w:bCs/>
                <w:sz w:val="20"/>
                <w:szCs w:val="20"/>
              </w:rPr>
              <w:t>Figure NMLS-</w:t>
            </w:r>
            <w:r w:rsidRPr="00E46F60">
              <w:rPr>
                <w:rFonts w:ascii="Times New Roman" w:eastAsiaTheme="minorEastAsia" w:hAnsi="Times New Roman" w:cs="Times New Roman"/>
                <w:b/>
                <w:bCs/>
                <w:sz w:val="20"/>
                <w:szCs w:val="20"/>
              </w:rPr>
              <w:t>0</w:t>
            </w:r>
            <w:r w:rsidRPr="00E46F60">
              <w:rPr>
                <w:rFonts w:ascii="Times New Roman" w:eastAsia="MS PGothic" w:hAnsi="Times New Roman" w:cs="Times New Roman"/>
                <w:b/>
                <w:bCs/>
                <w:sz w:val="20"/>
                <w:szCs w:val="20"/>
              </w:rPr>
              <w:t xml:space="preserve">4. </w:t>
            </w:r>
            <w:r w:rsidRPr="00E46F60">
              <w:rPr>
                <w:rFonts w:ascii="Times New Roman" w:eastAsia="MS PGothic" w:hAnsi="Times New Roman" w:cs="Times New Roman"/>
                <w:sz w:val="20"/>
                <w:szCs w:val="20"/>
              </w:rPr>
              <w:t xml:space="preserve">Historical and projected trajectories of spawning biomass and total catch from the </w:t>
            </w:r>
            <w:r w:rsidRPr="00E46F60">
              <w:rPr>
                <w:rFonts w:ascii="Times New Roman" w:eastAsiaTheme="minorEastAsia" w:hAnsi="Times New Roman" w:cs="Times New Roman"/>
                <w:sz w:val="20"/>
                <w:szCs w:val="20"/>
              </w:rPr>
              <w:t>WCNPO</w:t>
            </w:r>
            <w:r w:rsidRPr="00E46F60">
              <w:rPr>
                <w:rFonts w:ascii="Times New Roman" w:eastAsia="MS PGothic" w:hAnsi="Times New Roman" w:cs="Times New Roman"/>
                <w:sz w:val="20"/>
                <w:szCs w:val="20"/>
              </w:rPr>
              <w:t xml:space="preserve"> striped marlin base case model based upon constant catch scenarios (projections 11-15): (a) projected spawning biomass; and (b) projected catch.</w:t>
            </w:r>
          </w:p>
        </w:tc>
      </w:tr>
    </w:tbl>
    <w:p w14:paraId="21E9DD7B" w14:textId="77777777" w:rsidR="00E46F60" w:rsidRPr="00E46F60" w:rsidRDefault="00E46F60" w:rsidP="00565FAA">
      <w:pPr>
        <w:adjustRightInd w:val="0"/>
        <w:snapToGrid w:val="0"/>
        <w:spacing w:after="0" w:line="240" w:lineRule="auto"/>
        <w:rPr>
          <w:rFonts w:ascii="Times New Roman" w:eastAsiaTheme="minorEastAsia" w:hAnsi="Times New Roman" w:cs="Times New Roman"/>
        </w:rPr>
      </w:pPr>
    </w:p>
    <w:p w14:paraId="23E2811E" w14:textId="77777777" w:rsidR="00E46F60" w:rsidRPr="00E46F60" w:rsidRDefault="00E46F60" w:rsidP="00565FAA">
      <w:pPr>
        <w:adjustRightInd w:val="0"/>
        <w:snapToGrid w:val="0"/>
        <w:spacing w:after="0" w:line="240" w:lineRule="auto"/>
        <w:ind w:left="720"/>
        <w:jc w:val="both"/>
        <w:rPr>
          <w:rFonts w:ascii="Times New Roman" w:eastAsia="MS PGothic" w:hAnsi="Times New Roman" w:cs="Times New Roman"/>
        </w:rPr>
      </w:pPr>
      <w:r w:rsidRPr="00E46F60">
        <w:rPr>
          <w:rFonts w:ascii="Times New Roman" w:eastAsia="MS PGothic" w:hAnsi="Times New Roman" w:cs="Times New Roman"/>
        </w:rPr>
        <w:t>Note on Figure NMLS-3 and Figure NMLS-4: Black lines are the long-term recruitment scenario results; grey lines show the short-term recruitment scenario results. The red dashed line shows the catch or spawning stock biomass at 20%SSB</w:t>
      </w:r>
      <w:r w:rsidRPr="00E46F60">
        <w:rPr>
          <w:rFonts w:ascii="Times New Roman" w:eastAsia="MS PGothic" w:hAnsi="Times New Roman" w:cs="Times New Roman"/>
          <w:vertAlign w:val="subscript"/>
        </w:rPr>
        <w:t>F=0</w:t>
      </w:r>
      <w:r w:rsidRPr="00E46F60">
        <w:rPr>
          <w:rFonts w:ascii="Times New Roman" w:eastAsia="MS PGothic" w:hAnsi="Times New Roman" w:cs="Times New Roman"/>
        </w:rPr>
        <w:t xml:space="preserve"> and the solid red line is the catch or spawning stock biomass at SSB</w:t>
      </w:r>
      <w:r w:rsidRPr="00E46F60">
        <w:rPr>
          <w:rFonts w:ascii="Times New Roman" w:eastAsia="MS PGothic" w:hAnsi="Times New Roman" w:cs="Times New Roman"/>
          <w:vertAlign w:val="subscript"/>
        </w:rPr>
        <w:t>MSY</w:t>
      </w:r>
      <w:r w:rsidRPr="00E46F60">
        <w:rPr>
          <w:rFonts w:ascii="Times New Roman" w:eastAsia="MS PGothic" w:hAnsi="Times New Roman" w:cs="Times New Roman"/>
        </w:rPr>
        <w:t>. The list of projection scenarios can be found in Table NMLS-</w:t>
      </w:r>
      <w:r w:rsidRPr="00E46F60">
        <w:rPr>
          <w:rFonts w:ascii="Times New Roman" w:eastAsiaTheme="minorEastAsia" w:hAnsi="Times New Roman" w:cs="Times New Roman"/>
        </w:rPr>
        <w:t>0</w:t>
      </w:r>
      <w:r w:rsidRPr="00E46F60">
        <w:rPr>
          <w:rFonts w:ascii="Times New Roman" w:eastAsia="MS PGothic" w:hAnsi="Times New Roman" w:cs="Times New Roman"/>
        </w:rPr>
        <w:t>3.</w:t>
      </w:r>
    </w:p>
    <w:p w14:paraId="4AE8D7D7" w14:textId="305D1E87" w:rsidR="00E46F60" w:rsidRPr="00E46F60" w:rsidRDefault="00E46F60" w:rsidP="00565FAA">
      <w:pPr>
        <w:pStyle w:val="Heading1"/>
        <w:adjustRightInd w:val="0"/>
        <w:snapToGrid w:val="0"/>
        <w:spacing w:before="0" w:line="240" w:lineRule="auto"/>
        <w:rPr>
          <w:rFonts w:ascii="Times New Roman" w:hAnsi="Times New Roman" w:cs="Times New Roman"/>
          <w:sz w:val="22"/>
          <w:szCs w:val="22"/>
        </w:rPr>
      </w:pPr>
    </w:p>
    <w:p w14:paraId="7F68FA94" w14:textId="77777777" w:rsidR="00E46F60" w:rsidRPr="00E46F60" w:rsidRDefault="00E46F60" w:rsidP="00565FAA">
      <w:pPr>
        <w:adjustRightInd w:val="0"/>
        <w:snapToGrid w:val="0"/>
        <w:spacing w:after="0" w:line="240" w:lineRule="auto"/>
        <w:rPr>
          <w:rFonts w:ascii="Times New Roman" w:hAnsi="Times New Roman" w:cs="Times New Roman"/>
        </w:rPr>
      </w:pPr>
    </w:p>
    <w:p w14:paraId="5679C948" w14:textId="77740E57" w:rsidR="00184FFA" w:rsidRPr="00E46F60" w:rsidRDefault="00184FFA" w:rsidP="00565FAA">
      <w:pPr>
        <w:pStyle w:val="Heading1"/>
        <w:adjustRightInd w:val="0"/>
        <w:snapToGrid w:val="0"/>
        <w:spacing w:before="0" w:line="240" w:lineRule="auto"/>
        <w:rPr>
          <w:rFonts w:ascii="Times New Roman" w:hAnsi="Times New Roman" w:cs="Times New Roman"/>
          <w:b/>
          <w:bCs/>
          <w:sz w:val="28"/>
          <w:szCs w:val="28"/>
        </w:rPr>
      </w:pPr>
      <w:bookmarkStart w:id="1" w:name="_Toc24987577"/>
      <w:r w:rsidRPr="00E46F60">
        <w:rPr>
          <w:rFonts w:ascii="Times New Roman" w:hAnsi="Times New Roman" w:cs="Times New Roman"/>
          <w:b/>
          <w:bCs/>
          <w:sz w:val="28"/>
          <w:szCs w:val="28"/>
        </w:rPr>
        <w:t>SC14 2018</w:t>
      </w:r>
      <w:r w:rsidR="00E46F60" w:rsidRPr="00E46F60">
        <w:rPr>
          <w:rFonts w:ascii="Times New Roman" w:hAnsi="Times New Roman" w:cs="Times New Roman"/>
          <w:b/>
          <w:bCs/>
          <w:sz w:val="28"/>
          <w:szCs w:val="28"/>
        </w:rPr>
        <w:t xml:space="preserve"> (NO STOCK ASSESSMENT)</w:t>
      </w:r>
      <w:bookmarkEnd w:id="1"/>
    </w:p>
    <w:p w14:paraId="7F5B5A33" w14:textId="77777777" w:rsidR="00E46F60" w:rsidRPr="00E46F60" w:rsidRDefault="00E46F60" w:rsidP="00565FAA">
      <w:pPr>
        <w:tabs>
          <w:tab w:val="left" w:pos="820"/>
        </w:tabs>
        <w:adjustRightInd w:val="0"/>
        <w:snapToGrid w:val="0"/>
        <w:spacing w:after="0" w:line="240" w:lineRule="auto"/>
        <w:rPr>
          <w:rFonts w:ascii="Times New Roman" w:hAnsi="Times New Roman" w:cs="Times New Roman"/>
          <w:b/>
          <w:sz w:val="24"/>
          <w:szCs w:val="24"/>
        </w:rPr>
      </w:pPr>
    </w:p>
    <w:p w14:paraId="192BB789" w14:textId="68D041DB" w:rsidR="00184FFA" w:rsidRPr="00E46F60" w:rsidRDefault="00184FFA" w:rsidP="00565FAA">
      <w:pPr>
        <w:pStyle w:val="ListParagraph"/>
        <w:numPr>
          <w:ilvl w:val="1"/>
          <w:numId w:val="22"/>
        </w:numPr>
        <w:adjustRightInd w:val="0"/>
        <w:snapToGrid w:val="0"/>
        <w:ind w:left="0" w:firstLine="0"/>
        <w:contextualSpacing w:val="0"/>
        <w:rPr>
          <w:rFonts w:ascii="Times New Roman" w:hAnsi="Times New Roman"/>
          <w:b/>
          <w:sz w:val="24"/>
          <w:szCs w:val="24"/>
        </w:rPr>
      </w:pPr>
      <w:r w:rsidRPr="00E46F60">
        <w:rPr>
          <w:rFonts w:ascii="Times New Roman" w:hAnsi="Times New Roman"/>
          <w:b/>
          <w:sz w:val="24"/>
          <w:szCs w:val="24"/>
        </w:rPr>
        <w:t xml:space="preserve">Stock </w:t>
      </w:r>
      <w:r w:rsidR="00F8297B">
        <w:rPr>
          <w:rFonts w:ascii="Times New Roman" w:hAnsi="Times New Roman"/>
          <w:b/>
          <w:sz w:val="24"/>
          <w:szCs w:val="24"/>
        </w:rPr>
        <w:t>s</w:t>
      </w:r>
      <w:r w:rsidRPr="00E46F60">
        <w:rPr>
          <w:rFonts w:ascii="Times New Roman" w:hAnsi="Times New Roman"/>
          <w:b/>
          <w:sz w:val="24"/>
          <w:szCs w:val="24"/>
        </w:rPr>
        <w:t>tatus</w:t>
      </w:r>
      <w:r w:rsidR="00F8297B">
        <w:rPr>
          <w:rFonts w:ascii="Times New Roman" w:hAnsi="Times New Roman"/>
          <w:b/>
          <w:sz w:val="24"/>
          <w:szCs w:val="24"/>
        </w:rPr>
        <w:t xml:space="preserve"> and trends</w:t>
      </w:r>
    </w:p>
    <w:p w14:paraId="3D2CB738" w14:textId="77777777" w:rsidR="00184FFA" w:rsidRPr="00E46F60" w:rsidRDefault="00184FFA" w:rsidP="00565FAA">
      <w:pPr>
        <w:pStyle w:val="BodyText"/>
        <w:adjustRightInd w:val="0"/>
        <w:snapToGrid w:val="0"/>
        <w:rPr>
          <w:rFonts w:cs="Times New Roman"/>
        </w:rPr>
      </w:pPr>
    </w:p>
    <w:p w14:paraId="777DBEE0" w14:textId="38881E97" w:rsidR="00184FFA" w:rsidRPr="00F8297B" w:rsidRDefault="00184FFA" w:rsidP="00565FAA">
      <w:pPr>
        <w:pStyle w:val="ListParagraph"/>
        <w:numPr>
          <w:ilvl w:val="0"/>
          <w:numId w:val="26"/>
        </w:numPr>
        <w:adjustRightInd w:val="0"/>
        <w:snapToGrid w:val="0"/>
        <w:ind w:left="0" w:right="116" w:firstLine="0"/>
        <w:contextualSpacing w:val="0"/>
        <w:rPr>
          <w:rFonts w:ascii="Times New Roman" w:hAnsi="Times New Roman"/>
          <w:bCs/>
        </w:rPr>
      </w:pPr>
      <w:r w:rsidRPr="00F8297B">
        <w:rPr>
          <w:rFonts w:ascii="Times New Roman" w:hAnsi="Times New Roman"/>
          <w:bCs/>
        </w:rPr>
        <w:t>SC14 noted that no stock assessments were conducted for North Pacific striped marlin in 2018. Therefore, the stock status descriptions from SC11 are still current for North Pacific striped marlin. Updated information on catches was not compiled for and reviewed by</w:t>
      </w:r>
      <w:r w:rsidRPr="00F8297B">
        <w:rPr>
          <w:rFonts w:ascii="Times New Roman" w:hAnsi="Times New Roman"/>
          <w:bCs/>
          <w:spacing w:val="-19"/>
        </w:rPr>
        <w:t xml:space="preserve"> </w:t>
      </w:r>
      <w:r w:rsidRPr="00F8297B">
        <w:rPr>
          <w:rFonts w:ascii="Times New Roman" w:hAnsi="Times New Roman"/>
          <w:bCs/>
        </w:rPr>
        <w:t>SC14.</w:t>
      </w:r>
    </w:p>
    <w:p w14:paraId="2E1087EB"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rPr>
      </w:pPr>
    </w:p>
    <w:p w14:paraId="4B3B159E" w14:textId="709295E7" w:rsidR="00184FFA" w:rsidRPr="00F8297B" w:rsidRDefault="00184FFA" w:rsidP="00565FAA">
      <w:pPr>
        <w:pStyle w:val="ListParagraph"/>
        <w:numPr>
          <w:ilvl w:val="0"/>
          <w:numId w:val="26"/>
        </w:numPr>
        <w:adjustRightInd w:val="0"/>
        <w:snapToGrid w:val="0"/>
        <w:ind w:left="0" w:right="116" w:firstLine="0"/>
        <w:contextualSpacing w:val="0"/>
        <w:rPr>
          <w:rFonts w:ascii="Times New Roman" w:hAnsi="Times New Roman"/>
          <w:bCs/>
        </w:rPr>
      </w:pPr>
      <w:r w:rsidRPr="00F8297B">
        <w:rPr>
          <w:rFonts w:ascii="Times New Roman" w:hAnsi="Times New Roman"/>
          <w:bCs/>
        </w:rPr>
        <w:t>To emphasize the importance of developing a stock rebuilding plan for North Pacific striped marlin, SC14 reiterated the ISC15 stock status information, excerpted from SC11:</w:t>
      </w:r>
    </w:p>
    <w:p w14:paraId="34B920AC"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sz w:val="24"/>
          <w:szCs w:val="24"/>
        </w:rPr>
      </w:pPr>
    </w:p>
    <w:p w14:paraId="3D272AE5"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 xml:space="preserve">“Estimates of population biomass of the Western and Central North Pacific (WCNPO) striped marlin stock (Kajikia audax) exhibit a long-term decline (Table 1). Population biomass (age-1 and older) averaged roughly 20,513 mt, or 46% of unfished biomass during 1975-1979, the first 5 years of the assessment time frame, and declined to 6,819 mt, or 15% of unfished biomass in </w:t>
      </w:r>
      <w:r w:rsidRPr="00E46F60">
        <w:rPr>
          <w:rFonts w:ascii="Times New Roman" w:hAnsi="Times New Roman" w:cs="Times New Roman"/>
        </w:rPr>
        <w:lastRenderedPageBreak/>
        <w:t>2013. Spawning stock biomass is estimated to be 1,094 mt in 2013 (39% of SSBMSY, the spawning stock biomass to produce MSY). Fishing mortality on the stock (average F on ages 3 and older) is currently high and averaged roughly F =0.94 during 2010-2012, or 49% above FMSY. The predicted value of the spawning potential ratio (SPR, the predicted spawning output at current F as a fraction of unfished spawning output) is currently SPR2010-2012 = 12% which is 33% below the level of SPR required to produce MSY. Recruitment averaged about 308 thousand recruits during 1994-2011, which was 25% below the 1975-2013 average. No target or limit reference points have been established for the WCNPO striped marlin stock under the auspices of the WCPFC.</w:t>
      </w:r>
    </w:p>
    <w:p w14:paraId="22A566D0" w14:textId="77777777" w:rsidR="00184FFA" w:rsidRPr="00E46F60" w:rsidRDefault="00184FFA" w:rsidP="00565FAA">
      <w:pPr>
        <w:adjustRightInd w:val="0"/>
        <w:snapToGrid w:val="0"/>
        <w:spacing w:after="0" w:line="240" w:lineRule="auto"/>
        <w:ind w:left="720"/>
        <w:rPr>
          <w:rFonts w:ascii="Times New Roman" w:hAnsi="Times New Roman" w:cs="Times New Roman"/>
        </w:rPr>
      </w:pPr>
    </w:p>
    <w:p w14:paraId="3E660850"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 xml:space="preserve">The WCNPO striped marlin stock is expected to be highly productive due to its rapid growth and high resilience to reductions in spawning potential. The status of the stock is highly dependent on the magnitude of recruitment, which has been below its long-term average since 2007, </w:t>
      </w:r>
      <w:proofErr w:type="gramStart"/>
      <w:r w:rsidRPr="00E46F60">
        <w:rPr>
          <w:rFonts w:ascii="Times New Roman" w:hAnsi="Times New Roman" w:cs="Times New Roman"/>
        </w:rPr>
        <w:t>with the exception of</w:t>
      </w:r>
      <w:proofErr w:type="gramEnd"/>
      <w:r w:rsidRPr="00E46F60">
        <w:rPr>
          <w:rFonts w:ascii="Times New Roman" w:hAnsi="Times New Roman" w:cs="Times New Roman"/>
        </w:rPr>
        <w:t xml:space="preserve"> 2010 (Table S1). Changes in recent size composition data in comparison to the previous assessment resulted in changes in fishery selectivity estimates </w:t>
      </w:r>
      <w:proofErr w:type="gramStart"/>
      <w:r w:rsidRPr="00E46F60">
        <w:rPr>
          <w:rFonts w:ascii="Times New Roman" w:hAnsi="Times New Roman" w:cs="Times New Roman"/>
        </w:rPr>
        <w:t>and also</w:t>
      </w:r>
      <w:proofErr w:type="gramEnd"/>
      <w:r w:rsidRPr="00E46F60">
        <w:rPr>
          <w:rFonts w:ascii="Times New Roman" w:hAnsi="Times New Roman" w:cs="Times New Roman"/>
        </w:rPr>
        <w:t xml:space="preserve"> affected recruitment estimates. This, in turn, affected the scaling of biomass and fishing mortality to reference levels.</w:t>
      </w:r>
    </w:p>
    <w:p w14:paraId="6B59BB3A" w14:textId="77777777" w:rsidR="00184FFA" w:rsidRPr="00E46F60" w:rsidRDefault="00184FFA" w:rsidP="00565FAA">
      <w:pPr>
        <w:pStyle w:val="ListParagraph"/>
        <w:tabs>
          <w:tab w:val="left" w:pos="820"/>
        </w:tabs>
        <w:adjustRightInd w:val="0"/>
        <w:snapToGrid w:val="0"/>
        <w:ind w:left="0" w:right="116" w:firstLine="0"/>
        <w:contextualSpacing w:val="0"/>
        <w:rPr>
          <w:rFonts w:ascii="Times New Roman" w:hAnsi="Times New Roman"/>
        </w:rPr>
      </w:pPr>
    </w:p>
    <w:p w14:paraId="6C709BED" w14:textId="77777777" w:rsidR="00184FFA" w:rsidRPr="00E46F60" w:rsidRDefault="00184FFA" w:rsidP="00565FAA">
      <w:pPr>
        <w:pStyle w:val="BodyText"/>
        <w:adjustRightInd w:val="0"/>
        <w:snapToGrid w:val="0"/>
        <w:ind w:left="120" w:right="117"/>
        <w:jc w:val="both"/>
        <w:rPr>
          <w:rFonts w:cs="Times New Roman"/>
        </w:rPr>
      </w:pPr>
      <w:r w:rsidRPr="00F8297B">
        <w:rPr>
          <w:rFonts w:cs="Times New Roman"/>
          <w:b/>
          <w:bCs/>
        </w:rPr>
        <w:t>Table S1</w:t>
      </w:r>
      <w:r w:rsidRPr="00E46F60">
        <w:rPr>
          <w:rFonts w:cs="Times New Roman"/>
        </w:rPr>
        <w:t xml:space="preserve">: Reported annual values of catch (mt), </w:t>
      </w:r>
      <w:proofErr w:type="spellStart"/>
      <w:r w:rsidRPr="00E46F60">
        <w:rPr>
          <w:rFonts w:cs="Times New Roman"/>
        </w:rPr>
        <w:t>poulation</w:t>
      </w:r>
      <w:proofErr w:type="spellEnd"/>
      <w:r w:rsidRPr="00E46F60">
        <w:rPr>
          <w:rFonts w:cs="Times New Roman"/>
        </w:rPr>
        <w:t xml:space="preserve"> biomass (mt), spawning stock biomass (mt), </w:t>
      </w:r>
      <w:r w:rsidRPr="00E46F60">
        <w:rPr>
          <w:rFonts w:cs="Times New Roman"/>
          <w:position w:val="2"/>
        </w:rPr>
        <w:t>relative</w:t>
      </w:r>
      <w:r w:rsidRPr="00E46F60">
        <w:rPr>
          <w:rFonts w:cs="Times New Roman"/>
          <w:spacing w:val="-3"/>
          <w:position w:val="2"/>
        </w:rPr>
        <w:t xml:space="preserve"> spawning stock </w:t>
      </w:r>
      <w:r w:rsidRPr="00E46F60">
        <w:rPr>
          <w:rFonts w:cs="Times New Roman"/>
          <w:position w:val="2"/>
        </w:rPr>
        <w:t>biomass</w:t>
      </w:r>
      <w:r w:rsidRPr="00E46F60">
        <w:rPr>
          <w:rFonts w:cs="Times New Roman"/>
          <w:spacing w:val="-3"/>
          <w:position w:val="2"/>
        </w:rPr>
        <w:t xml:space="preserve"> </w:t>
      </w:r>
      <w:r w:rsidRPr="00E46F60">
        <w:rPr>
          <w:rFonts w:cs="Times New Roman"/>
          <w:i/>
          <w:position w:val="2"/>
        </w:rPr>
        <w:t>SSB/SSB</w:t>
      </w:r>
      <w:r w:rsidRPr="00E46F60">
        <w:rPr>
          <w:rFonts w:cs="Times New Roman"/>
          <w:i/>
          <w:sz w:val="14"/>
        </w:rPr>
        <w:t>MSY</w:t>
      </w:r>
      <w:r w:rsidRPr="00E46F60">
        <w:rPr>
          <w:rFonts w:cs="Times New Roman"/>
          <w:position w:val="2"/>
        </w:rPr>
        <w:t>),</w:t>
      </w:r>
      <w:r w:rsidRPr="00E46F60">
        <w:rPr>
          <w:rFonts w:cs="Times New Roman"/>
          <w:spacing w:val="-3"/>
          <w:position w:val="2"/>
        </w:rPr>
        <w:t xml:space="preserve"> recruitment (000s), </w:t>
      </w:r>
      <w:r w:rsidRPr="00E46F60">
        <w:rPr>
          <w:rFonts w:cs="Times New Roman"/>
          <w:position w:val="2"/>
        </w:rPr>
        <w:t>fishing mortality,</w:t>
      </w:r>
      <w:r w:rsidRPr="00E46F60">
        <w:rPr>
          <w:rFonts w:cs="Times New Roman"/>
          <w:spacing w:val="-6"/>
          <w:position w:val="2"/>
        </w:rPr>
        <w:t xml:space="preserve"> </w:t>
      </w:r>
      <w:r w:rsidRPr="00E46F60">
        <w:rPr>
          <w:rFonts w:cs="Times New Roman"/>
          <w:position w:val="2"/>
        </w:rPr>
        <w:t>relative</w:t>
      </w:r>
      <w:r w:rsidRPr="00E46F60">
        <w:rPr>
          <w:rFonts w:cs="Times New Roman"/>
          <w:spacing w:val="-5"/>
          <w:position w:val="2"/>
        </w:rPr>
        <w:t xml:space="preserve"> </w:t>
      </w:r>
      <w:r w:rsidRPr="00E46F60">
        <w:rPr>
          <w:rFonts w:cs="Times New Roman"/>
          <w:position w:val="2"/>
        </w:rPr>
        <w:t>fishing mortality</w:t>
      </w:r>
      <w:r w:rsidRPr="00E46F60">
        <w:rPr>
          <w:rFonts w:cs="Times New Roman"/>
          <w:spacing w:val="-5"/>
          <w:position w:val="2"/>
        </w:rPr>
        <w:t xml:space="preserve"> </w:t>
      </w:r>
      <w:r w:rsidRPr="00E46F60">
        <w:rPr>
          <w:rFonts w:cs="Times New Roman"/>
          <w:position w:val="2"/>
        </w:rPr>
        <w:t>(</w:t>
      </w:r>
      <w:r w:rsidRPr="00E46F60">
        <w:rPr>
          <w:rFonts w:cs="Times New Roman"/>
          <w:i/>
          <w:position w:val="2"/>
        </w:rPr>
        <w:t>F/F</w:t>
      </w:r>
      <w:r w:rsidRPr="00E46F60">
        <w:rPr>
          <w:rFonts w:cs="Times New Roman"/>
          <w:i/>
          <w:sz w:val="14"/>
        </w:rPr>
        <w:t>MSY</w:t>
      </w:r>
      <w:r w:rsidRPr="00E46F60">
        <w:rPr>
          <w:rFonts w:cs="Times New Roman"/>
          <w:position w:val="2"/>
        </w:rPr>
        <w:t>),</w:t>
      </w:r>
      <w:r w:rsidRPr="00E46F60">
        <w:rPr>
          <w:rFonts w:cs="Times New Roman"/>
          <w:spacing w:val="-3"/>
          <w:position w:val="2"/>
        </w:rPr>
        <w:t xml:space="preserve"> exploitation rate, </w:t>
      </w:r>
      <w:r w:rsidRPr="00E46F60">
        <w:rPr>
          <w:rFonts w:cs="Times New Roman"/>
          <w:position w:val="2"/>
        </w:rPr>
        <w:t>and spawning potential ration for the WCNPO striped marlin stock.</w:t>
      </w: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05"/>
        <w:gridCol w:w="735"/>
        <w:gridCol w:w="704"/>
        <w:gridCol w:w="706"/>
        <w:gridCol w:w="706"/>
        <w:gridCol w:w="703"/>
        <w:gridCol w:w="703"/>
        <w:gridCol w:w="673"/>
        <w:gridCol w:w="743"/>
        <w:gridCol w:w="697"/>
        <w:gridCol w:w="682"/>
      </w:tblGrid>
      <w:tr w:rsidR="00184FFA" w:rsidRPr="00E46F60" w14:paraId="0ED635B6" w14:textId="77777777" w:rsidTr="00241D89">
        <w:trPr>
          <w:trHeight w:hRule="exact" w:val="214"/>
        </w:trPr>
        <w:tc>
          <w:tcPr>
            <w:tcW w:w="2305" w:type="dxa"/>
            <w:tcBorders>
              <w:top w:val="single" w:sz="3" w:space="0" w:color="000000"/>
              <w:bottom w:val="single" w:sz="3" w:space="0" w:color="000000"/>
            </w:tcBorders>
            <w:shd w:val="clear" w:color="auto" w:fill="D8D8D8"/>
          </w:tcPr>
          <w:p w14:paraId="371AB6AE" w14:textId="77777777" w:rsidR="00184FFA" w:rsidRPr="00E46F60" w:rsidRDefault="00184FFA" w:rsidP="00565FAA">
            <w:pPr>
              <w:pStyle w:val="TableParagraph"/>
              <w:adjustRightInd w:val="0"/>
              <w:snapToGrid w:val="0"/>
              <w:ind w:left="942" w:right="942"/>
              <w:jc w:val="center"/>
              <w:rPr>
                <w:rFonts w:ascii="Times New Roman" w:hAnsi="Times New Roman" w:cs="Times New Roman"/>
                <w:b/>
                <w:sz w:val="18"/>
              </w:rPr>
            </w:pPr>
            <w:r w:rsidRPr="00E46F60">
              <w:rPr>
                <w:rFonts w:ascii="Times New Roman" w:hAnsi="Times New Roman" w:cs="Times New Roman"/>
                <w:b/>
                <w:sz w:val="18"/>
              </w:rPr>
              <w:t>Year</w:t>
            </w:r>
          </w:p>
        </w:tc>
        <w:tc>
          <w:tcPr>
            <w:tcW w:w="735" w:type="dxa"/>
            <w:tcBorders>
              <w:top w:val="single" w:sz="3" w:space="0" w:color="000000"/>
              <w:bottom w:val="single" w:sz="3" w:space="0" w:color="000000"/>
            </w:tcBorders>
            <w:shd w:val="clear" w:color="auto" w:fill="D8D8D8"/>
          </w:tcPr>
          <w:p w14:paraId="16DEF420" w14:textId="77777777" w:rsidR="00184FFA" w:rsidRPr="00E46F60" w:rsidRDefault="00184FFA" w:rsidP="00565FAA">
            <w:pPr>
              <w:pStyle w:val="TableParagraph"/>
              <w:adjustRightInd w:val="0"/>
              <w:snapToGrid w:val="0"/>
              <w:ind w:left="169"/>
              <w:rPr>
                <w:rFonts w:ascii="Times New Roman" w:hAnsi="Times New Roman" w:cs="Times New Roman"/>
                <w:b/>
                <w:sz w:val="18"/>
              </w:rPr>
            </w:pPr>
            <w:r w:rsidRPr="00E46F60">
              <w:rPr>
                <w:rFonts w:ascii="Times New Roman" w:hAnsi="Times New Roman" w:cs="Times New Roman"/>
                <w:b/>
                <w:sz w:val="18"/>
              </w:rPr>
              <w:t>2007</w:t>
            </w:r>
          </w:p>
        </w:tc>
        <w:tc>
          <w:tcPr>
            <w:tcW w:w="704" w:type="dxa"/>
            <w:tcBorders>
              <w:top w:val="single" w:sz="3" w:space="0" w:color="000000"/>
              <w:bottom w:val="single" w:sz="3" w:space="0" w:color="000000"/>
            </w:tcBorders>
            <w:shd w:val="clear" w:color="auto" w:fill="D8D8D8"/>
          </w:tcPr>
          <w:p w14:paraId="02482AF9" w14:textId="77777777" w:rsidR="00184FFA" w:rsidRPr="00E46F60" w:rsidRDefault="00184FFA" w:rsidP="00565FAA">
            <w:pPr>
              <w:pStyle w:val="TableParagraph"/>
              <w:adjustRightInd w:val="0"/>
              <w:snapToGrid w:val="0"/>
              <w:ind w:left="137"/>
              <w:rPr>
                <w:rFonts w:ascii="Times New Roman" w:hAnsi="Times New Roman" w:cs="Times New Roman"/>
                <w:b/>
                <w:sz w:val="18"/>
              </w:rPr>
            </w:pPr>
            <w:r w:rsidRPr="00E46F60">
              <w:rPr>
                <w:rFonts w:ascii="Times New Roman" w:hAnsi="Times New Roman" w:cs="Times New Roman"/>
                <w:b/>
                <w:sz w:val="18"/>
              </w:rPr>
              <w:t>2008</w:t>
            </w:r>
          </w:p>
        </w:tc>
        <w:tc>
          <w:tcPr>
            <w:tcW w:w="706" w:type="dxa"/>
            <w:tcBorders>
              <w:top w:val="single" w:sz="3" w:space="0" w:color="000000"/>
              <w:bottom w:val="single" w:sz="3" w:space="0" w:color="000000"/>
            </w:tcBorders>
            <w:shd w:val="clear" w:color="auto" w:fill="D8D8D8"/>
          </w:tcPr>
          <w:p w14:paraId="25A5408A" w14:textId="77777777" w:rsidR="00184FFA" w:rsidRPr="00E46F60" w:rsidRDefault="00184FFA" w:rsidP="00565FAA">
            <w:pPr>
              <w:pStyle w:val="TableParagraph"/>
              <w:adjustRightInd w:val="0"/>
              <w:snapToGrid w:val="0"/>
              <w:ind w:right="203"/>
              <w:rPr>
                <w:rFonts w:ascii="Times New Roman" w:hAnsi="Times New Roman" w:cs="Times New Roman"/>
                <w:b/>
                <w:sz w:val="18"/>
              </w:rPr>
            </w:pPr>
            <w:r w:rsidRPr="00E46F60">
              <w:rPr>
                <w:rFonts w:ascii="Times New Roman" w:hAnsi="Times New Roman" w:cs="Times New Roman"/>
                <w:b/>
                <w:sz w:val="18"/>
              </w:rPr>
              <w:t>2009</w:t>
            </w:r>
          </w:p>
        </w:tc>
        <w:tc>
          <w:tcPr>
            <w:tcW w:w="706" w:type="dxa"/>
            <w:tcBorders>
              <w:top w:val="single" w:sz="3" w:space="0" w:color="000000"/>
              <w:bottom w:val="single" w:sz="3" w:space="0" w:color="000000"/>
            </w:tcBorders>
            <w:shd w:val="clear" w:color="auto" w:fill="D8D8D8"/>
          </w:tcPr>
          <w:p w14:paraId="4FA9BCCF" w14:textId="77777777" w:rsidR="00184FFA" w:rsidRPr="00E46F60" w:rsidRDefault="00184FFA" w:rsidP="00565FAA">
            <w:pPr>
              <w:pStyle w:val="TableParagraph"/>
              <w:adjustRightInd w:val="0"/>
              <w:snapToGrid w:val="0"/>
              <w:ind w:left="55" w:right="119"/>
              <w:jc w:val="center"/>
              <w:rPr>
                <w:rFonts w:ascii="Times New Roman" w:hAnsi="Times New Roman" w:cs="Times New Roman"/>
                <w:b/>
                <w:sz w:val="18"/>
              </w:rPr>
            </w:pPr>
            <w:r w:rsidRPr="00E46F60">
              <w:rPr>
                <w:rFonts w:ascii="Times New Roman" w:hAnsi="Times New Roman" w:cs="Times New Roman"/>
                <w:b/>
                <w:sz w:val="18"/>
              </w:rPr>
              <w:t>2010</w:t>
            </w:r>
          </w:p>
        </w:tc>
        <w:tc>
          <w:tcPr>
            <w:tcW w:w="703" w:type="dxa"/>
            <w:tcBorders>
              <w:top w:val="single" w:sz="3" w:space="0" w:color="000000"/>
              <w:bottom w:val="single" w:sz="3" w:space="0" w:color="000000"/>
            </w:tcBorders>
            <w:shd w:val="clear" w:color="auto" w:fill="D8D8D8"/>
          </w:tcPr>
          <w:p w14:paraId="3DBD3767" w14:textId="77777777" w:rsidR="00184FFA" w:rsidRPr="00E46F60" w:rsidRDefault="00184FFA" w:rsidP="00565FAA">
            <w:pPr>
              <w:pStyle w:val="TableParagraph"/>
              <w:adjustRightInd w:val="0"/>
              <w:snapToGrid w:val="0"/>
              <w:ind w:left="138"/>
              <w:rPr>
                <w:rFonts w:ascii="Times New Roman" w:hAnsi="Times New Roman" w:cs="Times New Roman"/>
                <w:b/>
                <w:sz w:val="18"/>
              </w:rPr>
            </w:pPr>
            <w:r w:rsidRPr="00E46F60">
              <w:rPr>
                <w:rFonts w:ascii="Times New Roman" w:hAnsi="Times New Roman" w:cs="Times New Roman"/>
                <w:b/>
                <w:sz w:val="18"/>
              </w:rPr>
              <w:t>2011</w:t>
            </w:r>
          </w:p>
        </w:tc>
        <w:tc>
          <w:tcPr>
            <w:tcW w:w="703" w:type="dxa"/>
            <w:tcBorders>
              <w:top w:val="single" w:sz="3" w:space="0" w:color="000000"/>
              <w:bottom w:val="single" w:sz="3" w:space="0" w:color="000000"/>
            </w:tcBorders>
            <w:shd w:val="clear" w:color="auto" w:fill="D8D8D8"/>
          </w:tcPr>
          <w:p w14:paraId="1F033AF8" w14:textId="77777777" w:rsidR="00184FFA" w:rsidRPr="00E46F60" w:rsidRDefault="00184FFA" w:rsidP="00565FAA">
            <w:pPr>
              <w:pStyle w:val="TableParagraph"/>
              <w:adjustRightInd w:val="0"/>
              <w:snapToGrid w:val="0"/>
              <w:ind w:left="136"/>
              <w:rPr>
                <w:rFonts w:ascii="Times New Roman" w:hAnsi="Times New Roman" w:cs="Times New Roman"/>
                <w:b/>
                <w:sz w:val="18"/>
              </w:rPr>
            </w:pPr>
            <w:r w:rsidRPr="00E46F60">
              <w:rPr>
                <w:rFonts w:ascii="Times New Roman" w:hAnsi="Times New Roman" w:cs="Times New Roman"/>
                <w:b/>
                <w:sz w:val="18"/>
              </w:rPr>
              <w:t>2012</w:t>
            </w:r>
          </w:p>
        </w:tc>
        <w:tc>
          <w:tcPr>
            <w:tcW w:w="673" w:type="dxa"/>
            <w:tcBorders>
              <w:top w:val="single" w:sz="3" w:space="0" w:color="000000"/>
              <w:bottom w:val="single" w:sz="3" w:space="0" w:color="000000"/>
            </w:tcBorders>
            <w:shd w:val="clear" w:color="auto" w:fill="D8D8D8"/>
          </w:tcPr>
          <w:p w14:paraId="59F9F9AF" w14:textId="77777777" w:rsidR="00184FFA" w:rsidRPr="00E46F60" w:rsidRDefault="00184FFA" w:rsidP="00565FAA">
            <w:pPr>
              <w:pStyle w:val="TableParagraph"/>
              <w:adjustRightInd w:val="0"/>
              <w:snapToGrid w:val="0"/>
              <w:ind w:left="138"/>
              <w:rPr>
                <w:rFonts w:ascii="Times New Roman" w:hAnsi="Times New Roman" w:cs="Times New Roman"/>
                <w:b/>
                <w:sz w:val="18"/>
              </w:rPr>
            </w:pPr>
            <w:r w:rsidRPr="00E46F60">
              <w:rPr>
                <w:rFonts w:ascii="Times New Roman" w:hAnsi="Times New Roman" w:cs="Times New Roman"/>
                <w:b/>
                <w:sz w:val="18"/>
              </w:rPr>
              <w:t>2013</w:t>
            </w:r>
          </w:p>
        </w:tc>
        <w:tc>
          <w:tcPr>
            <w:tcW w:w="743" w:type="dxa"/>
            <w:tcBorders>
              <w:top w:val="single" w:sz="3" w:space="0" w:color="000000"/>
              <w:bottom w:val="single" w:sz="3" w:space="0" w:color="000000"/>
            </w:tcBorders>
            <w:shd w:val="clear" w:color="auto" w:fill="D8D8D8"/>
          </w:tcPr>
          <w:p w14:paraId="65EC9440" w14:textId="77777777" w:rsidR="00184FFA" w:rsidRPr="00E46F60" w:rsidRDefault="00184FFA" w:rsidP="00565FAA">
            <w:pPr>
              <w:pStyle w:val="TableParagraph"/>
              <w:adjustRightInd w:val="0"/>
              <w:snapToGrid w:val="0"/>
              <w:ind w:right="135"/>
              <w:rPr>
                <w:rFonts w:ascii="Times New Roman" w:hAnsi="Times New Roman" w:cs="Times New Roman"/>
                <w:b/>
                <w:sz w:val="12"/>
              </w:rPr>
            </w:pPr>
            <w:r w:rsidRPr="00E46F60">
              <w:rPr>
                <w:rFonts w:ascii="Times New Roman" w:hAnsi="Times New Roman" w:cs="Times New Roman"/>
                <w:b/>
                <w:sz w:val="18"/>
              </w:rPr>
              <w:t>Mean</w:t>
            </w:r>
            <w:r w:rsidRPr="00E46F60">
              <w:rPr>
                <w:rFonts w:ascii="Times New Roman" w:hAnsi="Times New Roman" w:cs="Times New Roman"/>
                <w:b/>
                <w:position w:val="6"/>
                <w:sz w:val="12"/>
              </w:rPr>
              <w:t>1</w:t>
            </w:r>
          </w:p>
        </w:tc>
        <w:tc>
          <w:tcPr>
            <w:tcW w:w="697" w:type="dxa"/>
            <w:tcBorders>
              <w:top w:val="single" w:sz="3" w:space="0" w:color="000000"/>
              <w:bottom w:val="single" w:sz="3" w:space="0" w:color="000000"/>
            </w:tcBorders>
            <w:shd w:val="clear" w:color="auto" w:fill="D8D8D8"/>
          </w:tcPr>
          <w:p w14:paraId="400047BF" w14:textId="77777777" w:rsidR="00184FFA" w:rsidRPr="00E46F60" w:rsidRDefault="00184FFA" w:rsidP="00565FAA">
            <w:pPr>
              <w:pStyle w:val="TableParagraph"/>
              <w:adjustRightInd w:val="0"/>
              <w:snapToGrid w:val="0"/>
              <w:ind w:right="179"/>
              <w:rPr>
                <w:rFonts w:ascii="Times New Roman" w:hAnsi="Times New Roman" w:cs="Times New Roman"/>
                <w:b/>
                <w:sz w:val="12"/>
              </w:rPr>
            </w:pPr>
            <w:r w:rsidRPr="00E46F60">
              <w:rPr>
                <w:rFonts w:ascii="Times New Roman" w:hAnsi="Times New Roman" w:cs="Times New Roman"/>
                <w:b/>
                <w:sz w:val="18"/>
              </w:rPr>
              <w:t>Min</w:t>
            </w:r>
            <w:r w:rsidRPr="00E46F60">
              <w:rPr>
                <w:rFonts w:ascii="Times New Roman" w:hAnsi="Times New Roman" w:cs="Times New Roman"/>
                <w:b/>
                <w:position w:val="6"/>
                <w:sz w:val="12"/>
              </w:rPr>
              <w:t>1</w:t>
            </w:r>
          </w:p>
        </w:tc>
        <w:tc>
          <w:tcPr>
            <w:tcW w:w="682" w:type="dxa"/>
            <w:tcBorders>
              <w:top w:val="single" w:sz="3" w:space="0" w:color="000000"/>
              <w:bottom w:val="single" w:sz="3" w:space="0" w:color="000000"/>
            </w:tcBorders>
            <w:shd w:val="clear" w:color="auto" w:fill="D8D8D8"/>
          </w:tcPr>
          <w:p w14:paraId="65CD44D3" w14:textId="77777777" w:rsidR="00184FFA" w:rsidRPr="00E46F60" w:rsidRDefault="00184FFA" w:rsidP="00565FAA">
            <w:pPr>
              <w:pStyle w:val="TableParagraph"/>
              <w:adjustRightInd w:val="0"/>
              <w:snapToGrid w:val="0"/>
              <w:ind w:left="67" w:right="83"/>
              <w:jc w:val="center"/>
              <w:rPr>
                <w:rFonts w:ascii="Times New Roman" w:hAnsi="Times New Roman" w:cs="Times New Roman"/>
                <w:b/>
                <w:sz w:val="12"/>
              </w:rPr>
            </w:pPr>
            <w:r w:rsidRPr="00E46F60">
              <w:rPr>
                <w:rFonts w:ascii="Times New Roman" w:hAnsi="Times New Roman" w:cs="Times New Roman"/>
                <w:b/>
                <w:sz w:val="18"/>
              </w:rPr>
              <w:t>Max</w:t>
            </w:r>
            <w:r w:rsidRPr="00E46F60">
              <w:rPr>
                <w:rFonts w:ascii="Times New Roman" w:hAnsi="Times New Roman" w:cs="Times New Roman"/>
                <w:b/>
                <w:position w:val="6"/>
                <w:sz w:val="12"/>
              </w:rPr>
              <w:t>1</w:t>
            </w:r>
          </w:p>
        </w:tc>
      </w:tr>
      <w:tr w:rsidR="00184FFA" w:rsidRPr="00E46F60" w14:paraId="15158A43" w14:textId="77777777" w:rsidTr="00241D89">
        <w:trPr>
          <w:trHeight w:hRule="exact" w:val="219"/>
        </w:trPr>
        <w:tc>
          <w:tcPr>
            <w:tcW w:w="2305" w:type="dxa"/>
            <w:tcBorders>
              <w:top w:val="single" w:sz="3" w:space="0" w:color="000000"/>
            </w:tcBorders>
          </w:tcPr>
          <w:p w14:paraId="4AD73F8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Reported Catch</w:t>
            </w:r>
          </w:p>
        </w:tc>
        <w:tc>
          <w:tcPr>
            <w:tcW w:w="735" w:type="dxa"/>
            <w:tcBorders>
              <w:top w:val="single" w:sz="3" w:space="0" w:color="000000"/>
            </w:tcBorders>
          </w:tcPr>
          <w:p w14:paraId="3EAD625B"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3084</w:t>
            </w:r>
          </w:p>
        </w:tc>
        <w:tc>
          <w:tcPr>
            <w:tcW w:w="704" w:type="dxa"/>
            <w:tcBorders>
              <w:top w:val="single" w:sz="3" w:space="0" w:color="000000"/>
            </w:tcBorders>
          </w:tcPr>
          <w:p w14:paraId="1CA31301"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3503</w:t>
            </w:r>
          </w:p>
        </w:tc>
        <w:tc>
          <w:tcPr>
            <w:tcW w:w="706" w:type="dxa"/>
            <w:tcBorders>
              <w:top w:val="single" w:sz="3" w:space="0" w:color="000000"/>
            </w:tcBorders>
          </w:tcPr>
          <w:p w14:paraId="371CCDF4"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2468</w:t>
            </w:r>
          </w:p>
        </w:tc>
        <w:tc>
          <w:tcPr>
            <w:tcW w:w="706" w:type="dxa"/>
            <w:tcBorders>
              <w:top w:val="single" w:sz="3" w:space="0" w:color="000000"/>
            </w:tcBorders>
          </w:tcPr>
          <w:p w14:paraId="6715D325" w14:textId="77777777" w:rsidR="00184FFA" w:rsidRPr="00E46F60" w:rsidRDefault="00184FFA" w:rsidP="00565FAA">
            <w:pPr>
              <w:pStyle w:val="TableParagraph"/>
              <w:adjustRightInd w:val="0"/>
              <w:snapToGrid w:val="0"/>
              <w:ind w:left="120" w:right="58"/>
              <w:jc w:val="center"/>
              <w:rPr>
                <w:rFonts w:ascii="Times New Roman" w:hAnsi="Times New Roman" w:cs="Times New Roman"/>
                <w:sz w:val="18"/>
              </w:rPr>
            </w:pPr>
            <w:r w:rsidRPr="00E46F60">
              <w:rPr>
                <w:rFonts w:ascii="Times New Roman" w:hAnsi="Times New Roman" w:cs="Times New Roman"/>
                <w:sz w:val="18"/>
              </w:rPr>
              <w:t>2852</w:t>
            </w:r>
          </w:p>
        </w:tc>
        <w:tc>
          <w:tcPr>
            <w:tcW w:w="703" w:type="dxa"/>
            <w:tcBorders>
              <w:top w:val="single" w:sz="3" w:space="0" w:color="000000"/>
            </w:tcBorders>
          </w:tcPr>
          <w:p w14:paraId="4B52138C"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3125</w:t>
            </w:r>
          </w:p>
        </w:tc>
        <w:tc>
          <w:tcPr>
            <w:tcW w:w="703" w:type="dxa"/>
            <w:tcBorders>
              <w:top w:val="single" w:sz="3" w:space="0" w:color="000000"/>
            </w:tcBorders>
          </w:tcPr>
          <w:p w14:paraId="26C4CB49"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3521</w:t>
            </w:r>
          </w:p>
        </w:tc>
        <w:tc>
          <w:tcPr>
            <w:tcW w:w="673" w:type="dxa"/>
            <w:tcBorders>
              <w:top w:val="single" w:sz="3" w:space="0" w:color="000000"/>
            </w:tcBorders>
          </w:tcPr>
          <w:p w14:paraId="66B778CC"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2984</w:t>
            </w:r>
          </w:p>
        </w:tc>
        <w:tc>
          <w:tcPr>
            <w:tcW w:w="743" w:type="dxa"/>
            <w:tcBorders>
              <w:top w:val="single" w:sz="3" w:space="0" w:color="000000"/>
            </w:tcBorders>
          </w:tcPr>
          <w:p w14:paraId="27A21CAD"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5822</w:t>
            </w:r>
          </w:p>
        </w:tc>
        <w:tc>
          <w:tcPr>
            <w:tcW w:w="697" w:type="dxa"/>
            <w:tcBorders>
              <w:top w:val="single" w:sz="3" w:space="0" w:color="000000"/>
            </w:tcBorders>
          </w:tcPr>
          <w:p w14:paraId="1132E846"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2468</w:t>
            </w:r>
          </w:p>
        </w:tc>
        <w:tc>
          <w:tcPr>
            <w:tcW w:w="682" w:type="dxa"/>
            <w:tcBorders>
              <w:top w:val="single" w:sz="3" w:space="0" w:color="000000"/>
            </w:tcBorders>
          </w:tcPr>
          <w:p w14:paraId="69058D95" w14:textId="77777777" w:rsidR="00184FFA" w:rsidRPr="00E46F60" w:rsidRDefault="00184FFA" w:rsidP="00565FAA">
            <w:pPr>
              <w:pStyle w:val="TableParagraph"/>
              <w:adjustRightInd w:val="0"/>
              <w:snapToGrid w:val="0"/>
              <w:ind w:left="103" w:right="83"/>
              <w:jc w:val="center"/>
              <w:rPr>
                <w:rFonts w:ascii="Times New Roman" w:hAnsi="Times New Roman" w:cs="Times New Roman"/>
                <w:sz w:val="18"/>
              </w:rPr>
            </w:pPr>
            <w:r w:rsidRPr="00E46F60">
              <w:rPr>
                <w:rFonts w:ascii="Times New Roman" w:hAnsi="Times New Roman" w:cs="Times New Roman"/>
                <w:sz w:val="18"/>
              </w:rPr>
              <w:t>10594</w:t>
            </w:r>
          </w:p>
        </w:tc>
      </w:tr>
      <w:tr w:rsidR="00184FFA" w:rsidRPr="00E46F60" w14:paraId="5857052B" w14:textId="77777777" w:rsidTr="00241D89">
        <w:trPr>
          <w:trHeight w:hRule="exact" w:val="208"/>
        </w:trPr>
        <w:tc>
          <w:tcPr>
            <w:tcW w:w="2305" w:type="dxa"/>
          </w:tcPr>
          <w:p w14:paraId="7665ECD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Population Biomass</w:t>
            </w:r>
          </w:p>
        </w:tc>
        <w:tc>
          <w:tcPr>
            <w:tcW w:w="735" w:type="dxa"/>
          </w:tcPr>
          <w:p w14:paraId="3F3C5018"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6915</w:t>
            </w:r>
          </w:p>
        </w:tc>
        <w:tc>
          <w:tcPr>
            <w:tcW w:w="704" w:type="dxa"/>
          </w:tcPr>
          <w:p w14:paraId="07D98DF3"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6773</w:t>
            </w:r>
          </w:p>
        </w:tc>
        <w:tc>
          <w:tcPr>
            <w:tcW w:w="706" w:type="dxa"/>
          </w:tcPr>
          <w:p w14:paraId="402765F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6409</w:t>
            </w:r>
          </w:p>
        </w:tc>
        <w:tc>
          <w:tcPr>
            <w:tcW w:w="706" w:type="dxa"/>
          </w:tcPr>
          <w:p w14:paraId="427F8188" w14:textId="77777777" w:rsidR="00184FFA" w:rsidRPr="00E46F60" w:rsidRDefault="00184FFA" w:rsidP="00565FAA">
            <w:pPr>
              <w:pStyle w:val="TableParagraph"/>
              <w:adjustRightInd w:val="0"/>
              <w:snapToGrid w:val="0"/>
              <w:ind w:left="120" w:right="58"/>
              <w:jc w:val="center"/>
              <w:rPr>
                <w:rFonts w:ascii="Times New Roman" w:hAnsi="Times New Roman" w:cs="Times New Roman"/>
                <w:sz w:val="18"/>
              </w:rPr>
            </w:pPr>
            <w:r w:rsidRPr="00E46F60">
              <w:rPr>
                <w:rFonts w:ascii="Times New Roman" w:hAnsi="Times New Roman" w:cs="Times New Roman"/>
                <w:sz w:val="18"/>
              </w:rPr>
              <w:t>5156</w:t>
            </w:r>
          </w:p>
        </w:tc>
        <w:tc>
          <w:tcPr>
            <w:tcW w:w="703" w:type="dxa"/>
          </w:tcPr>
          <w:p w14:paraId="30991F37"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7823</w:t>
            </w:r>
          </w:p>
        </w:tc>
        <w:tc>
          <w:tcPr>
            <w:tcW w:w="703" w:type="dxa"/>
          </w:tcPr>
          <w:p w14:paraId="7D4F4E8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7349</w:t>
            </w:r>
          </w:p>
        </w:tc>
        <w:tc>
          <w:tcPr>
            <w:tcW w:w="673" w:type="dxa"/>
          </w:tcPr>
          <w:p w14:paraId="6684912B"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6819</w:t>
            </w:r>
          </w:p>
        </w:tc>
        <w:tc>
          <w:tcPr>
            <w:tcW w:w="743" w:type="dxa"/>
          </w:tcPr>
          <w:p w14:paraId="06C20FD7"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12758</w:t>
            </w:r>
          </w:p>
        </w:tc>
        <w:tc>
          <w:tcPr>
            <w:tcW w:w="697" w:type="dxa"/>
          </w:tcPr>
          <w:p w14:paraId="5DE67030"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5156</w:t>
            </w:r>
          </w:p>
        </w:tc>
        <w:tc>
          <w:tcPr>
            <w:tcW w:w="682" w:type="dxa"/>
          </w:tcPr>
          <w:p w14:paraId="6C6ACD68" w14:textId="77777777" w:rsidR="00184FFA" w:rsidRPr="00E46F60" w:rsidRDefault="00184FFA" w:rsidP="00565FAA">
            <w:pPr>
              <w:pStyle w:val="TableParagraph"/>
              <w:adjustRightInd w:val="0"/>
              <w:snapToGrid w:val="0"/>
              <w:ind w:left="103" w:right="83"/>
              <w:jc w:val="center"/>
              <w:rPr>
                <w:rFonts w:ascii="Times New Roman" w:hAnsi="Times New Roman" w:cs="Times New Roman"/>
                <w:sz w:val="18"/>
              </w:rPr>
            </w:pPr>
            <w:r w:rsidRPr="00E46F60">
              <w:rPr>
                <w:rFonts w:ascii="Times New Roman" w:hAnsi="Times New Roman" w:cs="Times New Roman"/>
                <w:sz w:val="18"/>
              </w:rPr>
              <w:t>28440</w:t>
            </w:r>
          </w:p>
        </w:tc>
      </w:tr>
      <w:tr w:rsidR="00184FFA" w:rsidRPr="00E46F60" w14:paraId="65500D22" w14:textId="77777777" w:rsidTr="00241D89">
        <w:trPr>
          <w:trHeight w:hRule="exact" w:val="206"/>
        </w:trPr>
        <w:tc>
          <w:tcPr>
            <w:tcW w:w="2305" w:type="dxa"/>
          </w:tcPr>
          <w:p w14:paraId="1D6E1C2A"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Spawning Stock Biomass</w:t>
            </w:r>
          </w:p>
        </w:tc>
        <w:tc>
          <w:tcPr>
            <w:tcW w:w="735" w:type="dxa"/>
          </w:tcPr>
          <w:p w14:paraId="243B2D0F"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sz w:val="18"/>
              </w:rPr>
              <w:t>1192</w:t>
            </w:r>
          </w:p>
        </w:tc>
        <w:tc>
          <w:tcPr>
            <w:tcW w:w="704" w:type="dxa"/>
          </w:tcPr>
          <w:p w14:paraId="0D3C5BF7"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1171</w:t>
            </w:r>
          </w:p>
        </w:tc>
        <w:tc>
          <w:tcPr>
            <w:tcW w:w="706" w:type="dxa"/>
          </w:tcPr>
          <w:p w14:paraId="5FA0B918"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970</w:t>
            </w:r>
          </w:p>
        </w:tc>
        <w:tc>
          <w:tcPr>
            <w:tcW w:w="706" w:type="dxa"/>
          </w:tcPr>
          <w:p w14:paraId="33E9A78F" w14:textId="77777777" w:rsidR="00184FFA" w:rsidRPr="00E46F60" w:rsidRDefault="00184FFA" w:rsidP="00565FAA">
            <w:pPr>
              <w:pStyle w:val="TableParagraph"/>
              <w:adjustRightInd w:val="0"/>
              <w:snapToGrid w:val="0"/>
              <w:ind w:left="273" w:right="119"/>
              <w:jc w:val="center"/>
              <w:rPr>
                <w:rFonts w:ascii="Times New Roman" w:hAnsi="Times New Roman" w:cs="Times New Roman"/>
                <w:sz w:val="18"/>
              </w:rPr>
            </w:pPr>
            <w:r w:rsidRPr="00E46F60">
              <w:rPr>
                <w:rFonts w:ascii="Times New Roman" w:hAnsi="Times New Roman" w:cs="Times New Roman"/>
                <w:sz w:val="18"/>
              </w:rPr>
              <w:t>984</w:t>
            </w:r>
          </w:p>
        </w:tc>
        <w:tc>
          <w:tcPr>
            <w:tcW w:w="703" w:type="dxa"/>
          </w:tcPr>
          <w:p w14:paraId="25CDEA9F"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873</w:t>
            </w:r>
          </w:p>
        </w:tc>
        <w:tc>
          <w:tcPr>
            <w:tcW w:w="703" w:type="dxa"/>
          </w:tcPr>
          <w:p w14:paraId="67AEAF26" w14:textId="77777777" w:rsidR="00184FFA" w:rsidRPr="00E46F60" w:rsidRDefault="00184FFA" w:rsidP="00565FAA">
            <w:pPr>
              <w:pStyle w:val="TableParagraph"/>
              <w:adjustRightInd w:val="0"/>
              <w:snapToGrid w:val="0"/>
              <w:ind w:right="140"/>
              <w:rPr>
                <w:rFonts w:ascii="Times New Roman" w:hAnsi="Times New Roman" w:cs="Times New Roman"/>
                <w:sz w:val="18"/>
              </w:rPr>
            </w:pPr>
            <w:r w:rsidRPr="00E46F60">
              <w:rPr>
                <w:rFonts w:ascii="Times New Roman" w:hAnsi="Times New Roman" w:cs="Times New Roman"/>
                <w:sz w:val="18"/>
              </w:rPr>
              <w:t>1013</w:t>
            </w:r>
          </w:p>
        </w:tc>
        <w:tc>
          <w:tcPr>
            <w:tcW w:w="673" w:type="dxa"/>
          </w:tcPr>
          <w:p w14:paraId="33823965"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sz w:val="18"/>
              </w:rPr>
              <w:t>1094</w:t>
            </w:r>
          </w:p>
        </w:tc>
        <w:tc>
          <w:tcPr>
            <w:tcW w:w="743" w:type="dxa"/>
          </w:tcPr>
          <w:p w14:paraId="25E0A372"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2025</w:t>
            </w:r>
          </w:p>
        </w:tc>
        <w:tc>
          <w:tcPr>
            <w:tcW w:w="697" w:type="dxa"/>
          </w:tcPr>
          <w:p w14:paraId="35EB1864"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815</w:t>
            </w:r>
          </w:p>
        </w:tc>
        <w:tc>
          <w:tcPr>
            <w:tcW w:w="682" w:type="dxa"/>
          </w:tcPr>
          <w:p w14:paraId="17139537" w14:textId="77777777" w:rsidR="00184FFA" w:rsidRPr="00E46F60" w:rsidRDefault="00184FFA" w:rsidP="00565FAA">
            <w:pPr>
              <w:pStyle w:val="TableParagraph"/>
              <w:adjustRightInd w:val="0"/>
              <w:snapToGrid w:val="0"/>
              <w:ind w:left="195" w:right="83"/>
              <w:jc w:val="center"/>
              <w:rPr>
                <w:rFonts w:ascii="Times New Roman" w:hAnsi="Times New Roman" w:cs="Times New Roman"/>
                <w:sz w:val="18"/>
              </w:rPr>
            </w:pPr>
            <w:r w:rsidRPr="00E46F60">
              <w:rPr>
                <w:rFonts w:ascii="Times New Roman" w:hAnsi="Times New Roman" w:cs="Times New Roman"/>
                <w:sz w:val="18"/>
              </w:rPr>
              <w:t>6946</w:t>
            </w:r>
          </w:p>
        </w:tc>
      </w:tr>
      <w:tr w:rsidR="00184FFA" w:rsidRPr="00E46F60" w14:paraId="2892E2E8" w14:textId="77777777" w:rsidTr="00241D89">
        <w:trPr>
          <w:trHeight w:hRule="exact" w:val="206"/>
        </w:trPr>
        <w:tc>
          <w:tcPr>
            <w:tcW w:w="2305" w:type="dxa"/>
          </w:tcPr>
          <w:p w14:paraId="4B14CD5C"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Relative Spawning Biomass</w:t>
            </w:r>
          </w:p>
        </w:tc>
        <w:tc>
          <w:tcPr>
            <w:tcW w:w="735" w:type="dxa"/>
          </w:tcPr>
          <w:p w14:paraId="78170D7F"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0.42</w:t>
            </w:r>
          </w:p>
        </w:tc>
        <w:tc>
          <w:tcPr>
            <w:tcW w:w="704" w:type="dxa"/>
          </w:tcPr>
          <w:p w14:paraId="276DC17E"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0.42</w:t>
            </w:r>
          </w:p>
        </w:tc>
        <w:tc>
          <w:tcPr>
            <w:tcW w:w="706" w:type="dxa"/>
          </w:tcPr>
          <w:p w14:paraId="38A4B818"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0.34</w:t>
            </w:r>
          </w:p>
        </w:tc>
        <w:tc>
          <w:tcPr>
            <w:tcW w:w="706" w:type="dxa"/>
          </w:tcPr>
          <w:p w14:paraId="223748D6"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0.35</w:t>
            </w:r>
          </w:p>
        </w:tc>
        <w:tc>
          <w:tcPr>
            <w:tcW w:w="703" w:type="dxa"/>
          </w:tcPr>
          <w:p w14:paraId="3DF20499"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0.31</w:t>
            </w:r>
          </w:p>
        </w:tc>
        <w:tc>
          <w:tcPr>
            <w:tcW w:w="703" w:type="dxa"/>
          </w:tcPr>
          <w:p w14:paraId="08A726AB"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0.36</w:t>
            </w:r>
          </w:p>
        </w:tc>
        <w:tc>
          <w:tcPr>
            <w:tcW w:w="673" w:type="dxa"/>
          </w:tcPr>
          <w:p w14:paraId="0F8333BC"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0.39</w:t>
            </w:r>
          </w:p>
        </w:tc>
        <w:tc>
          <w:tcPr>
            <w:tcW w:w="743" w:type="dxa"/>
          </w:tcPr>
          <w:p w14:paraId="37645CF5"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0.75</w:t>
            </w:r>
          </w:p>
        </w:tc>
        <w:tc>
          <w:tcPr>
            <w:tcW w:w="697" w:type="dxa"/>
          </w:tcPr>
          <w:p w14:paraId="204EFC8C"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0.29</w:t>
            </w:r>
          </w:p>
        </w:tc>
        <w:tc>
          <w:tcPr>
            <w:tcW w:w="682" w:type="dxa"/>
          </w:tcPr>
          <w:p w14:paraId="113B3CA9"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2.46</w:t>
            </w:r>
          </w:p>
        </w:tc>
      </w:tr>
      <w:tr w:rsidR="00184FFA" w:rsidRPr="00E46F60" w14:paraId="5CE241E7" w14:textId="77777777" w:rsidTr="00241D89">
        <w:trPr>
          <w:trHeight w:hRule="exact" w:val="208"/>
        </w:trPr>
        <w:tc>
          <w:tcPr>
            <w:tcW w:w="2305" w:type="dxa"/>
          </w:tcPr>
          <w:p w14:paraId="2617AB02"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Recruitment (age 0)</w:t>
            </w:r>
          </w:p>
        </w:tc>
        <w:tc>
          <w:tcPr>
            <w:tcW w:w="735" w:type="dxa"/>
          </w:tcPr>
          <w:p w14:paraId="75084590"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240</w:t>
            </w:r>
          </w:p>
        </w:tc>
        <w:tc>
          <w:tcPr>
            <w:tcW w:w="704" w:type="dxa"/>
          </w:tcPr>
          <w:p w14:paraId="59619D59"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242</w:t>
            </w:r>
          </w:p>
        </w:tc>
        <w:tc>
          <w:tcPr>
            <w:tcW w:w="706" w:type="dxa"/>
          </w:tcPr>
          <w:p w14:paraId="10DE38E0"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sz w:val="18"/>
              </w:rPr>
              <w:t>63</w:t>
            </w:r>
          </w:p>
        </w:tc>
        <w:tc>
          <w:tcPr>
            <w:tcW w:w="706" w:type="dxa"/>
          </w:tcPr>
          <w:p w14:paraId="38389F2D" w14:textId="77777777" w:rsidR="00184FFA" w:rsidRPr="00E46F60" w:rsidRDefault="00184FFA" w:rsidP="00565FAA">
            <w:pPr>
              <w:pStyle w:val="TableParagraph"/>
              <w:adjustRightInd w:val="0"/>
              <w:snapToGrid w:val="0"/>
              <w:ind w:left="273" w:right="119"/>
              <w:jc w:val="center"/>
              <w:rPr>
                <w:rFonts w:ascii="Times New Roman" w:hAnsi="Times New Roman" w:cs="Times New Roman"/>
                <w:sz w:val="18"/>
              </w:rPr>
            </w:pPr>
            <w:r w:rsidRPr="00E46F60">
              <w:rPr>
                <w:rFonts w:ascii="Times New Roman" w:hAnsi="Times New Roman" w:cs="Times New Roman"/>
                <w:sz w:val="18"/>
              </w:rPr>
              <w:t>496</w:t>
            </w:r>
          </w:p>
        </w:tc>
        <w:tc>
          <w:tcPr>
            <w:tcW w:w="703" w:type="dxa"/>
          </w:tcPr>
          <w:p w14:paraId="6F3F44DB"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155</w:t>
            </w:r>
          </w:p>
        </w:tc>
        <w:tc>
          <w:tcPr>
            <w:tcW w:w="703" w:type="dxa"/>
          </w:tcPr>
          <w:p w14:paraId="694178A5" w14:textId="77777777" w:rsidR="00184FFA" w:rsidRPr="00E46F60" w:rsidRDefault="00184FFA" w:rsidP="00565FAA">
            <w:pPr>
              <w:pStyle w:val="TableParagraph"/>
              <w:adjustRightInd w:val="0"/>
              <w:snapToGrid w:val="0"/>
              <w:ind w:right="138"/>
              <w:rPr>
                <w:rFonts w:ascii="Times New Roman" w:hAnsi="Times New Roman" w:cs="Times New Roman"/>
                <w:sz w:val="18"/>
              </w:rPr>
            </w:pPr>
            <w:r w:rsidRPr="00E46F60">
              <w:rPr>
                <w:rFonts w:ascii="Times New Roman" w:hAnsi="Times New Roman" w:cs="Times New Roman"/>
                <w:w w:val="95"/>
                <w:sz w:val="18"/>
              </w:rPr>
              <w:t>224</w:t>
            </w:r>
          </w:p>
        </w:tc>
        <w:tc>
          <w:tcPr>
            <w:tcW w:w="673" w:type="dxa"/>
          </w:tcPr>
          <w:p w14:paraId="0FBE5226"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352</w:t>
            </w:r>
          </w:p>
        </w:tc>
        <w:tc>
          <w:tcPr>
            <w:tcW w:w="743" w:type="dxa"/>
          </w:tcPr>
          <w:p w14:paraId="1362271E"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410</w:t>
            </w:r>
          </w:p>
        </w:tc>
        <w:tc>
          <w:tcPr>
            <w:tcW w:w="697" w:type="dxa"/>
          </w:tcPr>
          <w:p w14:paraId="37835CED"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sz w:val="18"/>
              </w:rPr>
              <w:t>63</w:t>
            </w:r>
          </w:p>
        </w:tc>
        <w:tc>
          <w:tcPr>
            <w:tcW w:w="682" w:type="dxa"/>
          </w:tcPr>
          <w:p w14:paraId="4590BE53" w14:textId="77777777" w:rsidR="00184FFA" w:rsidRPr="00E46F60" w:rsidRDefault="00184FFA" w:rsidP="00565FAA">
            <w:pPr>
              <w:pStyle w:val="TableParagraph"/>
              <w:adjustRightInd w:val="0"/>
              <w:snapToGrid w:val="0"/>
              <w:ind w:left="195" w:right="83"/>
              <w:jc w:val="center"/>
              <w:rPr>
                <w:rFonts w:ascii="Times New Roman" w:hAnsi="Times New Roman" w:cs="Times New Roman"/>
                <w:sz w:val="18"/>
              </w:rPr>
            </w:pPr>
            <w:r w:rsidRPr="00E46F60">
              <w:rPr>
                <w:rFonts w:ascii="Times New Roman" w:hAnsi="Times New Roman" w:cs="Times New Roman"/>
                <w:sz w:val="18"/>
              </w:rPr>
              <w:t>1369</w:t>
            </w:r>
          </w:p>
        </w:tc>
      </w:tr>
      <w:tr w:rsidR="00184FFA" w:rsidRPr="00E46F60" w14:paraId="7AE1EC3B" w14:textId="77777777" w:rsidTr="00241D89">
        <w:trPr>
          <w:trHeight w:hRule="exact" w:val="208"/>
        </w:trPr>
        <w:tc>
          <w:tcPr>
            <w:tcW w:w="2305" w:type="dxa"/>
          </w:tcPr>
          <w:p w14:paraId="6F072D42"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Fishing Mortality</w:t>
            </w:r>
          </w:p>
        </w:tc>
        <w:tc>
          <w:tcPr>
            <w:tcW w:w="735" w:type="dxa"/>
          </w:tcPr>
          <w:p w14:paraId="01601DDD"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0.82</w:t>
            </w:r>
          </w:p>
        </w:tc>
        <w:tc>
          <w:tcPr>
            <w:tcW w:w="704" w:type="dxa"/>
          </w:tcPr>
          <w:p w14:paraId="5F665584"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0.99</w:t>
            </w:r>
          </w:p>
        </w:tc>
        <w:tc>
          <w:tcPr>
            <w:tcW w:w="706" w:type="dxa"/>
          </w:tcPr>
          <w:p w14:paraId="73EB8590"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0.80</w:t>
            </w:r>
          </w:p>
        </w:tc>
        <w:tc>
          <w:tcPr>
            <w:tcW w:w="706" w:type="dxa"/>
          </w:tcPr>
          <w:p w14:paraId="2D6FDE19"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0.96</w:t>
            </w:r>
          </w:p>
        </w:tc>
        <w:tc>
          <w:tcPr>
            <w:tcW w:w="703" w:type="dxa"/>
          </w:tcPr>
          <w:p w14:paraId="37A8376E"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0.89</w:t>
            </w:r>
          </w:p>
        </w:tc>
        <w:tc>
          <w:tcPr>
            <w:tcW w:w="703" w:type="dxa"/>
          </w:tcPr>
          <w:p w14:paraId="4B634257"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0.97</w:t>
            </w:r>
          </w:p>
        </w:tc>
        <w:tc>
          <w:tcPr>
            <w:tcW w:w="673" w:type="dxa"/>
          </w:tcPr>
          <w:p w14:paraId="39F4D31B"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0.76</w:t>
            </w:r>
          </w:p>
        </w:tc>
        <w:tc>
          <w:tcPr>
            <w:tcW w:w="743" w:type="dxa"/>
          </w:tcPr>
          <w:p w14:paraId="005381F0"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0.95</w:t>
            </w:r>
          </w:p>
        </w:tc>
        <w:tc>
          <w:tcPr>
            <w:tcW w:w="697" w:type="dxa"/>
          </w:tcPr>
          <w:p w14:paraId="1EAC8079"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0.47</w:t>
            </w:r>
          </w:p>
        </w:tc>
        <w:tc>
          <w:tcPr>
            <w:tcW w:w="682" w:type="dxa"/>
          </w:tcPr>
          <w:p w14:paraId="5AC962D8"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1.54</w:t>
            </w:r>
          </w:p>
        </w:tc>
      </w:tr>
      <w:tr w:rsidR="00184FFA" w:rsidRPr="00E46F60" w14:paraId="43B7ECBB" w14:textId="77777777" w:rsidTr="00241D89">
        <w:trPr>
          <w:trHeight w:hRule="exact" w:val="206"/>
        </w:trPr>
        <w:tc>
          <w:tcPr>
            <w:tcW w:w="2305" w:type="dxa"/>
          </w:tcPr>
          <w:p w14:paraId="483085A0"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Relative Fishing Mortality</w:t>
            </w:r>
          </w:p>
        </w:tc>
        <w:tc>
          <w:tcPr>
            <w:tcW w:w="735" w:type="dxa"/>
          </w:tcPr>
          <w:p w14:paraId="08831E13" w14:textId="77777777" w:rsidR="00184FFA" w:rsidRPr="00E46F60" w:rsidRDefault="00184FFA" w:rsidP="00565FAA">
            <w:pPr>
              <w:pStyle w:val="TableParagraph"/>
              <w:adjustRightInd w:val="0"/>
              <w:snapToGrid w:val="0"/>
              <w:ind w:right="137"/>
              <w:rPr>
                <w:rFonts w:ascii="Times New Roman" w:hAnsi="Times New Roman" w:cs="Times New Roman"/>
                <w:sz w:val="18"/>
              </w:rPr>
            </w:pPr>
            <w:r w:rsidRPr="00E46F60">
              <w:rPr>
                <w:rFonts w:ascii="Times New Roman" w:hAnsi="Times New Roman" w:cs="Times New Roman"/>
                <w:w w:val="95"/>
                <w:sz w:val="18"/>
              </w:rPr>
              <w:t>1.29</w:t>
            </w:r>
          </w:p>
        </w:tc>
        <w:tc>
          <w:tcPr>
            <w:tcW w:w="704" w:type="dxa"/>
          </w:tcPr>
          <w:p w14:paraId="2925754D"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1.57</w:t>
            </w:r>
          </w:p>
        </w:tc>
        <w:tc>
          <w:tcPr>
            <w:tcW w:w="706" w:type="dxa"/>
          </w:tcPr>
          <w:p w14:paraId="1D11DFDE"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1.27</w:t>
            </w:r>
          </w:p>
        </w:tc>
        <w:tc>
          <w:tcPr>
            <w:tcW w:w="706" w:type="dxa"/>
          </w:tcPr>
          <w:p w14:paraId="51C619C5" w14:textId="77777777" w:rsidR="00184FFA" w:rsidRPr="00E46F60" w:rsidRDefault="00184FFA" w:rsidP="00565FAA">
            <w:pPr>
              <w:pStyle w:val="TableParagraph"/>
              <w:adjustRightInd w:val="0"/>
              <w:snapToGrid w:val="0"/>
              <w:ind w:left="120" w:right="12"/>
              <w:jc w:val="center"/>
              <w:rPr>
                <w:rFonts w:ascii="Times New Roman" w:hAnsi="Times New Roman" w:cs="Times New Roman"/>
                <w:sz w:val="18"/>
              </w:rPr>
            </w:pPr>
            <w:r w:rsidRPr="00E46F60">
              <w:rPr>
                <w:rFonts w:ascii="Times New Roman" w:hAnsi="Times New Roman" w:cs="Times New Roman"/>
                <w:sz w:val="18"/>
              </w:rPr>
              <w:t>1.51</w:t>
            </w:r>
          </w:p>
        </w:tc>
        <w:tc>
          <w:tcPr>
            <w:tcW w:w="703" w:type="dxa"/>
          </w:tcPr>
          <w:p w14:paraId="37D77767"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w w:val="95"/>
                <w:sz w:val="18"/>
              </w:rPr>
              <w:t>1.41</w:t>
            </w:r>
          </w:p>
        </w:tc>
        <w:tc>
          <w:tcPr>
            <w:tcW w:w="703" w:type="dxa"/>
          </w:tcPr>
          <w:p w14:paraId="600C8647" w14:textId="77777777" w:rsidR="00184FFA" w:rsidRPr="00E46F60" w:rsidRDefault="00184FFA" w:rsidP="00565FAA">
            <w:pPr>
              <w:pStyle w:val="TableParagraph"/>
              <w:adjustRightInd w:val="0"/>
              <w:snapToGrid w:val="0"/>
              <w:ind w:right="139"/>
              <w:rPr>
                <w:rFonts w:ascii="Times New Roman" w:hAnsi="Times New Roman" w:cs="Times New Roman"/>
                <w:sz w:val="18"/>
              </w:rPr>
            </w:pPr>
            <w:r w:rsidRPr="00E46F60">
              <w:rPr>
                <w:rFonts w:ascii="Times New Roman" w:hAnsi="Times New Roman" w:cs="Times New Roman"/>
                <w:w w:val="95"/>
                <w:sz w:val="18"/>
              </w:rPr>
              <w:t>1.53</w:t>
            </w:r>
          </w:p>
        </w:tc>
        <w:tc>
          <w:tcPr>
            <w:tcW w:w="673" w:type="dxa"/>
          </w:tcPr>
          <w:p w14:paraId="5B884628" w14:textId="77777777" w:rsidR="00184FFA" w:rsidRPr="00E46F60" w:rsidRDefault="00184FFA" w:rsidP="00565FAA">
            <w:pPr>
              <w:pStyle w:val="TableParagraph"/>
              <w:adjustRightInd w:val="0"/>
              <w:snapToGrid w:val="0"/>
              <w:ind w:right="106"/>
              <w:rPr>
                <w:rFonts w:ascii="Times New Roman" w:hAnsi="Times New Roman" w:cs="Times New Roman"/>
                <w:sz w:val="18"/>
              </w:rPr>
            </w:pPr>
            <w:r w:rsidRPr="00E46F60">
              <w:rPr>
                <w:rFonts w:ascii="Times New Roman" w:hAnsi="Times New Roman" w:cs="Times New Roman"/>
                <w:w w:val="95"/>
                <w:sz w:val="18"/>
              </w:rPr>
              <w:t>1.20</w:t>
            </w:r>
          </w:p>
        </w:tc>
        <w:tc>
          <w:tcPr>
            <w:tcW w:w="743" w:type="dxa"/>
          </w:tcPr>
          <w:p w14:paraId="15F849BF"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w w:val="95"/>
                <w:sz w:val="18"/>
              </w:rPr>
              <w:t>1.50</w:t>
            </w:r>
          </w:p>
        </w:tc>
        <w:tc>
          <w:tcPr>
            <w:tcW w:w="697" w:type="dxa"/>
          </w:tcPr>
          <w:p w14:paraId="7131D65C" w14:textId="77777777" w:rsidR="00184FFA" w:rsidRPr="00E46F60" w:rsidRDefault="00184FFA" w:rsidP="00565FAA">
            <w:pPr>
              <w:pStyle w:val="TableParagraph"/>
              <w:adjustRightInd w:val="0"/>
              <w:snapToGrid w:val="0"/>
              <w:ind w:right="125"/>
              <w:rPr>
                <w:rFonts w:ascii="Times New Roman" w:hAnsi="Times New Roman" w:cs="Times New Roman"/>
                <w:sz w:val="18"/>
              </w:rPr>
            </w:pPr>
            <w:r w:rsidRPr="00E46F60">
              <w:rPr>
                <w:rFonts w:ascii="Times New Roman" w:hAnsi="Times New Roman" w:cs="Times New Roman"/>
                <w:w w:val="95"/>
                <w:sz w:val="18"/>
              </w:rPr>
              <w:t>0.74</w:t>
            </w:r>
          </w:p>
        </w:tc>
        <w:tc>
          <w:tcPr>
            <w:tcW w:w="682" w:type="dxa"/>
          </w:tcPr>
          <w:p w14:paraId="1FF98D8C" w14:textId="77777777" w:rsidR="00184FFA" w:rsidRPr="00E46F60" w:rsidRDefault="00184FFA" w:rsidP="00565FAA">
            <w:pPr>
              <w:pStyle w:val="TableParagraph"/>
              <w:adjustRightInd w:val="0"/>
              <w:snapToGrid w:val="0"/>
              <w:ind w:left="197" w:right="40"/>
              <w:jc w:val="center"/>
              <w:rPr>
                <w:rFonts w:ascii="Times New Roman" w:hAnsi="Times New Roman" w:cs="Times New Roman"/>
                <w:sz w:val="18"/>
              </w:rPr>
            </w:pPr>
            <w:r w:rsidRPr="00E46F60">
              <w:rPr>
                <w:rFonts w:ascii="Times New Roman" w:hAnsi="Times New Roman" w:cs="Times New Roman"/>
                <w:sz w:val="18"/>
              </w:rPr>
              <w:t>2.44</w:t>
            </w:r>
          </w:p>
        </w:tc>
      </w:tr>
      <w:tr w:rsidR="00184FFA" w:rsidRPr="00E46F60" w14:paraId="480A2B99" w14:textId="77777777" w:rsidTr="00241D89">
        <w:trPr>
          <w:trHeight w:hRule="exact" w:val="206"/>
        </w:trPr>
        <w:tc>
          <w:tcPr>
            <w:tcW w:w="2305" w:type="dxa"/>
          </w:tcPr>
          <w:p w14:paraId="0201969B"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Exploitation Rate</w:t>
            </w:r>
          </w:p>
        </w:tc>
        <w:tc>
          <w:tcPr>
            <w:tcW w:w="735" w:type="dxa"/>
          </w:tcPr>
          <w:p w14:paraId="11FB7587" w14:textId="77777777" w:rsidR="00184FFA" w:rsidRPr="00E46F60" w:rsidRDefault="00184FFA" w:rsidP="00565FAA">
            <w:pPr>
              <w:pStyle w:val="TableParagraph"/>
              <w:adjustRightInd w:val="0"/>
              <w:snapToGrid w:val="0"/>
              <w:ind w:right="135"/>
              <w:rPr>
                <w:rFonts w:ascii="Times New Roman" w:hAnsi="Times New Roman" w:cs="Times New Roman"/>
                <w:sz w:val="18"/>
              </w:rPr>
            </w:pPr>
            <w:r w:rsidRPr="00E46F60">
              <w:rPr>
                <w:rFonts w:ascii="Times New Roman" w:hAnsi="Times New Roman" w:cs="Times New Roman"/>
                <w:sz w:val="18"/>
              </w:rPr>
              <w:t>45%</w:t>
            </w:r>
          </w:p>
        </w:tc>
        <w:tc>
          <w:tcPr>
            <w:tcW w:w="704" w:type="dxa"/>
          </w:tcPr>
          <w:p w14:paraId="76D87EE1"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52%</w:t>
            </w:r>
          </w:p>
        </w:tc>
        <w:tc>
          <w:tcPr>
            <w:tcW w:w="706" w:type="dxa"/>
          </w:tcPr>
          <w:p w14:paraId="6A886F7A"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39%</w:t>
            </w:r>
          </w:p>
        </w:tc>
        <w:tc>
          <w:tcPr>
            <w:tcW w:w="706" w:type="dxa"/>
          </w:tcPr>
          <w:p w14:paraId="0F299156" w14:textId="77777777" w:rsidR="00184FFA" w:rsidRPr="00E46F60" w:rsidRDefault="00184FFA" w:rsidP="00565FAA">
            <w:pPr>
              <w:pStyle w:val="TableParagraph"/>
              <w:adjustRightInd w:val="0"/>
              <w:snapToGrid w:val="0"/>
              <w:ind w:left="120" w:right="24"/>
              <w:jc w:val="center"/>
              <w:rPr>
                <w:rFonts w:ascii="Times New Roman" w:hAnsi="Times New Roman" w:cs="Times New Roman"/>
                <w:sz w:val="18"/>
              </w:rPr>
            </w:pPr>
            <w:r w:rsidRPr="00E46F60">
              <w:rPr>
                <w:rFonts w:ascii="Times New Roman" w:hAnsi="Times New Roman" w:cs="Times New Roman"/>
                <w:sz w:val="18"/>
              </w:rPr>
              <w:t>55%</w:t>
            </w:r>
          </w:p>
        </w:tc>
        <w:tc>
          <w:tcPr>
            <w:tcW w:w="703" w:type="dxa"/>
          </w:tcPr>
          <w:p w14:paraId="48B946F1"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40%</w:t>
            </w:r>
          </w:p>
        </w:tc>
        <w:tc>
          <w:tcPr>
            <w:tcW w:w="703" w:type="dxa"/>
          </w:tcPr>
          <w:p w14:paraId="06E355F5"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48%</w:t>
            </w:r>
          </w:p>
        </w:tc>
        <w:tc>
          <w:tcPr>
            <w:tcW w:w="673" w:type="dxa"/>
          </w:tcPr>
          <w:p w14:paraId="5A6559A4" w14:textId="77777777" w:rsidR="00184FFA" w:rsidRPr="00E46F60" w:rsidRDefault="00184FFA" w:rsidP="00565FAA">
            <w:pPr>
              <w:pStyle w:val="TableParagraph"/>
              <w:adjustRightInd w:val="0"/>
              <w:snapToGrid w:val="0"/>
              <w:ind w:right="104"/>
              <w:rPr>
                <w:rFonts w:ascii="Times New Roman" w:hAnsi="Times New Roman" w:cs="Times New Roman"/>
                <w:sz w:val="18"/>
              </w:rPr>
            </w:pPr>
            <w:r w:rsidRPr="00E46F60">
              <w:rPr>
                <w:rFonts w:ascii="Times New Roman" w:hAnsi="Times New Roman" w:cs="Times New Roman"/>
                <w:sz w:val="18"/>
              </w:rPr>
              <w:t>44%</w:t>
            </w:r>
          </w:p>
        </w:tc>
        <w:tc>
          <w:tcPr>
            <w:tcW w:w="743" w:type="dxa"/>
          </w:tcPr>
          <w:p w14:paraId="7D2CC6E9" w14:textId="77777777" w:rsidR="00184FFA" w:rsidRPr="00E46F60" w:rsidRDefault="00184FFA" w:rsidP="00565FAA">
            <w:pPr>
              <w:pStyle w:val="TableParagraph"/>
              <w:adjustRightInd w:val="0"/>
              <w:snapToGrid w:val="0"/>
              <w:ind w:right="132"/>
              <w:rPr>
                <w:rFonts w:ascii="Times New Roman" w:hAnsi="Times New Roman" w:cs="Times New Roman"/>
                <w:sz w:val="18"/>
              </w:rPr>
            </w:pPr>
            <w:r w:rsidRPr="00E46F60">
              <w:rPr>
                <w:rFonts w:ascii="Times New Roman" w:hAnsi="Times New Roman" w:cs="Times New Roman"/>
                <w:sz w:val="18"/>
              </w:rPr>
              <w:t>48%</w:t>
            </w:r>
          </w:p>
        </w:tc>
        <w:tc>
          <w:tcPr>
            <w:tcW w:w="697" w:type="dxa"/>
          </w:tcPr>
          <w:p w14:paraId="39D7CCC9" w14:textId="77777777" w:rsidR="00184FFA" w:rsidRPr="00E46F60" w:rsidRDefault="00184FFA" w:rsidP="00565FAA">
            <w:pPr>
              <w:pStyle w:val="TableParagraph"/>
              <w:adjustRightInd w:val="0"/>
              <w:snapToGrid w:val="0"/>
              <w:ind w:right="123"/>
              <w:rPr>
                <w:rFonts w:ascii="Times New Roman" w:hAnsi="Times New Roman" w:cs="Times New Roman"/>
                <w:sz w:val="18"/>
              </w:rPr>
            </w:pPr>
            <w:r w:rsidRPr="00E46F60">
              <w:rPr>
                <w:rFonts w:ascii="Times New Roman" w:hAnsi="Times New Roman" w:cs="Times New Roman"/>
                <w:sz w:val="18"/>
              </w:rPr>
              <w:t>32%</w:t>
            </w:r>
          </w:p>
        </w:tc>
        <w:tc>
          <w:tcPr>
            <w:tcW w:w="682" w:type="dxa"/>
          </w:tcPr>
          <w:p w14:paraId="26D8037A" w14:textId="77777777" w:rsidR="00184FFA" w:rsidRPr="00E46F60" w:rsidRDefault="00184FFA" w:rsidP="00565FAA">
            <w:pPr>
              <w:pStyle w:val="TableParagraph"/>
              <w:adjustRightInd w:val="0"/>
              <w:snapToGrid w:val="0"/>
              <w:ind w:left="197" w:right="52"/>
              <w:jc w:val="center"/>
              <w:rPr>
                <w:rFonts w:ascii="Times New Roman" w:hAnsi="Times New Roman" w:cs="Times New Roman"/>
                <w:sz w:val="18"/>
              </w:rPr>
            </w:pPr>
            <w:r w:rsidRPr="00E46F60">
              <w:rPr>
                <w:rFonts w:ascii="Times New Roman" w:hAnsi="Times New Roman" w:cs="Times New Roman"/>
                <w:sz w:val="18"/>
              </w:rPr>
              <w:t>65%</w:t>
            </w:r>
          </w:p>
        </w:tc>
      </w:tr>
      <w:tr w:rsidR="00184FFA" w:rsidRPr="00E46F60" w14:paraId="1A0BD556" w14:textId="77777777" w:rsidTr="00241D89">
        <w:trPr>
          <w:trHeight w:hRule="exact" w:val="208"/>
        </w:trPr>
        <w:tc>
          <w:tcPr>
            <w:tcW w:w="2305" w:type="dxa"/>
            <w:tcBorders>
              <w:bottom w:val="single" w:sz="3" w:space="0" w:color="000000"/>
            </w:tcBorders>
          </w:tcPr>
          <w:p w14:paraId="493762F9" w14:textId="77777777" w:rsidR="00184FFA" w:rsidRPr="00E46F60" w:rsidRDefault="00184FFA" w:rsidP="00565FAA">
            <w:pPr>
              <w:pStyle w:val="TableParagraph"/>
              <w:adjustRightInd w:val="0"/>
              <w:snapToGrid w:val="0"/>
              <w:ind w:left="107"/>
              <w:rPr>
                <w:rFonts w:ascii="Times New Roman" w:hAnsi="Times New Roman" w:cs="Times New Roman"/>
                <w:sz w:val="18"/>
              </w:rPr>
            </w:pPr>
            <w:r w:rsidRPr="00E46F60">
              <w:rPr>
                <w:rFonts w:ascii="Times New Roman" w:hAnsi="Times New Roman" w:cs="Times New Roman"/>
                <w:sz w:val="18"/>
              </w:rPr>
              <w:t>Spawning Potential Ratio</w:t>
            </w:r>
          </w:p>
        </w:tc>
        <w:tc>
          <w:tcPr>
            <w:tcW w:w="735" w:type="dxa"/>
            <w:tcBorders>
              <w:bottom w:val="single" w:sz="3" w:space="0" w:color="000000"/>
            </w:tcBorders>
          </w:tcPr>
          <w:p w14:paraId="6CDCD4DA" w14:textId="77777777" w:rsidR="00184FFA" w:rsidRPr="00E46F60" w:rsidRDefault="00184FFA" w:rsidP="00565FAA">
            <w:pPr>
              <w:pStyle w:val="TableParagraph"/>
              <w:adjustRightInd w:val="0"/>
              <w:snapToGrid w:val="0"/>
              <w:ind w:right="135"/>
              <w:rPr>
                <w:rFonts w:ascii="Times New Roman" w:hAnsi="Times New Roman" w:cs="Times New Roman"/>
                <w:sz w:val="18"/>
              </w:rPr>
            </w:pPr>
            <w:r w:rsidRPr="00E46F60">
              <w:rPr>
                <w:rFonts w:ascii="Times New Roman" w:hAnsi="Times New Roman" w:cs="Times New Roman"/>
                <w:sz w:val="18"/>
              </w:rPr>
              <w:t>15%</w:t>
            </w:r>
          </w:p>
        </w:tc>
        <w:tc>
          <w:tcPr>
            <w:tcW w:w="704" w:type="dxa"/>
            <w:tcBorders>
              <w:bottom w:val="single" w:sz="3" w:space="0" w:color="000000"/>
            </w:tcBorders>
          </w:tcPr>
          <w:p w14:paraId="6EDEACB3"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12%</w:t>
            </w:r>
          </w:p>
        </w:tc>
        <w:tc>
          <w:tcPr>
            <w:tcW w:w="706" w:type="dxa"/>
            <w:tcBorders>
              <w:bottom w:val="single" w:sz="3" w:space="0" w:color="000000"/>
            </w:tcBorders>
          </w:tcPr>
          <w:p w14:paraId="6F943274"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16%</w:t>
            </w:r>
          </w:p>
        </w:tc>
        <w:tc>
          <w:tcPr>
            <w:tcW w:w="706" w:type="dxa"/>
            <w:tcBorders>
              <w:bottom w:val="single" w:sz="3" w:space="0" w:color="000000"/>
            </w:tcBorders>
          </w:tcPr>
          <w:p w14:paraId="23608DD8" w14:textId="77777777" w:rsidR="00184FFA" w:rsidRPr="00E46F60" w:rsidRDefault="00184FFA" w:rsidP="00565FAA">
            <w:pPr>
              <w:pStyle w:val="TableParagraph"/>
              <w:adjustRightInd w:val="0"/>
              <w:snapToGrid w:val="0"/>
              <w:ind w:left="120" w:right="24"/>
              <w:jc w:val="center"/>
              <w:rPr>
                <w:rFonts w:ascii="Times New Roman" w:hAnsi="Times New Roman" w:cs="Times New Roman"/>
                <w:sz w:val="18"/>
              </w:rPr>
            </w:pPr>
            <w:r w:rsidRPr="00E46F60">
              <w:rPr>
                <w:rFonts w:ascii="Times New Roman" w:hAnsi="Times New Roman" w:cs="Times New Roman"/>
                <w:sz w:val="18"/>
              </w:rPr>
              <w:t>13%</w:t>
            </w:r>
          </w:p>
        </w:tc>
        <w:tc>
          <w:tcPr>
            <w:tcW w:w="703" w:type="dxa"/>
            <w:tcBorders>
              <w:bottom w:val="single" w:sz="3" w:space="0" w:color="000000"/>
            </w:tcBorders>
          </w:tcPr>
          <w:p w14:paraId="4A2E5B21" w14:textId="77777777" w:rsidR="00184FFA" w:rsidRPr="00E46F60" w:rsidRDefault="00184FFA" w:rsidP="00565FAA">
            <w:pPr>
              <w:pStyle w:val="TableParagraph"/>
              <w:adjustRightInd w:val="0"/>
              <w:snapToGrid w:val="0"/>
              <w:ind w:right="134"/>
              <w:rPr>
                <w:rFonts w:ascii="Times New Roman" w:hAnsi="Times New Roman" w:cs="Times New Roman"/>
                <w:sz w:val="18"/>
              </w:rPr>
            </w:pPr>
            <w:r w:rsidRPr="00E46F60">
              <w:rPr>
                <w:rFonts w:ascii="Times New Roman" w:hAnsi="Times New Roman" w:cs="Times New Roman"/>
                <w:sz w:val="18"/>
              </w:rPr>
              <w:t>12%</w:t>
            </w:r>
          </w:p>
        </w:tc>
        <w:tc>
          <w:tcPr>
            <w:tcW w:w="703" w:type="dxa"/>
            <w:tcBorders>
              <w:bottom w:val="single" w:sz="3" w:space="0" w:color="000000"/>
            </w:tcBorders>
          </w:tcPr>
          <w:p w14:paraId="6F6ADBA6" w14:textId="77777777" w:rsidR="00184FFA" w:rsidRPr="00E46F60" w:rsidRDefault="00184FFA" w:rsidP="00565FAA">
            <w:pPr>
              <w:pStyle w:val="TableParagraph"/>
              <w:adjustRightInd w:val="0"/>
              <w:snapToGrid w:val="0"/>
              <w:ind w:right="136"/>
              <w:rPr>
                <w:rFonts w:ascii="Times New Roman" w:hAnsi="Times New Roman" w:cs="Times New Roman"/>
                <w:sz w:val="18"/>
              </w:rPr>
            </w:pPr>
            <w:r w:rsidRPr="00E46F60">
              <w:rPr>
                <w:rFonts w:ascii="Times New Roman" w:hAnsi="Times New Roman" w:cs="Times New Roman"/>
                <w:sz w:val="18"/>
              </w:rPr>
              <w:t>12%</w:t>
            </w:r>
          </w:p>
        </w:tc>
        <w:tc>
          <w:tcPr>
            <w:tcW w:w="673" w:type="dxa"/>
            <w:tcBorders>
              <w:bottom w:val="single" w:sz="3" w:space="0" w:color="000000"/>
            </w:tcBorders>
          </w:tcPr>
          <w:p w14:paraId="71796743" w14:textId="77777777" w:rsidR="00184FFA" w:rsidRPr="00E46F60" w:rsidRDefault="00184FFA" w:rsidP="00565FAA">
            <w:pPr>
              <w:pStyle w:val="TableParagraph"/>
              <w:adjustRightInd w:val="0"/>
              <w:snapToGrid w:val="0"/>
              <w:ind w:right="104"/>
              <w:rPr>
                <w:rFonts w:ascii="Times New Roman" w:hAnsi="Times New Roman" w:cs="Times New Roman"/>
                <w:sz w:val="18"/>
              </w:rPr>
            </w:pPr>
            <w:r w:rsidRPr="00E46F60">
              <w:rPr>
                <w:rFonts w:ascii="Times New Roman" w:hAnsi="Times New Roman" w:cs="Times New Roman"/>
                <w:sz w:val="18"/>
              </w:rPr>
              <w:t>14%</w:t>
            </w:r>
          </w:p>
        </w:tc>
        <w:tc>
          <w:tcPr>
            <w:tcW w:w="743" w:type="dxa"/>
            <w:tcBorders>
              <w:bottom w:val="single" w:sz="3" w:space="0" w:color="000000"/>
            </w:tcBorders>
          </w:tcPr>
          <w:p w14:paraId="597B6E33" w14:textId="77777777" w:rsidR="00184FFA" w:rsidRPr="00E46F60" w:rsidRDefault="00184FFA" w:rsidP="00565FAA">
            <w:pPr>
              <w:pStyle w:val="TableParagraph"/>
              <w:adjustRightInd w:val="0"/>
              <w:snapToGrid w:val="0"/>
              <w:ind w:right="132"/>
              <w:rPr>
                <w:rFonts w:ascii="Times New Roman" w:hAnsi="Times New Roman" w:cs="Times New Roman"/>
                <w:sz w:val="18"/>
              </w:rPr>
            </w:pPr>
            <w:r w:rsidRPr="00E46F60">
              <w:rPr>
                <w:rFonts w:ascii="Times New Roman" w:hAnsi="Times New Roman" w:cs="Times New Roman"/>
                <w:sz w:val="18"/>
              </w:rPr>
              <w:t>13%</w:t>
            </w:r>
          </w:p>
        </w:tc>
        <w:tc>
          <w:tcPr>
            <w:tcW w:w="697" w:type="dxa"/>
            <w:tcBorders>
              <w:bottom w:val="single" w:sz="3" w:space="0" w:color="000000"/>
            </w:tcBorders>
          </w:tcPr>
          <w:p w14:paraId="6F3F73EA" w14:textId="77777777" w:rsidR="00184FFA" w:rsidRPr="00E46F60" w:rsidRDefault="00184FFA" w:rsidP="00565FAA">
            <w:pPr>
              <w:pStyle w:val="TableParagraph"/>
              <w:adjustRightInd w:val="0"/>
              <w:snapToGrid w:val="0"/>
              <w:ind w:right="123"/>
              <w:rPr>
                <w:rFonts w:ascii="Times New Roman" w:hAnsi="Times New Roman" w:cs="Times New Roman"/>
                <w:sz w:val="18"/>
              </w:rPr>
            </w:pPr>
            <w:r w:rsidRPr="00E46F60">
              <w:rPr>
                <w:rFonts w:ascii="Times New Roman" w:hAnsi="Times New Roman" w:cs="Times New Roman"/>
                <w:sz w:val="18"/>
              </w:rPr>
              <w:t>7%</w:t>
            </w:r>
          </w:p>
        </w:tc>
        <w:tc>
          <w:tcPr>
            <w:tcW w:w="682" w:type="dxa"/>
            <w:tcBorders>
              <w:bottom w:val="single" w:sz="3" w:space="0" w:color="000000"/>
            </w:tcBorders>
          </w:tcPr>
          <w:p w14:paraId="704ECC98" w14:textId="77777777" w:rsidR="00184FFA" w:rsidRPr="00E46F60" w:rsidRDefault="00184FFA" w:rsidP="00565FAA">
            <w:pPr>
              <w:pStyle w:val="TableParagraph"/>
              <w:adjustRightInd w:val="0"/>
              <w:snapToGrid w:val="0"/>
              <w:ind w:left="197" w:right="52"/>
              <w:jc w:val="center"/>
              <w:rPr>
                <w:rFonts w:ascii="Times New Roman" w:hAnsi="Times New Roman" w:cs="Times New Roman"/>
                <w:sz w:val="18"/>
              </w:rPr>
            </w:pPr>
            <w:r w:rsidRPr="00E46F60">
              <w:rPr>
                <w:rFonts w:ascii="Times New Roman" w:hAnsi="Times New Roman" w:cs="Times New Roman"/>
                <w:sz w:val="18"/>
              </w:rPr>
              <w:t>24%</w:t>
            </w:r>
          </w:p>
        </w:tc>
      </w:tr>
    </w:tbl>
    <w:p w14:paraId="5304104B" w14:textId="77777777" w:rsidR="00184FFA" w:rsidRPr="00E46F60" w:rsidRDefault="00184FFA" w:rsidP="00565FAA">
      <w:pPr>
        <w:adjustRightInd w:val="0"/>
        <w:snapToGrid w:val="0"/>
        <w:spacing w:after="0" w:line="240" w:lineRule="auto"/>
        <w:ind w:left="120"/>
        <w:jc w:val="both"/>
        <w:rPr>
          <w:rFonts w:ascii="Times New Roman" w:hAnsi="Times New Roman" w:cs="Times New Roman"/>
          <w:sz w:val="16"/>
        </w:rPr>
      </w:pPr>
      <w:r w:rsidRPr="00E46F60">
        <w:rPr>
          <w:rFonts w:ascii="Times New Roman" w:hAnsi="Times New Roman" w:cs="Times New Roman"/>
          <w:position w:val="6"/>
          <w:sz w:val="10"/>
        </w:rPr>
        <w:t xml:space="preserve">1 </w:t>
      </w:r>
      <w:r w:rsidRPr="00E46F60">
        <w:rPr>
          <w:rFonts w:ascii="Times New Roman" w:hAnsi="Times New Roman" w:cs="Times New Roman"/>
          <w:sz w:val="16"/>
        </w:rPr>
        <w:t>During 1975-2013</w:t>
      </w:r>
    </w:p>
    <w:p w14:paraId="5DF1F518" w14:textId="77777777" w:rsidR="00184FFA" w:rsidRPr="00E46F60" w:rsidRDefault="00184FFA" w:rsidP="00565FAA">
      <w:pPr>
        <w:adjustRightInd w:val="0"/>
        <w:snapToGrid w:val="0"/>
        <w:spacing w:after="0" w:line="240" w:lineRule="auto"/>
        <w:ind w:left="720"/>
        <w:rPr>
          <w:rFonts w:ascii="Times New Roman" w:hAnsi="Times New Roman" w:cs="Times New Roman"/>
        </w:rPr>
      </w:pPr>
    </w:p>
    <w:p w14:paraId="2654907B" w14:textId="77777777" w:rsidR="00184FFA" w:rsidRPr="00E46F60" w:rsidRDefault="00184FFA" w:rsidP="00565FAA">
      <w:pPr>
        <w:adjustRightInd w:val="0"/>
        <w:snapToGrid w:val="0"/>
        <w:spacing w:after="0" w:line="240" w:lineRule="auto"/>
        <w:ind w:left="720"/>
        <w:rPr>
          <w:rFonts w:ascii="Times New Roman" w:hAnsi="Times New Roman" w:cs="Times New Roman"/>
        </w:rPr>
      </w:pPr>
      <w:r w:rsidRPr="00E46F60">
        <w:rPr>
          <w:rFonts w:ascii="Times New Roman" w:hAnsi="Times New Roman" w:cs="Times New Roman"/>
        </w:rPr>
        <w:t>When the status of striped marlin is evaluated relative to MSY-based reference points, the 2013 spawning stock biomass is 61% below SSB</w:t>
      </w:r>
      <w:r w:rsidRPr="00E46F60">
        <w:rPr>
          <w:rFonts w:ascii="Times New Roman" w:hAnsi="Times New Roman" w:cs="Times New Roman"/>
          <w:vertAlign w:val="subscript"/>
        </w:rPr>
        <w:t>MSY</w:t>
      </w:r>
      <w:r w:rsidRPr="00E46F60">
        <w:rPr>
          <w:rFonts w:ascii="Times New Roman" w:hAnsi="Times New Roman" w:cs="Times New Roman"/>
        </w:rPr>
        <w:t xml:space="preserve"> (2819 t) and the 2010-2012 fishing mortality exceeds F</w:t>
      </w:r>
      <w:r w:rsidRPr="00E46F60">
        <w:rPr>
          <w:rFonts w:ascii="Times New Roman" w:hAnsi="Times New Roman" w:cs="Times New Roman"/>
          <w:vertAlign w:val="subscript"/>
        </w:rPr>
        <w:t>MSY</w:t>
      </w:r>
      <w:r w:rsidRPr="00E46F60">
        <w:rPr>
          <w:rFonts w:ascii="Times New Roman" w:hAnsi="Times New Roman" w:cs="Times New Roman"/>
        </w:rPr>
        <w:t xml:space="preserve"> by 49%. Therefore, overfishing is occurring relative to MSY-based reference points and the WCNPO striped marlin stock is overfished.”</w:t>
      </w:r>
    </w:p>
    <w:p w14:paraId="153794B4" w14:textId="77777777" w:rsidR="00184FFA" w:rsidRPr="00E46F60" w:rsidRDefault="00184FFA" w:rsidP="00565FAA">
      <w:pPr>
        <w:pStyle w:val="BodyText"/>
        <w:adjustRightInd w:val="0"/>
        <w:snapToGrid w:val="0"/>
        <w:rPr>
          <w:rFonts w:cs="Times New Roman"/>
        </w:rPr>
      </w:pPr>
    </w:p>
    <w:p w14:paraId="105084F3" w14:textId="441D938C" w:rsidR="00184FFA" w:rsidRPr="00E46F60" w:rsidRDefault="00184FFA" w:rsidP="00565FAA">
      <w:pPr>
        <w:pStyle w:val="ListParagraph"/>
        <w:numPr>
          <w:ilvl w:val="1"/>
          <w:numId w:val="22"/>
        </w:numPr>
        <w:adjustRightInd w:val="0"/>
        <w:snapToGrid w:val="0"/>
        <w:ind w:left="0" w:firstLine="0"/>
        <w:contextualSpacing w:val="0"/>
        <w:rPr>
          <w:rFonts w:ascii="Times New Roman" w:hAnsi="Times New Roman"/>
          <w:b/>
          <w:sz w:val="24"/>
          <w:szCs w:val="24"/>
        </w:rPr>
      </w:pPr>
      <w:r w:rsidRPr="00E46F60">
        <w:rPr>
          <w:rFonts w:ascii="Times New Roman" w:hAnsi="Times New Roman"/>
          <w:b/>
          <w:sz w:val="24"/>
          <w:szCs w:val="24"/>
        </w:rPr>
        <w:t xml:space="preserve">Management </w:t>
      </w:r>
      <w:r w:rsidR="00F8297B">
        <w:rPr>
          <w:rFonts w:ascii="Times New Roman" w:hAnsi="Times New Roman"/>
          <w:b/>
          <w:sz w:val="24"/>
          <w:szCs w:val="24"/>
        </w:rPr>
        <w:t>a</w:t>
      </w:r>
      <w:r w:rsidRPr="00E46F60">
        <w:rPr>
          <w:rFonts w:ascii="Times New Roman" w:hAnsi="Times New Roman"/>
          <w:b/>
          <w:sz w:val="24"/>
          <w:szCs w:val="24"/>
        </w:rPr>
        <w:t>dvice</w:t>
      </w:r>
      <w:r w:rsidR="00F8297B">
        <w:rPr>
          <w:rFonts w:ascii="Times New Roman" w:hAnsi="Times New Roman"/>
          <w:b/>
          <w:sz w:val="24"/>
          <w:szCs w:val="24"/>
        </w:rPr>
        <w:t xml:space="preserve"> and implications</w:t>
      </w:r>
    </w:p>
    <w:p w14:paraId="7C0923A8" w14:textId="77777777" w:rsidR="00184FFA" w:rsidRPr="00E46F60" w:rsidRDefault="00184FFA" w:rsidP="00565FAA">
      <w:pPr>
        <w:pStyle w:val="BodyText"/>
        <w:adjustRightInd w:val="0"/>
        <w:snapToGrid w:val="0"/>
        <w:rPr>
          <w:rFonts w:cs="Times New Roman"/>
        </w:rPr>
      </w:pPr>
    </w:p>
    <w:p w14:paraId="05A9EBE1" w14:textId="4AA500D4" w:rsidR="00184FFA" w:rsidRPr="00F8297B" w:rsidRDefault="00184FFA" w:rsidP="00565FAA">
      <w:pPr>
        <w:pStyle w:val="ListParagraph"/>
        <w:numPr>
          <w:ilvl w:val="0"/>
          <w:numId w:val="22"/>
        </w:numPr>
        <w:tabs>
          <w:tab w:val="clear" w:pos="720"/>
        </w:tabs>
        <w:adjustRightInd w:val="0"/>
        <w:snapToGrid w:val="0"/>
        <w:ind w:left="0" w:right="117" w:firstLine="0"/>
        <w:contextualSpacing w:val="0"/>
        <w:rPr>
          <w:rStyle w:val="Hyperlink"/>
          <w:rFonts w:ascii="Times New Roman" w:hAnsi="Times New Roman"/>
          <w:bCs/>
          <w:lang w:val="en-AU" w:eastAsia="ko-KR"/>
        </w:rPr>
      </w:pPr>
      <w:r w:rsidRPr="00F8297B">
        <w:rPr>
          <w:rFonts w:ascii="Times New Roman" w:hAnsi="Times New Roman"/>
          <w:bCs/>
        </w:rPr>
        <w:t xml:space="preserve">SC14 noted that no management advice has been provided since SC11 for North Pacific striped marlin. Therefore, previous advice should be maintained, pending a new assessment or other new information. </w:t>
      </w:r>
      <w:r w:rsidRPr="00F8297B">
        <w:rPr>
          <w:rFonts w:ascii="Times New Roman" w:hAnsi="Times New Roman"/>
          <w:bCs/>
          <w:lang w:val="en-AU"/>
        </w:rPr>
        <w:t>For further information on the management advice and implications from SC11, please see below.</w:t>
      </w:r>
    </w:p>
    <w:p w14:paraId="62CAD65A" w14:textId="77777777" w:rsidR="00184FFA" w:rsidRPr="00F8297B" w:rsidRDefault="00184FFA" w:rsidP="00565FAA">
      <w:pPr>
        <w:pStyle w:val="ListParagraph"/>
        <w:adjustRightInd w:val="0"/>
        <w:snapToGrid w:val="0"/>
        <w:ind w:left="0" w:right="117" w:firstLine="0"/>
        <w:contextualSpacing w:val="0"/>
        <w:rPr>
          <w:rFonts w:ascii="Times New Roman" w:hAnsi="Times New Roman"/>
          <w:bCs/>
        </w:rPr>
      </w:pPr>
    </w:p>
    <w:p w14:paraId="1A8E1CB4" w14:textId="0362C847" w:rsidR="00184FFA" w:rsidRPr="00F8297B" w:rsidRDefault="00184FFA" w:rsidP="00565FAA">
      <w:pPr>
        <w:pStyle w:val="ListParagraph"/>
        <w:numPr>
          <w:ilvl w:val="0"/>
          <w:numId w:val="22"/>
        </w:numPr>
        <w:tabs>
          <w:tab w:val="clear" w:pos="720"/>
        </w:tabs>
        <w:adjustRightInd w:val="0"/>
        <w:snapToGrid w:val="0"/>
        <w:ind w:left="0" w:right="116" w:firstLine="0"/>
        <w:contextualSpacing w:val="0"/>
        <w:rPr>
          <w:rFonts w:ascii="Times New Roman" w:hAnsi="Times New Roman"/>
          <w:bCs/>
        </w:rPr>
      </w:pPr>
      <w:r w:rsidRPr="00F8297B">
        <w:rPr>
          <w:rFonts w:ascii="Times New Roman" w:hAnsi="Times New Roman"/>
          <w:bCs/>
        </w:rPr>
        <w:t>To emphasize the importance of developing a stock rebuilding plan for North Pacific striped marlin, SC14 reiterated the following management advice and information, excerpted from SC11.</w:t>
      </w:r>
    </w:p>
    <w:p w14:paraId="58EFEF58" w14:textId="77777777" w:rsidR="00184FFA" w:rsidRPr="00F8297B" w:rsidRDefault="00184FFA" w:rsidP="00565FAA">
      <w:pPr>
        <w:pStyle w:val="ListParagraph"/>
        <w:tabs>
          <w:tab w:val="left" w:pos="820"/>
        </w:tabs>
        <w:adjustRightInd w:val="0"/>
        <w:snapToGrid w:val="0"/>
        <w:ind w:right="116"/>
        <w:contextualSpacing w:val="0"/>
        <w:rPr>
          <w:rFonts w:ascii="Times New Roman" w:hAnsi="Times New Roman"/>
          <w:bCs/>
        </w:rPr>
      </w:pPr>
    </w:p>
    <w:p w14:paraId="07BDE787" w14:textId="359C3ACA" w:rsidR="00184FFA" w:rsidRPr="00F8297B" w:rsidRDefault="00184FFA" w:rsidP="00565FAA">
      <w:pPr>
        <w:pStyle w:val="ListParagraph"/>
        <w:adjustRightInd w:val="0"/>
        <w:snapToGrid w:val="0"/>
        <w:ind w:left="1440" w:right="116"/>
        <w:contextualSpacing w:val="0"/>
        <w:rPr>
          <w:rFonts w:ascii="Times New Roman" w:hAnsi="Times New Roman"/>
          <w:bCs/>
        </w:rPr>
      </w:pPr>
      <w:r w:rsidRPr="00F8297B">
        <w:rPr>
          <w:rFonts w:ascii="Times New Roman" w:hAnsi="Times New Roman"/>
          <w:bCs/>
        </w:rPr>
        <w:t>“SC11 noted the following conservation advice from ISC</w:t>
      </w:r>
      <w:r w:rsidR="00F8297B">
        <w:rPr>
          <w:rFonts w:ascii="Times New Roman" w:hAnsi="Times New Roman"/>
          <w:bCs/>
        </w:rPr>
        <w:t>:</w:t>
      </w:r>
    </w:p>
    <w:p w14:paraId="78B1E4C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lastRenderedPageBreak/>
        <w:t xml:space="preserve">The stock has been in an overfished condition since 1977, </w:t>
      </w:r>
      <w:proofErr w:type="gramStart"/>
      <w:r w:rsidRPr="00E46F60">
        <w:rPr>
          <w:rFonts w:ascii="Times New Roman" w:hAnsi="Times New Roman" w:cs="Times New Roman"/>
        </w:rPr>
        <w:t>with the exception of</w:t>
      </w:r>
      <w:proofErr w:type="gramEnd"/>
      <w:r w:rsidRPr="00E46F60">
        <w:rPr>
          <w:rFonts w:ascii="Times New Roman" w:hAnsi="Times New Roman" w:cs="Times New Roman"/>
        </w:rPr>
        <w:t xml:space="preserve"> 1982 and 1983, and fishing appears to be impeding rebuilding especially if recent low recruitment levels persist.</w:t>
      </w:r>
    </w:p>
    <w:p w14:paraId="5BA210A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 xml:space="preserve"> </w:t>
      </w:r>
    </w:p>
    <w:p w14:paraId="73652A88"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Projection results show that fishing at FMSY could lead to median spawning biomass increases of 25%, 55%, and 95% from 2015 to 2020 under the recent recruitment, medium- term recruitment, and stock recruitment-curve scenarios.</w:t>
      </w:r>
    </w:p>
    <w:p w14:paraId="0B1DA423"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p>
    <w:p w14:paraId="0B2E8898"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Fishing at a constant catch of 2,850 t could lead to potential increases in spawning biomass of 19% to over 191% by 2020, depending upon the recruitment scenario.</w:t>
      </w:r>
    </w:p>
    <w:p w14:paraId="133AD356" w14:textId="77777777" w:rsidR="006D0CB5" w:rsidRPr="00E46F60" w:rsidRDefault="006D0CB5" w:rsidP="00565FAA">
      <w:pPr>
        <w:adjustRightInd w:val="0"/>
        <w:snapToGrid w:val="0"/>
        <w:spacing w:after="0" w:line="240" w:lineRule="auto"/>
        <w:ind w:left="1440"/>
        <w:jc w:val="both"/>
        <w:rPr>
          <w:rFonts w:ascii="Times New Roman" w:hAnsi="Times New Roman" w:cs="Times New Roman"/>
        </w:rPr>
      </w:pPr>
    </w:p>
    <w:p w14:paraId="52CA52D9" w14:textId="77777777" w:rsidR="00184FFA" w:rsidRPr="00E46F60" w:rsidRDefault="006D0CB5" w:rsidP="00565FAA">
      <w:pPr>
        <w:adjustRightInd w:val="0"/>
        <w:snapToGrid w:val="0"/>
        <w:spacing w:after="0" w:line="240" w:lineRule="auto"/>
        <w:ind w:left="1440"/>
        <w:jc w:val="both"/>
        <w:rPr>
          <w:rFonts w:ascii="Times New Roman" w:hAnsi="Times New Roman" w:cs="Times New Roman"/>
        </w:rPr>
      </w:pPr>
      <w:r w:rsidRPr="00E46F60">
        <w:rPr>
          <w:rFonts w:ascii="Times New Roman" w:hAnsi="Times New Roman" w:cs="Times New Roman"/>
        </w:rPr>
        <w:t>In comparison, fishing at the 2010-2012 fishing mortality rate, which is 49% above FMSY, could lead to changes in spawning stock biomass of -18% to +18% by 2020, while fishing at the average 2001-2003 fishing mortality rate (F2001-2003=1.15), which is 82% above FMSY, could lead to spawning stock biomass decreases of -32% to -9% by 2020, depending upon the recruitment scenario.</w:t>
      </w:r>
    </w:p>
    <w:p w14:paraId="44087F82" w14:textId="77777777" w:rsidR="006D0CB5" w:rsidRPr="00E46F60" w:rsidRDefault="006D0CB5" w:rsidP="00565FAA">
      <w:pPr>
        <w:pStyle w:val="ListParagraph"/>
        <w:tabs>
          <w:tab w:val="left" w:pos="820"/>
        </w:tabs>
        <w:adjustRightInd w:val="0"/>
        <w:snapToGrid w:val="0"/>
        <w:ind w:right="117"/>
        <w:contextualSpacing w:val="0"/>
        <w:rPr>
          <w:rFonts w:ascii="Times New Roman" w:hAnsi="Times New Roman"/>
          <w:b/>
          <w:sz w:val="24"/>
          <w:szCs w:val="24"/>
        </w:rPr>
      </w:pPr>
    </w:p>
    <w:p w14:paraId="3672F7F9" w14:textId="74EB34C5" w:rsidR="00184FFA" w:rsidRPr="00F8297B" w:rsidRDefault="00184FFA" w:rsidP="00565FAA">
      <w:pPr>
        <w:adjustRightInd w:val="0"/>
        <w:snapToGrid w:val="0"/>
        <w:spacing w:after="0" w:line="240" w:lineRule="auto"/>
        <w:ind w:left="1440"/>
        <w:jc w:val="both"/>
        <w:rPr>
          <w:rFonts w:ascii="Times New Roman" w:hAnsi="Times New Roman" w:cs="Times New Roman"/>
        </w:rPr>
      </w:pPr>
      <w:r w:rsidRPr="00F8297B">
        <w:rPr>
          <w:rFonts w:ascii="Times New Roman" w:hAnsi="Times New Roman" w:cs="Times New Roman"/>
        </w:rPr>
        <w:t xml:space="preserve">SC11 expressed concerns about the updated stock status of WCNPO striped marlin, noting that the stock was overfished (SSB2013 at 61% below SSBMSY) and that overfishing was occurring (F2010-2012 exceeds FMSY by 49%). Although a LRP for billfish species has not been adopted by the WCPFC, SC11 noted that </w:t>
      </w:r>
      <w:proofErr w:type="spellStart"/>
      <w:r w:rsidRPr="00F8297B">
        <w:rPr>
          <w:rFonts w:ascii="Times New Roman" w:hAnsi="Times New Roman" w:cs="Times New Roman"/>
        </w:rPr>
        <w:t>SSBcurrent</w:t>
      </w:r>
      <w:proofErr w:type="spellEnd"/>
      <w:r w:rsidRPr="00F8297B">
        <w:rPr>
          <w:rFonts w:ascii="Times New Roman" w:hAnsi="Times New Roman" w:cs="Times New Roman"/>
        </w:rPr>
        <w:t>/</w:t>
      </w:r>
      <w:proofErr w:type="spellStart"/>
      <w:proofErr w:type="gramStart"/>
      <w:r w:rsidRPr="00F8297B">
        <w:rPr>
          <w:rFonts w:ascii="Times New Roman" w:hAnsi="Times New Roman" w:cs="Times New Roman"/>
        </w:rPr>
        <w:t>SSBcurrent,F</w:t>
      </w:r>
      <w:proofErr w:type="spellEnd"/>
      <w:proofErr w:type="gramEnd"/>
      <w:r w:rsidRPr="00F8297B">
        <w:rPr>
          <w:rFonts w:ascii="Times New Roman" w:hAnsi="Times New Roman" w:cs="Times New Roman"/>
        </w:rPr>
        <w:t>=0=0.12 and is below the LRP adopted for tunas. SC11 also noted that projections indicate that Prob(SSB2020&gt;SSB2015)&lt;50% for all constant catch scenarios over 2,850 mt (under the three recruitment hypotheses modelled), which means that in order to allow the spawning biomass to rebuild then catches need to be reduced to less than 2,850mt.</w:t>
      </w:r>
      <w:r w:rsidR="00F8297B">
        <w:rPr>
          <w:rFonts w:ascii="Times New Roman" w:hAnsi="Times New Roman" w:cs="Times New Roman"/>
        </w:rPr>
        <w:t xml:space="preserve"> </w:t>
      </w:r>
      <w:r w:rsidRPr="00F8297B">
        <w:rPr>
          <w:rFonts w:ascii="Times New Roman" w:hAnsi="Times New Roman" w:cs="Times New Roman"/>
        </w:rPr>
        <w:t>SC11 recommends that the Commission develop a rebuilding plan for North Pacific striped marlin with subsequent revision of CMM 2010-01 in order to improve stock status.”</w:t>
      </w:r>
    </w:p>
    <w:p w14:paraId="1103D55A" w14:textId="77777777" w:rsidR="00F8297B" w:rsidRPr="00E46F60" w:rsidRDefault="00F8297B" w:rsidP="00565FAA">
      <w:pPr>
        <w:adjustRightInd w:val="0"/>
        <w:snapToGrid w:val="0"/>
        <w:spacing w:after="0" w:line="240" w:lineRule="auto"/>
        <w:rPr>
          <w:rFonts w:ascii="Times New Roman" w:hAnsi="Times New Roman" w:cs="Times New Roman"/>
          <w:b/>
          <w:bCs/>
        </w:rPr>
      </w:pPr>
    </w:p>
    <w:p w14:paraId="739FEBF6" w14:textId="5E3F461D" w:rsidR="00184FFA" w:rsidRPr="00E46F60" w:rsidRDefault="00F8297B" w:rsidP="00565FAA">
      <w:pPr>
        <w:pStyle w:val="ListParagraph"/>
        <w:numPr>
          <w:ilvl w:val="1"/>
          <w:numId w:val="27"/>
        </w:numPr>
        <w:adjustRightInd w:val="0"/>
        <w:snapToGrid w:val="0"/>
        <w:ind w:left="0" w:firstLine="0"/>
        <w:contextualSpacing w:val="0"/>
        <w:rPr>
          <w:rFonts w:ascii="Times New Roman" w:hAnsi="Times New Roman"/>
          <w:b/>
          <w:sz w:val="24"/>
          <w:szCs w:val="24"/>
        </w:rPr>
      </w:pPr>
      <w:r w:rsidRPr="00F8297B">
        <w:rPr>
          <w:rFonts w:ascii="Times New Roman" w:hAnsi="Times New Roman"/>
          <w:b/>
          <w:sz w:val="24"/>
          <w:szCs w:val="24"/>
        </w:rPr>
        <w:t>Recommendations</w:t>
      </w:r>
      <w:r w:rsidRPr="004635E5">
        <w:rPr>
          <w:b/>
        </w:rPr>
        <w:t xml:space="preserve"> on </w:t>
      </w:r>
      <w:r w:rsidRPr="004635E5">
        <w:rPr>
          <w:rFonts w:eastAsia="MS PMincho"/>
          <w:b/>
        </w:rPr>
        <w:t xml:space="preserve">the designation of </w:t>
      </w:r>
      <w:r w:rsidRPr="004635E5">
        <w:rPr>
          <w:rFonts w:eastAsia="Batang"/>
          <w:b/>
          <w:lang w:eastAsia="ko-KR"/>
        </w:rPr>
        <w:t>North Pacific striped marlin</w:t>
      </w:r>
      <w:r w:rsidRPr="004635E5">
        <w:rPr>
          <w:rFonts w:eastAsia="MS PMincho"/>
          <w:b/>
        </w:rPr>
        <w:t xml:space="preserve"> as a Northern Stock</w:t>
      </w:r>
    </w:p>
    <w:p w14:paraId="2084BC2A" w14:textId="77777777" w:rsidR="00F8297B" w:rsidRDefault="00F8297B" w:rsidP="00565FAA">
      <w:pPr>
        <w:tabs>
          <w:tab w:val="left" w:pos="820"/>
        </w:tabs>
        <w:adjustRightInd w:val="0"/>
        <w:snapToGrid w:val="0"/>
        <w:spacing w:after="0" w:line="240" w:lineRule="auto"/>
        <w:rPr>
          <w:rFonts w:ascii="Times New Roman" w:hAnsi="Times New Roman" w:cs="Times New Roman"/>
          <w:b/>
        </w:rPr>
      </w:pPr>
    </w:p>
    <w:p w14:paraId="592C3AC5" w14:textId="0435D6F9" w:rsidR="00184FFA" w:rsidRPr="00F8297B" w:rsidRDefault="00184FFA" w:rsidP="00565FAA">
      <w:pPr>
        <w:pStyle w:val="ListParagraph"/>
        <w:numPr>
          <w:ilvl w:val="0"/>
          <w:numId w:val="22"/>
        </w:numPr>
        <w:tabs>
          <w:tab w:val="clear" w:pos="720"/>
        </w:tabs>
        <w:adjustRightInd w:val="0"/>
        <w:snapToGrid w:val="0"/>
        <w:ind w:left="0" w:right="116" w:firstLine="0"/>
        <w:contextualSpacing w:val="0"/>
        <w:rPr>
          <w:rFonts w:ascii="Times New Roman" w:hAnsi="Times New Roman"/>
          <w:bCs/>
        </w:rPr>
      </w:pPr>
      <w:r w:rsidRPr="00F8297B">
        <w:rPr>
          <w:rFonts w:ascii="Times New Roman" w:hAnsi="Times New Roman"/>
          <w:bCs/>
        </w:rPr>
        <w:t>Regarding the issue of the designation of North Pacific striped marlin as a Northern Stock (WCPFC14</w:t>
      </w:r>
      <w:r w:rsidRPr="00F8297B">
        <w:rPr>
          <w:rFonts w:ascii="Times New Roman" w:hAnsi="Times New Roman"/>
          <w:bCs/>
          <w:lang w:eastAsia="ko-KR"/>
        </w:rPr>
        <w:t xml:space="preserve"> Report, Para 378</w:t>
      </w:r>
      <w:r w:rsidRPr="00F8297B">
        <w:rPr>
          <w:rFonts w:ascii="Times New Roman" w:hAnsi="Times New Roman"/>
          <w:bCs/>
        </w:rPr>
        <w:t>), SC14 provides the following recommendations:</w:t>
      </w:r>
    </w:p>
    <w:p w14:paraId="10D781E5" w14:textId="77777777" w:rsidR="00184FFA" w:rsidRPr="00E46F60" w:rsidRDefault="00184FFA" w:rsidP="00565FAA">
      <w:pPr>
        <w:pStyle w:val="ListParagraph"/>
        <w:widowControl w:val="0"/>
        <w:numPr>
          <w:ilvl w:val="0"/>
          <w:numId w:val="21"/>
        </w:numPr>
        <w:autoSpaceDE w:val="0"/>
        <w:autoSpaceDN w:val="0"/>
        <w:adjustRightInd w:val="0"/>
        <w:snapToGrid w:val="0"/>
        <w:ind w:left="1080"/>
        <w:contextualSpacing w:val="0"/>
        <w:rPr>
          <w:rFonts w:ascii="Times New Roman" w:hAnsi="Times New Roman"/>
        </w:rPr>
      </w:pPr>
      <w:r w:rsidRPr="00E46F60">
        <w:rPr>
          <w:rFonts w:ascii="Times New Roman" w:hAnsi="Times New Roman"/>
        </w:rPr>
        <w:t>SC14 recommends that the Commission clarify and quantify what is meant by “</w:t>
      </w:r>
      <w:r w:rsidRPr="00E46F60">
        <w:rPr>
          <w:rFonts w:ascii="Times New Roman" w:hAnsi="Times New Roman"/>
          <w:i/>
        </w:rPr>
        <w:t>mostly north of 20 degrees N</w:t>
      </w:r>
      <w:r w:rsidRPr="00E46F60">
        <w:rPr>
          <w:rFonts w:ascii="Times New Roman" w:hAnsi="Times New Roman"/>
        </w:rPr>
        <w:t>”.</w:t>
      </w:r>
    </w:p>
    <w:p w14:paraId="06D15F7B" w14:textId="77777777" w:rsidR="00184FFA" w:rsidRPr="00E46F60" w:rsidRDefault="00184FFA" w:rsidP="00565FAA">
      <w:pPr>
        <w:pStyle w:val="ListParagraph"/>
        <w:widowControl w:val="0"/>
        <w:numPr>
          <w:ilvl w:val="0"/>
          <w:numId w:val="21"/>
        </w:numPr>
        <w:autoSpaceDE w:val="0"/>
        <w:autoSpaceDN w:val="0"/>
        <w:adjustRightInd w:val="0"/>
        <w:snapToGrid w:val="0"/>
        <w:ind w:left="1080"/>
        <w:contextualSpacing w:val="0"/>
        <w:rPr>
          <w:rFonts w:ascii="Times New Roman" w:hAnsi="Times New Roman"/>
        </w:rPr>
      </w:pPr>
      <w:r w:rsidRPr="00E46F60">
        <w:rPr>
          <w:rFonts w:ascii="Times New Roman" w:hAnsi="Times New Roman"/>
        </w:rPr>
        <w:t xml:space="preserve">In relation to paragraph 1, SC14 recommends that a </w:t>
      </w:r>
      <w:proofErr w:type="gramStart"/>
      <w:r w:rsidRPr="00E46F60">
        <w:rPr>
          <w:rFonts w:ascii="Times New Roman" w:hAnsi="Times New Roman"/>
        </w:rPr>
        <w:t>check-list</w:t>
      </w:r>
      <w:proofErr w:type="gramEnd"/>
      <w:r w:rsidRPr="00E46F60">
        <w:rPr>
          <w:rFonts w:ascii="Times New Roman" w:hAnsi="Times New Roman"/>
        </w:rPr>
        <w:t xml:space="preserve"> of benchmark scientific information for North Pacific striped marlin be developed to support the Commission’s deliberations in determining the designation of a northern stock. As such, the following table is forwarded for the Commission’s consideration.</w:t>
      </w:r>
    </w:p>
    <w:tbl>
      <w:tblPr>
        <w:tblStyle w:val="TableGrid"/>
        <w:tblW w:w="0" w:type="auto"/>
        <w:tblLayout w:type="fixed"/>
        <w:tblLook w:val="04A0" w:firstRow="1" w:lastRow="0" w:firstColumn="1" w:lastColumn="0" w:noHBand="0" w:noVBand="1"/>
      </w:tblPr>
      <w:tblGrid>
        <w:gridCol w:w="549"/>
        <w:gridCol w:w="2933"/>
        <w:gridCol w:w="2934"/>
        <w:gridCol w:w="2934"/>
      </w:tblGrid>
      <w:tr w:rsidR="00184FFA" w:rsidRPr="00F8297B" w14:paraId="061544A5" w14:textId="77777777" w:rsidTr="00F8297B">
        <w:trPr>
          <w:trHeight w:val="300"/>
        </w:trPr>
        <w:tc>
          <w:tcPr>
            <w:tcW w:w="549" w:type="dxa"/>
            <w:noWrap/>
            <w:hideMark/>
          </w:tcPr>
          <w:p w14:paraId="06B47C2C" w14:textId="6E50454C" w:rsidR="00184FFA" w:rsidRPr="00F8297B" w:rsidRDefault="00F8297B"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No</w:t>
            </w:r>
          </w:p>
        </w:tc>
        <w:tc>
          <w:tcPr>
            <w:tcW w:w="2933" w:type="dxa"/>
            <w:noWrap/>
            <w:hideMark/>
          </w:tcPr>
          <w:p w14:paraId="550C5536"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Criteria</w:t>
            </w:r>
          </w:p>
        </w:tc>
        <w:tc>
          <w:tcPr>
            <w:tcW w:w="2934" w:type="dxa"/>
            <w:noWrap/>
            <w:hideMark/>
          </w:tcPr>
          <w:p w14:paraId="552DEDCB"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Response</w:t>
            </w:r>
          </w:p>
        </w:tc>
        <w:tc>
          <w:tcPr>
            <w:tcW w:w="2934" w:type="dxa"/>
            <w:noWrap/>
            <w:hideMark/>
          </w:tcPr>
          <w:p w14:paraId="5E0878F5" w14:textId="77777777" w:rsidR="00184FFA" w:rsidRPr="00F8297B" w:rsidRDefault="00184FFA" w:rsidP="00565FAA">
            <w:pPr>
              <w:adjustRightInd w:val="0"/>
              <w:snapToGrid w:val="0"/>
              <w:jc w:val="center"/>
              <w:rPr>
                <w:rFonts w:ascii="Times New Roman" w:hAnsi="Times New Roman" w:cs="Times New Roman"/>
                <w:sz w:val="20"/>
                <w:szCs w:val="20"/>
              </w:rPr>
            </w:pPr>
            <w:r w:rsidRPr="00F8297B">
              <w:rPr>
                <w:rFonts w:ascii="Times New Roman" w:hAnsi="Times New Roman" w:cs="Times New Roman"/>
                <w:sz w:val="20"/>
                <w:szCs w:val="20"/>
              </w:rPr>
              <w:t>Comments</w:t>
            </w:r>
          </w:p>
        </w:tc>
      </w:tr>
      <w:tr w:rsidR="00184FFA" w:rsidRPr="00F8297B" w14:paraId="0FF45B44" w14:textId="77777777" w:rsidTr="00F8297B">
        <w:trPr>
          <w:trHeight w:val="377"/>
        </w:trPr>
        <w:tc>
          <w:tcPr>
            <w:tcW w:w="549" w:type="dxa"/>
            <w:noWrap/>
            <w:hideMark/>
          </w:tcPr>
          <w:p w14:paraId="78F7282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1</w:t>
            </w:r>
          </w:p>
        </w:tc>
        <w:tc>
          <w:tcPr>
            <w:tcW w:w="2933" w:type="dxa"/>
            <w:hideMark/>
          </w:tcPr>
          <w:p w14:paraId="3CCC8BE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What proportion of the total estimated stock biomass occurs on average north of 20N?</w:t>
            </w:r>
          </w:p>
        </w:tc>
        <w:tc>
          <w:tcPr>
            <w:tcW w:w="2934" w:type="dxa"/>
            <w:hideMark/>
          </w:tcPr>
          <w:p w14:paraId="0E20030C" w14:textId="3399FF8D"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*Proportion of biomass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is 2-4 times larger than the proportion of biomass south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in the North Pacific</w:t>
            </w:r>
          </w:p>
        </w:tc>
        <w:tc>
          <w:tcPr>
            <w:tcW w:w="2934" w:type="dxa"/>
            <w:hideMark/>
          </w:tcPr>
          <w:p w14:paraId="7D21ACF0"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WCPFC-SC14-2018/ SA-IP-011 This value was estimated by stock assessment result in 2007. </w:t>
            </w:r>
          </w:p>
        </w:tc>
      </w:tr>
      <w:tr w:rsidR="00184FFA" w:rsidRPr="00F8297B" w14:paraId="6F60E813" w14:textId="77777777" w:rsidTr="00F8297B">
        <w:trPr>
          <w:trHeight w:val="585"/>
        </w:trPr>
        <w:tc>
          <w:tcPr>
            <w:tcW w:w="549" w:type="dxa"/>
            <w:noWrap/>
            <w:hideMark/>
          </w:tcPr>
          <w:p w14:paraId="2C5DFEB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2</w:t>
            </w:r>
          </w:p>
        </w:tc>
        <w:tc>
          <w:tcPr>
            <w:tcW w:w="2933" w:type="dxa"/>
            <w:hideMark/>
          </w:tcPr>
          <w:p w14:paraId="2D01A97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Does </w:t>
            </w:r>
            <w:proofErr w:type="gramStart"/>
            <w:r w:rsidRPr="00F8297B">
              <w:rPr>
                <w:rFonts w:ascii="Times New Roman" w:hAnsi="Times New Roman" w:cs="Times New Roman"/>
                <w:sz w:val="20"/>
                <w:szCs w:val="20"/>
              </w:rPr>
              <w:t>all of</w:t>
            </w:r>
            <w:proofErr w:type="gramEnd"/>
            <w:r w:rsidRPr="00F8297B">
              <w:rPr>
                <w:rFonts w:ascii="Times New Roman" w:hAnsi="Times New Roman" w:cs="Times New Roman"/>
                <w:sz w:val="20"/>
                <w:szCs w:val="20"/>
              </w:rPr>
              <w:t xml:space="preserve"> the breeding/spawning area(s) occur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hideMark/>
          </w:tcPr>
          <w:p w14:paraId="33CF252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2CD12AB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345ACD3E" w14:textId="77777777" w:rsidTr="00F8297B">
        <w:trPr>
          <w:trHeight w:val="585"/>
        </w:trPr>
        <w:tc>
          <w:tcPr>
            <w:tcW w:w="549" w:type="dxa"/>
            <w:noWrap/>
            <w:hideMark/>
          </w:tcPr>
          <w:p w14:paraId="73B41E2E"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3</w:t>
            </w:r>
          </w:p>
        </w:tc>
        <w:tc>
          <w:tcPr>
            <w:tcW w:w="2933" w:type="dxa"/>
            <w:hideMark/>
          </w:tcPr>
          <w:p w14:paraId="5FF6BF86"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Does </w:t>
            </w:r>
            <w:proofErr w:type="gramStart"/>
            <w:r w:rsidRPr="00F8297B">
              <w:rPr>
                <w:rFonts w:ascii="Times New Roman" w:hAnsi="Times New Roman" w:cs="Times New Roman"/>
                <w:sz w:val="20"/>
                <w:szCs w:val="20"/>
              </w:rPr>
              <w:t>all of</w:t>
            </w:r>
            <w:proofErr w:type="gramEnd"/>
            <w:r w:rsidRPr="00F8297B">
              <w:rPr>
                <w:rFonts w:ascii="Times New Roman" w:hAnsi="Times New Roman" w:cs="Times New Roman"/>
                <w:sz w:val="20"/>
                <w:szCs w:val="20"/>
              </w:rPr>
              <w:t xml:space="preserve"> the nursery area(s) occur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p>
        </w:tc>
        <w:tc>
          <w:tcPr>
            <w:tcW w:w="2934" w:type="dxa"/>
            <w:hideMark/>
          </w:tcPr>
          <w:p w14:paraId="181E586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5F32A11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38B70D3E" w14:textId="77777777" w:rsidTr="00F8297B">
        <w:trPr>
          <w:trHeight w:val="585"/>
        </w:trPr>
        <w:tc>
          <w:tcPr>
            <w:tcW w:w="549" w:type="dxa"/>
            <w:noWrap/>
            <w:hideMark/>
          </w:tcPr>
          <w:p w14:paraId="1A808DDB"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lastRenderedPageBreak/>
              <w:t>4</w:t>
            </w:r>
          </w:p>
        </w:tc>
        <w:tc>
          <w:tcPr>
            <w:tcW w:w="2933" w:type="dxa"/>
            <w:hideMark/>
          </w:tcPr>
          <w:p w14:paraId="50CEC53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Do any other important life history stages occur south of 20N?</w:t>
            </w:r>
          </w:p>
        </w:tc>
        <w:tc>
          <w:tcPr>
            <w:tcW w:w="2934" w:type="dxa"/>
            <w:hideMark/>
          </w:tcPr>
          <w:p w14:paraId="2771248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hideMark/>
          </w:tcPr>
          <w:p w14:paraId="3A931C72"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7B5F0CAC" w14:textId="77777777" w:rsidTr="00F8297B">
        <w:trPr>
          <w:trHeight w:val="1016"/>
        </w:trPr>
        <w:tc>
          <w:tcPr>
            <w:tcW w:w="549" w:type="dxa"/>
            <w:noWrap/>
            <w:hideMark/>
          </w:tcPr>
          <w:p w14:paraId="6183D678"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5</w:t>
            </w:r>
          </w:p>
        </w:tc>
        <w:tc>
          <w:tcPr>
            <w:tcW w:w="2933" w:type="dxa"/>
            <w:hideMark/>
          </w:tcPr>
          <w:p w14:paraId="19C7965C"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What proportion of the total estimated catch occurs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hideMark/>
          </w:tcPr>
          <w:p w14:paraId="18DFF5F4"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**Range of annual percentages of 66%-96%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During the 2000s the average percentage was 73% above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p>
        </w:tc>
        <w:tc>
          <w:tcPr>
            <w:tcW w:w="2934" w:type="dxa"/>
            <w:hideMark/>
          </w:tcPr>
          <w:p w14:paraId="62EB63C3"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WCPFC-SC14-2018/ SA-IP-011 These values were estimated from stock assessment results in </w:t>
            </w:r>
            <w:proofErr w:type="gramStart"/>
            <w:r w:rsidRPr="00F8297B">
              <w:rPr>
                <w:rFonts w:ascii="Times New Roman" w:hAnsi="Times New Roman" w:cs="Times New Roman"/>
                <w:sz w:val="20"/>
                <w:szCs w:val="20"/>
              </w:rPr>
              <w:t>2007, but</w:t>
            </w:r>
            <w:proofErr w:type="gramEnd"/>
            <w:r w:rsidRPr="00F8297B">
              <w:rPr>
                <w:rFonts w:ascii="Times New Roman" w:hAnsi="Times New Roman" w:cs="Times New Roman"/>
                <w:sz w:val="20"/>
                <w:szCs w:val="20"/>
              </w:rPr>
              <w:t xml:space="preserve"> were not endorsed by SC3. </w:t>
            </w:r>
          </w:p>
        </w:tc>
      </w:tr>
      <w:tr w:rsidR="00184FFA" w:rsidRPr="00F8297B" w14:paraId="784AC7C0" w14:textId="77777777" w:rsidTr="00F8297B">
        <w:trPr>
          <w:trHeight w:val="64"/>
        </w:trPr>
        <w:tc>
          <w:tcPr>
            <w:tcW w:w="549" w:type="dxa"/>
            <w:noWrap/>
            <w:hideMark/>
          </w:tcPr>
          <w:p w14:paraId="087624B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6</w:t>
            </w:r>
          </w:p>
        </w:tc>
        <w:tc>
          <w:tcPr>
            <w:tcW w:w="2933" w:type="dxa"/>
            <w:hideMark/>
          </w:tcPr>
          <w:p w14:paraId="376B2845"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Is fishery catch-per-unit-effort demonstrably higher north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 xml:space="preserve"> for comparable fisheries?</w:t>
            </w:r>
          </w:p>
        </w:tc>
        <w:tc>
          <w:tcPr>
            <w:tcW w:w="2934" w:type="dxa"/>
            <w:hideMark/>
          </w:tcPr>
          <w:p w14:paraId="24F4A3DA"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Unknown</w:t>
            </w:r>
          </w:p>
        </w:tc>
        <w:tc>
          <w:tcPr>
            <w:tcW w:w="2934" w:type="dxa"/>
            <w:noWrap/>
            <w:hideMark/>
          </w:tcPr>
          <w:p w14:paraId="583EB24B"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eastAsia="MS Gothic" w:hAnsi="Times New Roman" w:cs="Times New Roman"/>
                <w:sz w:val="20"/>
                <w:szCs w:val="20"/>
              </w:rPr>
              <w:t xml:space="preserve">　</w:t>
            </w:r>
          </w:p>
        </w:tc>
      </w:tr>
      <w:tr w:rsidR="00184FFA" w:rsidRPr="00F8297B" w14:paraId="222A7140" w14:textId="77777777" w:rsidTr="00F8297B">
        <w:trPr>
          <w:trHeight w:val="64"/>
        </w:trPr>
        <w:tc>
          <w:tcPr>
            <w:tcW w:w="549" w:type="dxa"/>
            <w:noWrap/>
          </w:tcPr>
          <w:p w14:paraId="67DE0F27"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7</w:t>
            </w:r>
          </w:p>
        </w:tc>
        <w:tc>
          <w:tcPr>
            <w:tcW w:w="2933" w:type="dxa"/>
          </w:tcPr>
          <w:p w14:paraId="4CF8357E"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 xml:space="preserve">Is there </w:t>
            </w:r>
            <w:proofErr w:type="gramStart"/>
            <w:r w:rsidRPr="00F8297B">
              <w:rPr>
                <w:rFonts w:ascii="Times New Roman" w:hAnsi="Times New Roman" w:cs="Times New Roman"/>
                <w:sz w:val="20"/>
                <w:szCs w:val="20"/>
              </w:rPr>
              <w:t>sufficient</w:t>
            </w:r>
            <w:proofErr w:type="gramEnd"/>
            <w:r w:rsidRPr="00F8297B">
              <w:rPr>
                <w:rFonts w:ascii="Times New Roman" w:hAnsi="Times New Roman" w:cs="Times New Roman"/>
                <w:sz w:val="20"/>
                <w:szCs w:val="20"/>
              </w:rPr>
              <w:t xml:space="preserve"> information about fish movement between north and south of 20</w:t>
            </w:r>
            <w:r w:rsidRPr="00F8297B">
              <w:rPr>
                <w:rFonts w:ascii="Times New Roman" w:hAnsi="Times New Roman" w:cs="Times New Roman"/>
                <w:sz w:val="20"/>
                <w:szCs w:val="20"/>
                <w:vertAlign w:val="superscript"/>
              </w:rPr>
              <w:t xml:space="preserve"> </w:t>
            </w:r>
            <w:proofErr w:type="spellStart"/>
            <w:r w:rsidRPr="00F8297B">
              <w:rPr>
                <w:rFonts w:ascii="Times New Roman" w:hAnsi="Times New Roman" w:cs="Times New Roman"/>
                <w:sz w:val="20"/>
                <w:szCs w:val="20"/>
                <w:vertAlign w:val="superscript"/>
              </w:rPr>
              <w:t>o</w:t>
            </w:r>
            <w:r w:rsidRPr="00F8297B">
              <w:rPr>
                <w:rFonts w:ascii="Times New Roman" w:hAnsi="Times New Roman" w:cs="Times New Roman"/>
                <w:sz w:val="20"/>
                <w:szCs w:val="20"/>
              </w:rPr>
              <w:t>N</w:t>
            </w:r>
            <w:proofErr w:type="spellEnd"/>
            <w:r w:rsidRPr="00F8297B">
              <w:rPr>
                <w:rFonts w:ascii="Times New Roman" w:hAnsi="Times New Roman" w:cs="Times New Roman"/>
                <w:sz w:val="20"/>
                <w:szCs w:val="20"/>
              </w:rPr>
              <w:t>?</w:t>
            </w:r>
          </w:p>
        </w:tc>
        <w:tc>
          <w:tcPr>
            <w:tcW w:w="2934" w:type="dxa"/>
          </w:tcPr>
          <w:p w14:paraId="6928F2F2" w14:textId="77777777" w:rsidR="00184FFA" w:rsidRPr="00F8297B" w:rsidRDefault="00184FFA" w:rsidP="00565FAA">
            <w:pPr>
              <w:adjustRightInd w:val="0"/>
              <w:snapToGrid w:val="0"/>
              <w:rPr>
                <w:rFonts w:ascii="Times New Roman" w:hAnsi="Times New Roman" w:cs="Times New Roman"/>
                <w:sz w:val="20"/>
                <w:szCs w:val="20"/>
              </w:rPr>
            </w:pPr>
            <w:r w:rsidRPr="00F8297B">
              <w:rPr>
                <w:rFonts w:ascii="Times New Roman" w:hAnsi="Times New Roman" w:cs="Times New Roman"/>
                <w:sz w:val="20"/>
                <w:szCs w:val="20"/>
              </w:rPr>
              <w:t>No</w:t>
            </w:r>
          </w:p>
        </w:tc>
        <w:tc>
          <w:tcPr>
            <w:tcW w:w="2934" w:type="dxa"/>
            <w:noWrap/>
          </w:tcPr>
          <w:p w14:paraId="62FD1563" w14:textId="77777777" w:rsidR="00184FFA" w:rsidRPr="00F8297B" w:rsidRDefault="00184FFA" w:rsidP="00565FAA">
            <w:pPr>
              <w:adjustRightInd w:val="0"/>
              <w:snapToGrid w:val="0"/>
              <w:rPr>
                <w:rFonts w:ascii="Times New Roman" w:hAnsi="Times New Roman" w:cs="Times New Roman"/>
                <w:sz w:val="20"/>
                <w:szCs w:val="20"/>
              </w:rPr>
            </w:pPr>
          </w:p>
        </w:tc>
      </w:tr>
    </w:tbl>
    <w:tbl>
      <w:tblPr>
        <w:tblW w:w="10481" w:type="dxa"/>
        <w:tblInd w:w="99" w:type="dxa"/>
        <w:tblCellMar>
          <w:left w:w="99" w:type="dxa"/>
          <w:right w:w="99" w:type="dxa"/>
        </w:tblCellMar>
        <w:tblLook w:val="04A0" w:firstRow="1" w:lastRow="0" w:firstColumn="1" w:lastColumn="0" w:noHBand="0" w:noVBand="1"/>
      </w:tblPr>
      <w:tblGrid>
        <w:gridCol w:w="10481"/>
      </w:tblGrid>
      <w:tr w:rsidR="00184FFA" w:rsidRPr="00E46F60" w14:paraId="3B812F46" w14:textId="77777777" w:rsidTr="00241D89">
        <w:trPr>
          <w:trHeight w:val="252"/>
        </w:trPr>
        <w:tc>
          <w:tcPr>
            <w:tcW w:w="10481" w:type="dxa"/>
            <w:tcBorders>
              <w:top w:val="nil"/>
              <w:left w:val="nil"/>
              <w:bottom w:val="nil"/>
              <w:right w:val="nil"/>
            </w:tcBorders>
            <w:shd w:val="clear" w:color="auto" w:fill="auto"/>
            <w:noWrap/>
            <w:vAlign w:val="center"/>
            <w:hideMark/>
          </w:tcPr>
          <w:p w14:paraId="51476882" w14:textId="77777777" w:rsidR="00184FFA" w:rsidRPr="00E46F60" w:rsidRDefault="00184FFA" w:rsidP="00565FAA">
            <w:pPr>
              <w:adjustRightInd w:val="0"/>
              <w:snapToGrid w:val="0"/>
              <w:spacing w:after="0" w:line="240" w:lineRule="auto"/>
              <w:rPr>
                <w:rFonts w:ascii="Times New Roman" w:eastAsia="MS PGothic" w:hAnsi="Times New Roman" w:cs="Times New Roman"/>
                <w:color w:val="000000"/>
                <w:sz w:val="20"/>
                <w:szCs w:val="20"/>
              </w:rPr>
            </w:pPr>
            <w:r w:rsidRPr="00E46F60">
              <w:rPr>
                <w:rFonts w:ascii="Times New Roman" w:eastAsia="MS PGothic" w:hAnsi="Times New Roman" w:cs="Times New Roman"/>
                <w:color w:val="000000"/>
                <w:sz w:val="20"/>
                <w:szCs w:val="20"/>
              </w:rPr>
              <w:t>*Proportion of biomass was calculated in 1964 and 1969 that is near the initial condition.</w:t>
            </w:r>
          </w:p>
        </w:tc>
      </w:tr>
    </w:tbl>
    <w:p w14:paraId="65FF676B" w14:textId="77777777" w:rsidR="00184FFA" w:rsidRPr="00E46F60" w:rsidRDefault="00184FFA" w:rsidP="00565FAA">
      <w:pPr>
        <w:adjustRightInd w:val="0"/>
        <w:snapToGrid w:val="0"/>
        <w:spacing w:after="0" w:line="240" w:lineRule="auto"/>
        <w:ind w:firstLineChars="50" w:firstLine="100"/>
        <w:rPr>
          <w:rFonts w:ascii="Times New Roman" w:hAnsi="Times New Roman" w:cs="Times New Roman"/>
        </w:rPr>
      </w:pPr>
      <w:r w:rsidRPr="00E46F60">
        <w:rPr>
          <w:rFonts w:ascii="Times New Roman" w:eastAsia="MS PGothic" w:hAnsi="Times New Roman" w:cs="Times New Roman"/>
          <w:color w:val="000000"/>
          <w:sz w:val="20"/>
          <w:szCs w:val="20"/>
        </w:rPr>
        <w:t>**The average proportion of the total catch in numbers were calculated by decade (1950's-2000's).</w:t>
      </w:r>
    </w:p>
    <w:p w14:paraId="122F6FA8" w14:textId="77777777" w:rsidR="006D0CB5" w:rsidRPr="00F8297B" w:rsidRDefault="006D0CB5" w:rsidP="00565FAA">
      <w:pPr>
        <w:adjustRightInd w:val="0"/>
        <w:snapToGrid w:val="0"/>
        <w:spacing w:after="0" w:line="240" w:lineRule="auto"/>
        <w:rPr>
          <w:rFonts w:ascii="Times New Roman" w:hAnsi="Times New Roman" w:cs="Times New Roman"/>
        </w:rPr>
      </w:pPr>
    </w:p>
    <w:p w14:paraId="3D97BEB7" w14:textId="77777777" w:rsidR="00F8297B" w:rsidRPr="00F8297B" w:rsidRDefault="00F8297B" w:rsidP="00565FAA">
      <w:pPr>
        <w:pStyle w:val="Heading1"/>
        <w:adjustRightInd w:val="0"/>
        <w:snapToGrid w:val="0"/>
        <w:spacing w:before="0" w:line="240" w:lineRule="auto"/>
        <w:rPr>
          <w:rFonts w:ascii="Times New Roman" w:hAnsi="Times New Roman" w:cs="Times New Roman"/>
          <w:sz w:val="22"/>
          <w:szCs w:val="22"/>
        </w:rPr>
      </w:pPr>
      <w:bookmarkStart w:id="2" w:name="_Toc24987578"/>
    </w:p>
    <w:p w14:paraId="34BB4F3E" w14:textId="166F0ECE" w:rsidR="004B05DF" w:rsidRPr="00F8297B" w:rsidRDefault="004B05DF" w:rsidP="00565FAA">
      <w:pPr>
        <w:pStyle w:val="Heading1"/>
        <w:adjustRightInd w:val="0"/>
        <w:snapToGrid w:val="0"/>
        <w:spacing w:before="0" w:line="240" w:lineRule="auto"/>
        <w:rPr>
          <w:rFonts w:ascii="Times New Roman" w:hAnsi="Times New Roman" w:cs="Times New Roman"/>
          <w:b/>
          <w:bCs/>
          <w:sz w:val="28"/>
          <w:szCs w:val="28"/>
        </w:rPr>
      </w:pPr>
      <w:r w:rsidRPr="00F8297B">
        <w:rPr>
          <w:rFonts w:ascii="Times New Roman" w:hAnsi="Times New Roman" w:cs="Times New Roman"/>
          <w:b/>
          <w:bCs/>
          <w:sz w:val="28"/>
          <w:szCs w:val="28"/>
        </w:rPr>
        <w:t>SC13 2017</w:t>
      </w:r>
      <w:r w:rsidR="00E46F60" w:rsidRPr="00F8297B">
        <w:rPr>
          <w:rFonts w:ascii="Times New Roman" w:hAnsi="Times New Roman" w:cs="Times New Roman"/>
          <w:b/>
          <w:bCs/>
          <w:sz w:val="28"/>
          <w:szCs w:val="28"/>
        </w:rPr>
        <w:t xml:space="preserve"> (NO STOCK ASSESSMENT)</w:t>
      </w:r>
      <w:bookmarkEnd w:id="2"/>
    </w:p>
    <w:p w14:paraId="10DBDC03" w14:textId="77777777" w:rsidR="006D1BC2" w:rsidRPr="00E46F60" w:rsidRDefault="006D1BC2" w:rsidP="00565FAA">
      <w:pPr>
        <w:adjustRightInd w:val="0"/>
        <w:snapToGrid w:val="0"/>
        <w:spacing w:after="0" w:line="240" w:lineRule="auto"/>
        <w:outlineLvl w:val="6"/>
        <w:rPr>
          <w:rFonts w:ascii="Times New Roman" w:hAnsi="Times New Roman" w:cs="Times New Roman"/>
          <w:b/>
          <w:lang w:val="en-AU" w:eastAsia="ko-KR"/>
        </w:rPr>
      </w:pPr>
    </w:p>
    <w:p w14:paraId="5D941470" w14:textId="77777777" w:rsidR="006D1BC2" w:rsidRPr="00E46F60" w:rsidRDefault="006D1BC2" w:rsidP="00565FAA">
      <w:pPr>
        <w:pStyle w:val="ListParagraph"/>
        <w:numPr>
          <w:ilvl w:val="0"/>
          <w:numId w:val="18"/>
        </w:numPr>
        <w:adjustRightInd w:val="0"/>
        <w:snapToGrid w:val="0"/>
        <w:ind w:left="0" w:firstLine="0"/>
        <w:contextualSpacing w:val="0"/>
        <w:rPr>
          <w:rFonts w:ascii="Times New Roman" w:hAnsi="Times New Roman"/>
          <w:b/>
          <w:lang w:val="en-AU"/>
        </w:rPr>
      </w:pPr>
      <w:r w:rsidRPr="00E46F60">
        <w:rPr>
          <w:rFonts w:ascii="Times New Roman" w:hAnsi="Times New Roman"/>
          <w:b/>
          <w:lang w:val="en-AU"/>
        </w:rPr>
        <w:t>Stock status and trends</w:t>
      </w:r>
    </w:p>
    <w:p w14:paraId="14E0F31E" w14:textId="77777777" w:rsidR="006D1BC2" w:rsidRPr="00E46F60" w:rsidRDefault="006D1BC2" w:rsidP="00565FAA">
      <w:pPr>
        <w:pStyle w:val="ListParagraph"/>
        <w:adjustRightInd w:val="0"/>
        <w:snapToGrid w:val="0"/>
        <w:ind w:firstLine="0"/>
        <w:contextualSpacing w:val="0"/>
        <w:rPr>
          <w:rFonts w:ascii="Times New Roman" w:hAnsi="Times New Roman"/>
          <w:b/>
          <w:lang w:val="en-AU"/>
        </w:rPr>
      </w:pPr>
    </w:p>
    <w:p w14:paraId="14DB84FE" w14:textId="77777777" w:rsidR="006D1BC2" w:rsidRPr="00F8297B" w:rsidRDefault="006D1BC2" w:rsidP="00565FAA">
      <w:pPr>
        <w:pStyle w:val="WCPFC"/>
        <w:numPr>
          <w:ilvl w:val="0"/>
          <w:numId w:val="28"/>
        </w:numPr>
        <w:autoSpaceDE w:val="0"/>
        <w:autoSpaceDN w:val="0"/>
        <w:adjustRightInd w:val="0"/>
        <w:spacing w:after="0"/>
        <w:ind w:left="0" w:firstLine="0"/>
        <w:rPr>
          <w:rFonts w:cs="Times New Roman"/>
          <w:bCs/>
          <w:lang w:val="en-AU"/>
        </w:rPr>
      </w:pPr>
      <w:r w:rsidRPr="00F8297B">
        <w:rPr>
          <w:rFonts w:cs="Times New Roman"/>
          <w:bCs/>
          <w:lang w:val="en-AU"/>
        </w:rPr>
        <w:t xml:space="preserve">SC13 noted that no stock assessments were conducted for these species in 2017. Therefore, the stock status descriptions from SC11 for North Pacific striped marlin are still current. Updated information on North Pacific striped marlin catches may be available in the ISC Plenary Report, but was not compiled for and reviewed by SC13. </w:t>
      </w:r>
    </w:p>
    <w:p w14:paraId="4489B580" w14:textId="77777777" w:rsidR="006D1BC2" w:rsidRPr="00E46F60" w:rsidRDefault="006D1BC2" w:rsidP="00565FAA">
      <w:pPr>
        <w:autoSpaceDE w:val="0"/>
        <w:autoSpaceDN w:val="0"/>
        <w:adjustRightInd w:val="0"/>
        <w:snapToGrid w:val="0"/>
        <w:spacing w:after="0" w:line="240" w:lineRule="auto"/>
        <w:rPr>
          <w:rFonts w:ascii="Times New Roman" w:hAnsi="Times New Roman" w:cs="Times New Roman"/>
          <w:b/>
          <w:lang w:val="en-AU"/>
        </w:rPr>
      </w:pPr>
    </w:p>
    <w:p w14:paraId="7204D64D" w14:textId="77777777" w:rsidR="006D1BC2" w:rsidRPr="00E46F60" w:rsidRDefault="006D1BC2" w:rsidP="00565FAA">
      <w:pPr>
        <w:pStyle w:val="ListParagraph"/>
        <w:numPr>
          <w:ilvl w:val="0"/>
          <w:numId w:val="18"/>
        </w:numPr>
        <w:adjustRightInd w:val="0"/>
        <w:snapToGrid w:val="0"/>
        <w:ind w:left="0" w:firstLine="0"/>
        <w:contextualSpacing w:val="0"/>
        <w:rPr>
          <w:rFonts w:ascii="Times New Roman" w:hAnsi="Times New Roman"/>
          <w:b/>
          <w:lang w:val="en-AU"/>
        </w:rPr>
      </w:pPr>
      <w:r w:rsidRPr="00E46F60">
        <w:rPr>
          <w:rFonts w:ascii="Times New Roman" w:hAnsi="Times New Roman"/>
          <w:b/>
          <w:lang w:val="en-AU"/>
        </w:rPr>
        <w:t>Management advice and implications</w:t>
      </w:r>
    </w:p>
    <w:p w14:paraId="3E9E29E8" w14:textId="77777777" w:rsidR="006D1BC2" w:rsidRPr="00E46F60" w:rsidRDefault="006D1BC2" w:rsidP="00565FAA">
      <w:pPr>
        <w:pStyle w:val="ListParagraph"/>
        <w:adjustRightInd w:val="0"/>
        <w:snapToGrid w:val="0"/>
        <w:ind w:firstLine="0"/>
        <w:contextualSpacing w:val="0"/>
        <w:rPr>
          <w:rFonts w:ascii="Times New Roman" w:hAnsi="Times New Roman"/>
          <w:b/>
          <w:lang w:val="en-AU"/>
        </w:rPr>
      </w:pPr>
    </w:p>
    <w:p w14:paraId="54BA6C57" w14:textId="77777777" w:rsidR="006D1BC2" w:rsidRPr="00F8297B" w:rsidRDefault="006D1BC2" w:rsidP="00565FAA">
      <w:pPr>
        <w:numPr>
          <w:ilvl w:val="0"/>
          <w:numId w:val="2"/>
        </w:numPr>
        <w:autoSpaceDE w:val="0"/>
        <w:autoSpaceDN w:val="0"/>
        <w:adjustRightInd w:val="0"/>
        <w:snapToGrid w:val="0"/>
        <w:spacing w:after="0" w:line="240" w:lineRule="auto"/>
        <w:ind w:left="0" w:firstLine="0"/>
        <w:jc w:val="both"/>
        <w:rPr>
          <w:rFonts w:ascii="Times New Roman" w:hAnsi="Times New Roman" w:cs="Times New Roman"/>
          <w:bCs/>
          <w:lang w:val="en-AU"/>
        </w:rPr>
      </w:pPr>
      <w:r w:rsidRPr="00F8297B">
        <w:rPr>
          <w:rFonts w:ascii="Times New Roman" w:hAnsi="Times New Roman" w:cs="Times New Roman"/>
          <w:bCs/>
          <w:lang w:val="en-AU"/>
        </w:rPr>
        <w:t>SC13 noted that no conservation advice has been provided since SC11 for North Pacific striped marlin. Therefore, previous advice should be maintained, pending a new assessment or other new information.</w:t>
      </w:r>
    </w:p>
    <w:p w14:paraId="6971D9CD" w14:textId="77777777" w:rsidR="00E46F60" w:rsidRPr="00E46F60" w:rsidRDefault="00E46F60" w:rsidP="00565FAA">
      <w:pPr>
        <w:adjustRightInd w:val="0"/>
        <w:snapToGrid w:val="0"/>
        <w:spacing w:after="0" w:line="240" w:lineRule="auto"/>
        <w:rPr>
          <w:rFonts w:ascii="Times New Roman" w:eastAsia="MS Mincho" w:hAnsi="Times New Roman" w:cs="Times New Roman"/>
          <w:color w:val="2F5496" w:themeColor="accent1" w:themeShade="BF"/>
          <w:sz w:val="32"/>
          <w:szCs w:val="32"/>
          <w:lang w:val="en-NZ" w:eastAsia="en-NZ"/>
        </w:rPr>
      </w:pPr>
      <w:bookmarkStart w:id="3" w:name="_Toc495323856"/>
      <w:r w:rsidRPr="00E46F60">
        <w:rPr>
          <w:rFonts w:ascii="Times New Roman" w:eastAsia="MS Mincho" w:hAnsi="Times New Roman" w:cs="Times New Roman"/>
          <w:lang w:val="en-NZ" w:eastAsia="en-NZ"/>
        </w:rPr>
        <w:br w:type="page"/>
      </w:r>
    </w:p>
    <w:p w14:paraId="0ED8DCC5" w14:textId="66CD34DC" w:rsidR="005C7178" w:rsidRPr="00E46F60" w:rsidRDefault="005C7178" w:rsidP="00565FAA">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4" w:name="_Toc24987579"/>
      <w:r w:rsidRPr="00E46F60">
        <w:rPr>
          <w:rFonts w:ascii="Times New Roman" w:eastAsia="MS Mincho" w:hAnsi="Times New Roman" w:cs="Times New Roman"/>
          <w:b/>
          <w:bCs/>
          <w:caps/>
          <w:sz w:val="28"/>
          <w:szCs w:val="28"/>
          <w:lang w:val="en-NZ" w:eastAsia="en-NZ"/>
        </w:rPr>
        <w:lastRenderedPageBreak/>
        <w:t>Useful References</w:t>
      </w:r>
      <w:bookmarkEnd w:id="3"/>
      <w:bookmarkEnd w:id="4"/>
    </w:p>
    <w:p w14:paraId="309A306F" w14:textId="77777777" w:rsidR="00416473" w:rsidRPr="00E46F60" w:rsidRDefault="00416473" w:rsidP="00565FAA">
      <w:pPr>
        <w:adjustRightInd w:val="0"/>
        <w:snapToGrid w:val="0"/>
        <w:spacing w:after="0" w:line="240" w:lineRule="auto"/>
        <w:rPr>
          <w:rFonts w:ascii="Times New Roman" w:hAnsi="Times New Roman" w:cs="Times New Roman"/>
          <w:b/>
        </w:rPr>
      </w:pPr>
    </w:p>
    <w:p w14:paraId="2621DB4A" w14:textId="57D0AC04" w:rsidR="0009424D" w:rsidRPr="0009424D" w:rsidRDefault="0009424D"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09424D">
        <w:rPr>
          <w:rFonts w:ascii="Times New Roman" w:eastAsia="MS Mincho" w:hAnsi="Times New Roman" w:cs="Times New Roman"/>
          <w:color w:val="000000"/>
          <w:lang w:val="en-NZ" w:eastAsia="en-NZ"/>
        </w:rPr>
        <w:t xml:space="preserve">SC15-SA-WP-09 </w:t>
      </w:r>
      <w:r w:rsidRPr="0009424D">
        <w:rPr>
          <w:rFonts w:ascii="Times New Roman" w:hAnsi="Times New Roman" w:cs="Times New Roman"/>
          <w:color w:val="000000"/>
        </w:rPr>
        <w:t>Stock Assessment Report for Striped Marlin (</w:t>
      </w:r>
      <w:r w:rsidRPr="0009424D">
        <w:rPr>
          <w:rFonts w:ascii="Times New Roman" w:hAnsi="Times New Roman" w:cs="Times New Roman"/>
          <w:i/>
          <w:iCs/>
          <w:color w:val="000000"/>
        </w:rPr>
        <w:t>Kajikia audax</w:t>
      </w:r>
      <w:r w:rsidRPr="0009424D">
        <w:rPr>
          <w:rFonts w:ascii="Times New Roman" w:hAnsi="Times New Roman" w:cs="Times New Roman"/>
          <w:color w:val="000000"/>
        </w:rPr>
        <w:t>) in the Western and Central North Pacific Ocean through 2017</w:t>
      </w:r>
      <w:r w:rsidRPr="0009424D">
        <w:rPr>
          <w:rFonts w:ascii="Times New Roman" w:hAnsi="Times New Roman" w:cs="Times New Roman"/>
          <w:color w:val="000000"/>
        </w:rPr>
        <w:t xml:space="preserve">. </w:t>
      </w:r>
      <w:hyperlink r:id="rId19" w:history="1">
        <w:r w:rsidRPr="0009424D">
          <w:rPr>
            <w:rStyle w:val="Hyperlink"/>
            <w:rFonts w:ascii="Times New Roman" w:hAnsi="Times New Roman" w:cs="Times New Roman"/>
          </w:rPr>
          <w:t>https://www.wcpfc.int/node/42926</w:t>
        </w:r>
      </w:hyperlink>
      <w:bookmarkStart w:id="5" w:name="_GoBack"/>
      <w:bookmarkEnd w:id="5"/>
    </w:p>
    <w:p w14:paraId="549C2F6E" w14:textId="77777777" w:rsidR="0009424D" w:rsidRDefault="0009424D"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2640D503" w14:textId="7BE67ED2" w:rsidR="005C7178" w:rsidRPr="00E46F60" w:rsidRDefault="00DC50D2"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E46F60">
        <w:rPr>
          <w:rFonts w:ascii="Times New Roman" w:eastAsia="MS Mincho" w:hAnsi="Times New Roman" w:cs="Times New Roman"/>
          <w:color w:val="000000"/>
          <w:lang w:val="en-NZ" w:eastAsia="en-NZ"/>
        </w:rPr>
        <w:t>SC1</w:t>
      </w:r>
      <w:r w:rsidR="00601C1F" w:rsidRPr="00E46F60">
        <w:rPr>
          <w:rFonts w:ascii="Times New Roman" w:eastAsia="MS Mincho" w:hAnsi="Times New Roman" w:cs="Times New Roman"/>
          <w:color w:val="000000"/>
          <w:lang w:val="en-NZ" w:eastAsia="en-NZ"/>
        </w:rPr>
        <w:t>1</w:t>
      </w:r>
      <w:r w:rsidR="005C7178" w:rsidRPr="00E46F60">
        <w:rPr>
          <w:rFonts w:ascii="Times New Roman" w:eastAsia="MS Mincho" w:hAnsi="Times New Roman" w:cs="Times New Roman"/>
          <w:color w:val="000000"/>
          <w:lang w:val="en-NZ" w:eastAsia="en-NZ"/>
        </w:rPr>
        <w:t>-SA-WP</w:t>
      </w:r>
      <w:r w:rsidR="004F5329" w:rsidRPr="00E46F60">
        <w:rPr>
          <w:rFonts w:ascii="Times New Roman" w:eastAsia="MS Mincho" w:hAnsi="Times New Roman" w:cs="Times New Roman"/>
          <w:color w:val="000000"/>
          <w:lang w:val="en-NZ" w:eastAsia="en-NZ"/>
        </w:rPr>
        <w:t>-</w:t>
      </w:r>
      <w:r w:rsidR="00BF5825" w:rsidRPr="00E46F60">
        <w:rPr>
          <w:rFonts w:ascii="Times New Roman" w:eastAsia="MS Mincho" w:hAnsi="Times New Roman" w:cs="Times New Roman"/>
          <w:color w:val="000000"/>
          <w:lang w:val="en-NZ" w:eastAsia="en-NZ"/>
        </w:rPr>
        <w:t>10</w:t>
      </w:r>
      <w:r w:rsidR="005C7178" w:rsidRPr="00E46F60">
        <w:rPr>
          <w:rFonts w:ascii="Times New Roman" w:eastAsia="MS Mincho" w:hAnsi="Times New Roman" w:cs="Times New Roman"/>
          <w:color w:val="000000"/>
          <w:lang w:val="en-NZ" w:eastAsia="en-NZ"/>
        </w:rPr>
        <w:t xml:space="preserve"> </w:t>
      </w:r>
      <w:r w:rsidR="00601C1F" w:rsidRPr="00E46F60">
        <w:rPr>
          <w:rFonts w:ascii="Times New Roman" w:hAnsi="Times New Roman" w:cs="Times New Roman"/>
          <w:lang w:val="en"/>
        </w:rPr>
        <w:t>Stock assessment update for striped marlin (Kajikia audax) in the western and central North Pacific Ocean through 2013. ISC Billfish Working Group (International Scientific Committee for Tuna and Tuna-like Species in the North Pacific Ocean)</w:t>
      </w:r>
    </w:p>
    <w:p w14:paraId="2038A0E5" w14:textId="77777777" w:rsidR="005C7178" w:rsidRPr="00E46F60" w:rsidRDefault="00057701"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20" w:history="1">
        <w:r w:rsidR="00601C1F" w:rsidRPr="00E46F60">
          <w:rPr>
            <w:rStyle w:val="Hyperlink"/>
            <w:rFonts w:ascii="Times New Roman" w:hAnsi="Times New Roman" w:cs="Times New Roman"/>
          </w:rPr>
          <w:t>https://www.wcpfc.int/node/21780</w:t>
        </w:r>
      </w:hyperlink>
      <w:r w:rsidR="00601C1F" w:rsidRPr="00E46F60">
        <w:rPr>
          <w:rFonts w:ascii="Times New Roman" w:hAnsi="Times New Roman" w:cs="Times New Roman"/>
        </w:rPr>
        <w:t xml:space="preserve"> </w:t>
      </w:r>
      <w:r w:rsidR="004F5329" w:rsidRPr="00E46F60">
        <w:rPr>
          <w:rFonts w:ascii="Times New Roman" w:hAnsi="Times New Roman" w:cs="Times New Roman"/>
        </w:rPr>
        <w:t xml:space="preserve"> </w:t>
      </w:r>
    </w:p>
    <w:p w14:paraId="37812BA3" w14:textId="77777777" w:rsidR="005C7178" w:rsidRPr="00E46F60" w:rsidRDefault="005C7178"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7173D9C3" w14:textId="77777777" w:rsidR="00BF5825" w:rsidRPr="00E46F60" w:rsidRDefault="00BF5825" w:rsidP="00565FAA">
      <w:pPr>
        <w:adjustRightInd w:val="0"/>
        <w:snapToGrid w:val="0"/>
        <w:spacing w:after="0" w:line="240" w:lineRule="auto"/>
        <w:rPr>
          <w:rFonts w:ascii="Times New Roman" w:hAnsi="Times New Roman" w:cs="Times New Roman"/>
        </w:rPr>
      </w:pPr>
      <w:r w:rsidRPr="00E46F60">
        <w:rPr>
          <w:rFonts w:ascii="Times New Roman" w:hAnsi="Times New Roman" w:cs="Times New Roman"/>
        </w:rPr>
        <w:t>For current information related to Northern Stocks Working Group Reports and the ISC Plenary Report:</w:t>
      </w:r>
    </w:p>
    <w:p w14:paraId="04760DF9" w14:textId="77777777" w:rsidR="00E15B3B" w:rsidRPr="00E46F60" w:rsidRDefault="00057701" w:rsidP="00565FAA">
      <w:pPr>
        <w:autoSpaceDE w:val="0"/>
        <w:autoSpaceDN w:val="0"/>
        <w:adjustRightInd w:val="0"/>
        <w:snapToGrid w:val="0"/>
        <w:spacing w:after="0" w:line="240" w:lineRule="auto"/>
        <w:jc w:val="both"/>
        <w:rPr>
          <w:rFonts w:ascii="Times New Roman" w:hAnsi="Times New Roman" w:cs="Times New Roman"/>
          <w:b/>
          <w:lang w:val="en-AU"/>
        </w:rPr>
      </w:pPr>
      <w:hyperlink r:id="rId21" w:history="1">
        <w:r w:rsidR="00BF5825" w:rsidRPr="00E46F60">
          <w:rPr>
            <w:rStyle w:val="Hyperlink"/>
            <w:rFonts w:ascii="Times New Roman" w:hAnsi="Times New Roman" w:cs="Times New Roman"/>
          </w:rPr>
          <w:t>http://isc.fra.go.jp/reports/isc/isc17_reports.html</w:t>
        </w:r>
      </w:hyperlink>
    </w:p>
    <w:p w14:paraId="4002ADF3" w14:textId="6EE3EC3C" w:rsidR="005C7178" w:rsidRDefault="005C7178"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38EAA2D9" w14:textId="77777777" w:rsidR="00565FAA" w:rsidRPr="00E46F60" w:rsidRDefault="00565FAA"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41D8085D" w14:textId="77777777" w:rsidR="00954641" w:rsidRPr="00E46F60" w:rsidRDefault="00954641" w:rsidP="00565FAA">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6" w:name="_Toc24987580"/>
      <w:r w:rsidRPr="00E46F60">
        <w:rPr>
          <w:rFonts w:ascii="Times New Roman" w:eastAsia="MS Mincho" w:hAnsi="Times New Roman" w:cs="Times New Roman"/>
          <w:b/>
          <w:bCs/>
          <w:caps/>
          <w:sz w:val="28"/>
          <w:szCs w:val="28"/>
          <w:lang w:val="en-NZ" w:eastAsia="en-NZ"/>
        </w:rPr>
        <w:t>Previous Assessments</w:t>
      </w:r>
      <w:bookmarkEnd w:id="6"/>
    </w:p>
    <w:p w14:paraId="17C59D65" w14:textId="77777777" w:rsidR="00BF5825" w:rsidRPr="00E46F60" w:rsidRDefault="00BF5825"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1333FBB8" w14:textId="77777777" w:rsidR="00954641" w:rsidRPr="00E46F60" w:rsidRDefault="00954641" w:rsidP="00565FAA">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E46F60">
        <w:rPr>
          <w:rFonts w:ascii="Times New Roman" w:eastAsia="MS Mincho" w:hAnsi="Times New Roman" w:cs="Times New Roman"/>
          <w:color w:val="000000"/>
          <w:lang w:val="en-NZ" w:eastAsia="en-NZ"/>
        </w:rPr>
        <w:t xml:space="preserve">SC8-SA-WP-10 Stock Assessment of North Pacific Striped Marlin </w:t>
      </w:r>
      <w:hyperlink r:id="rId22" w:history="1">
        <w:r w:rsidRPr="00E46F60">
          <w:rPr>
            <w:rStyle w:val="Hyperlink"/>
            <w:rFonts w:ascii="Times New Roman" w:eastAsia="MS Mincho" w:hAnsi="Times New Roman" w:cs="Times New Roman"/>
            <w:lang w:val="en-NZ" w:eastAsia="en-NZ"/>
          </w:rPr>
          <w:t>https://wcpfc.int/node/3281</w:t>
        </w:r>
      </w:hyperlink>
      <w:r w:rsidRPr="00E46F60">
        <w:rPr>
          <w:rFonts w:ascii="Times New Roman" w:eastAsia="MS Mincho" w:hAnsi="Times New Roman" w:cs="Times New Roman"/>
          <w:color w:val="000000"/>
          <w:lang w:val="en-NZ" w:eastAsia="en-NZ"/>
        </w:rPr>
        <w:t xml:space="preserve"> </w:t>
      </w:r>
    </w:p>
    <w:sectPr w:rsidR="00954641" w:rsidRPr="00E46F60" w:rsidSect="00400113">
      <w:footerReference w:type="default" r:id="rId23"/>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7A73B" w14:textId="77777777" w:rsidR="00057701" w:rsidRDefault="00057701" w:rsidP="005C2B8D">
      <w:pPr>
        <w:spacing w:after="0" w:line="240" w:lineRule="auto"/>
      </w:pPr>
      <w:r>
        <w:separator/>
      </w:r>
    </w:p>
  </w:endnote>
  <w:endnote w:type="continuationSeparator" w:id="0">
    <w:p w14:paraId="5485FB5C" w14:textId="77777777" w:rsidR="00057701" w:rsidRDefault="00057701"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353592"/>
      <w:docPartObj>
        <w:docPartGallery w:val="Page Numbers (Bottom of Page)"/>
        <w:docPartUnique/>
      </w:docPartObj>
    </w:sdtPr>
    <w:sdtEndPr>
      <w:rPr>
        <w:noProof/>
      </w:rPr>
    </w:sdtEndPr>
    <w:sdtContent>
      <w:p w14:paraId="4F9CADD7" w14:textId="77777777" w:rsidR="00550074" w:rsidRDefault="00550074">
        <w:pPr>
          <w:pStyle w:val="Footer"/>
          <w:jc w:val="center"/>
        </w:pPr>
        <w:r>
          <w:fldChar w:fldCharType="begin"/>
        </w:r>
        <w:r>
          <w:instrText xml:space="preserve"> PAGE   \* MERGEFORMAT </w:instrText>
        </w:r>
        <w:r>
          <w:fldChar w:fldCharType="separate"/>
        </w:r>
        <w:r w:rsidR="00BF5825">
          <w:rPr>
            <w:noProof/>
          </w:rPr>
          <w:t>8</w:t>
        </w:r>
        <w:r>
          <w:rPr>
            <w:noProof/>
          </w:rPr>
          <w:fldChar w:fldCharType="end"/>
        </w:r>
      </w:p>
    </w:sdtContent>
  </w:sdt>
  <w:p w14:paraId="48C5EB78"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48EA1" w14:textId="77777777" w:rsidR="00057701" w:rsidRDefault="00057701" w:rsidP="005C2B8D">
      <w:pPr>
        <w:spacing w:after="0" w:line="240" w:lineRule="auto"/>
      </w:pPr>
      <w:r>
        <w:separator/>
      </w:r>
    </w:p>
  </w:footnote>
  <w:footnote w:type="continuationSeparator" w:id="0">
    <w:p w14:paraId="6130E4AD" w14:textId="77777777" w:rsidR="00057701" w:rsidRDefault="00057701" w:rsidP="005C2B8D">
      <w:pPr>
        <w:spacing w:after="0" w:line="240" w:lineRule="auto"/>
      </w:pPr>
      <w:r>
        <w:continuationSeparator/>
      </w:r>
    </w:p>
  </w:footnote>
  <w:footnote w:id="1">
    <w:p w14:paraId="42CC568B" w14:textId="77777777" w:rsidR="00E46F60" w:rsidRDefault="00E46F60" w:rsidP="00E46F60">
      <w:pPr>
        <w:autoSpaceDE w:val="0"/>
        <w:autoSpaceDN w:val="0"/>
        <w:adjustRightInd w:val="0"/>
        <w:rPr>
          <w:sz w:val="20"/>
          <w:szCs w:val="20"/>
        </w:rPr>
      </w:pPr>
      <w:r>
        <w:rPr>
          <w:rStyle w:val="FootnoteReference"/>
        </w:rPr>
        <w:footnoteRef/>
      </w:r>
      <w:r>
        <w:t xml:space="preserve"> </w:t>
      </w:r>
      <w:r>
        <w:rPr>
          <w:sz w:val="20"/>
          <w:szCs w:val="20"/>
        </w:rPr>
        <w:t>The rebuilding target, 20% SSB</w:t>
      </w:r>
      <w:r>
        <w:rPr>
          <w:sz w:val="13"/>
          <w:szCs w:val="13"/>
        </w:rPr>
        <w:t>0</w:t>
      </w:r>
      <w:r>
        <w:rPr>
          <w:sz w:val="20"/>
          <w:szCs w:val="20"/>
        </w:rPr>
        <w:t>, is estimated from the stock recruitment curve.</w:t>
      </w:r>
    </w:p>
    <w:p w14:paraId="3420F51A" w14:textId="77777777" w:rsidR="00E46F60" w:rsidRPr="00B02A53" w:rsidRDefault="00E46F60" w:rsidP="00E46F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744118"/>
    <w:multiLevelType w:val="hybridMultilevel"/>
    <w:tmpl w:val="92FA228A"/>
    <w:lvl w:ilvl="0" w:tplc="6A5E04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11790"/>
    <w:multiLevelType w:val="multilevel"/>
    <w:tmpl w:val="2C24B2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5091B"/>
    <w:multiLevelType w:val="multilevel"/>
    <w:tmpl w:val="9C12DFDA"/>
    <w:lvl w:ilvl="0">
      <w:start w:val="4"/>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9250E"/>
    <w:multiLevelType w:val="hybridMultilevel"/>
    <w:tmpl w:val="0D586690"/>
    <w:lvl w:ilvl="0" w:tplc="212A8D52">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097BCA"/>
    <w:multiLevelType w:val="hybridMultilevel"/>
    <w:tmpl w:val="EDFA288C"/>
    <w:lvl w:ilvl="0" w:tplc="418A9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E3BEA"/>
    <w:multiLevelType w:val="multilevel"/>
    <w:tmpl w:val="2D1869D6"/>
    <w:lvl w:ilvl="0">
      <w:start w:val="1"/>
      <w:numFmt w:val="decimal"/>
      <w:lvlText w:val="%1."/>
      <w:lvlJc w:val="left"/>
      <w:pPr>
        <w:ind w:left="1080" w:hanging="360"/>
      </w:pPr>
      <w:rPr>
        <w:rFonts w:ascii="TimesNewRomanPS" w:hAnsi="TimesNewRomanP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5D501ADC"/>
    <w:multiLevelType w:val="multilevel"/>
    <w:tmpl w:val="34A621CC"/>
    <w:lvl w:ilvl="0">
      <w:start w:val="1"/>
      <w:numFmt w:val="decimal"/>
      <w:lvlText w:val="%1."/>
      <w:lvlJc w:val="left"/>
      <w:pPr>
        <w:ind w:left="1080" w:hanging="360"/>
      </w:pPr>
      <w:rPr>
        <w:rFonts w:ascii="TimesNewRomanPS" w:hAnsi="TimesNewRomanPS" w:hint="default"/>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24"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5"/>
  </w:num>
  <w:num w:numId="4">
    <w:abstractNumId w:val="14"/>
  </w:num>
  <w:num w:numId="5">
    <w:abstractNumId w:val="0"/>
  </w:num>
  <w:num w:numId="6">
    <w:abstractNumId w:val="11"/>
    <w:lvlOverride w:ilvl="0">
      <w:startOverride w:val="393"/>
    </w:lvlOverride>
  </w:num>
  <w:num w:numId="7">
    <w:abstractNumId w:val="15"/>
  </w:num>
  <w:num w:numId="8">
    <w:abstractNumId w:val="17"/>
  </w:num>
  <w:num w:numId="9">
    <w:abstractNumId w:val="23"/>
  </w:num>
  <w:num w:numId="10">
    <w:abstractNumId w:val="13"/>
  </w:num>
  <w:num w:numId="11">
    <w:abstractNumId w:val="24"/>
  </w:num>
  <w:num w:numId="12">
    <w:abstractNumId w:val="11"/>
  </w:num>
  <w:num w:numId="13">
    <w:abstractNumId w:val="10"/>
  </w:num>
  <w:num w:numId="14">
    <w:abstractNumId w:val="12"/>
  </w:num>
  <w:num w:numId="15">
    <w:abstractNumId w:val="18"/>
  </w:num>
  <w:num w:numId="16">
    <w:abstractNumId w:val="19"/>
  </w:num>
  <w:num w:numId="17">
    <w:abstractNumId w:val="8"/>
  </w:num>
  <w:num w:numId="18">
    <w:abstractNumId w:val="3"/>
  </w:num>
  <w:num w:numId="19">
    <w:abstractNumId w:val="7"/>
  </w:num>
  <w:num w:numId="20">
    <w:abstractNumId w:val="9"/>
  </w:num>
  <w:num w:numId="21">
    <w:abstractNumId w:val="1"/>
  </w:num>
  <w:num w:numId="22">
    <w:abstractNumId w:val="2"/>
  </w:num>
  <w:num w:numId="23">
    <w:abstractNumId w:val="21"/>
  </w:num>
  <w:num w:numId="24">
    <w:abstractNumId w:val="6"/>
  </w:num>
  <w:num w:numId="25">
    <w:abstractNumId w:val="22"/>
  </w:num>
  <w:num w:numId="26">
    <w:abstractNumId w:val="20"/>
  </w:num>
  <w:num w:numId="27">
    <w:abstractNumId w:val="4"/>
  </w:num>
  <w:num w:numId="28">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014FD"/>
    <w:rsid w:val="00057701"/>
    <w:rsid w:val="0009424D"/>
    <w:rsid w:val="00184FFA"/>
    <w:rsid w:val="001B44D1"/>
    <w:rsid w:val="002D086C"/>
    <w:rsid w:val="002D0B6E"/>
    <w:rsid w:val="003060E3"/>
    <w:rsid w:val="00371ABF"/>
    <w:rsid w:val="0038238E"/>
    <w:rsid w:val="003A4198"/>
    <w:rsid w:val="003F3E71"/>
    <w:rsid w:val="003F50D6"/>
    <w:rsid w:val="00400113"/>
    <w:rsid w:val="00416473"/>
    <w:rsid w:val="004B05DF"/>
    <w:rsid w:val="004C0F6A"/>
    <w:rsid w:val="004C1EE5"/>
    <w:rsid w:val="004C4F3D"/>
    <w:rsid w:val="004D1F0E"/>
    <w:rsid w:val="004F5329"/>
    <w:rsid w:val="005374AB"/>
    <w:rsid w:val="00550074"/>
    <w:rsid w:val="00565FAA"/>
    <w:rsid w:val="005A5AA1"/>
    <w:rsid w:val="005B1A1E"/>
    <w:rsid w:val="005C2B8D"/>
    <w:rsid w:val="005C7178"/>
    <w:rsid w:val="00601C1F"/>
    <w:rsid w:val="00643A67"/>
    <w:rsid w:val="006515DB"/>
    <w:rsid w:val="006A51C4"/>
    <w:rsid w:val="006D0CB5"/>
    <w:rsid w:val="006D1BC2"/>
    <w:rsid w:val="0073054D"/>
    <w:rsid w:val="007766EA"/>
    <w:rsid w:val="007864E0"/>
    <w:rsid w:val="007A432D"/>
    <w:rsid w:val="007B6CCE"/>
    <w:rsid w:val="007D493F"/>
    <w:rsid w:val="007F084A"/>
    <w:rsid w:val="0086258F"/>
    <w:rsid w:val="00867480"/>
    <w:rsid w:val="00954641"/>
    <w:rsid w:val="009C1672"/>
    <w:rsid w:val="00BD56FE"/>
    <w:rsid w:val="00BF2822"/>
    <w:rsid w:val="00BF5825"/>
    <w:rsid w:val="00C01084"/>
    <w:rsid w:val="00C64AF4"/>
    <w:rsid w:val="00CC3DC6"/>
    <w:rsid w:val="00CC59BE"/>
    <w:rsid w:val="00CF0B93"/>
    <w:rsid w:val="00D33EC0"/>
    <w:rsid w:val="00D4373F"/>
    <w:rsid w:val="00DC50D2"/>
    <w:rsid w:val="00E145DF"/>
    <w:rsid w:val="00E15B3B"/>
    <w:rsid w:val="00E46F60"/>
    <w:rsid w:val="00E73AEA"/>
    <w:rsid w:val="00F528D9"/>
    <w:rsid w:val="00F535CC"/>
    <w:rsid w:val="00F8297B"/>
    <w:rsid w:val="00FB657D"/>
    <w:rsid w:val="00FC2C77"/>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65FD9"/>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4F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565FAA"/>
    <w:pPr>
      <w:tabs>
        <w:tab w:val="right" w:leader="dot" w:pos="9350"/>
      </w:tabs>
      <w:adjustRightInd w:val="0"/>
      <w:snapToGrid w:val="0"/>
      <w:spacing w:after="240" w:line="240" w:lineRule="auto"/>
    </w:pPr>
    <w:rPr>
      <w:rFonts w:ascii="Times New Roman" w:eastAsia="MS Mincho" w:hAnsi="Times New Roman" w:cs="Times New Roman"/>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character" w:customStyle="1" w:styleId="Heading3Char">
    <w:name w:val="Heading 3 Char"/>
    <w:basedOn w:val="DefaultParagraphFont"/>
    <w:link w:val="Heading3"/>
    <w:uiPriority w:val="9"/>
    <w:semiHidden/>
    <w:rsid w:val="00184FF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D0CB5"/>
    <w:pPr>
      <w:spacing w:after="100"/>
      <w:ind w:left="440"/>
    </w:pPr>
  </w:style>
  <w:style w:type="paragraph" w:styleId="NormalWeb">
    <w:name w:val="Normal (Web)"/>
    <w:basedOn w:val="Normal"/>
    <w:uiPriority w:val="99"/>
    <w:unhideWhenUsed/>
    <w:rsid w:val="00E46F60"/>
    <w:pPr>
      <w:spacing w:before="100" w:beforeAutospacing="1" w:after="100" w:afterAutospacing="1" w:line="240" w:lineRule="auto"/>
    </w:pPr>
    <w:rPr>
      <w:rFonts w:ascii="Times New Roman" w:eastAsia="Batang" w:hAnsi="Times New Roman" w:cs="Times New Roman"/>
      <w:lang w:eastAsia="ko-KR"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isc.fra.go.jp/reports/isc/isc17_report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217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wcpfc.int/node/429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cpfc.int/node/3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77C14-A5A4-429E-B51A-93D70B586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3757</Words>
  <Characters>21420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SungKwon Soh</cp:lastModifiedBy>
  <cp:revision>7</cp:revision>
  <dcterms:created xsi:type="dcterms:W3CDTF">2018-08-23T00:24:00Z</dcterms:created>
  <dcterms:modified xsi:type="dcterms:W3CDTF">2019-11-19T05:31:00Z</dcterms:modified>
</cp:coreProperties>
</file>