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60C6" w14:textId="77777777" w:rsidR="00266E25" w:rsidRPr="00EA7C95" w:rsidRDefault="00266E25" w:rsidP="00266E25">
      <w:pPr>
        <w:autoSpaceDE w:val="0"/>
        <w:autoSpaceDN w:val="0"/>
        <w:adjustRightInd w:val="0"/>
        <w:snapToGrid w:val="0"/>
        <w:spacing w:after="0" w:line="240" w:lineRule="auto"/>
        <w:jc w:val="center"/>
        <w:rPr>
          <w:rFonts w:ascii="Times New Roman" w:hAnsi="Times New Roman" w:cs="Times New Roman"/>
          <w:b/>
          <w:bCs/>
          <w:lang w:val="en-AU" w:eastAsia="en-NZ"/>
        </w:rPr>
      </w:pPr>
    </w:p>
    <w:p w14:paraId="160D7C1A" w14:textId="77777777" w:rsidR="00266E25" w:rsidRPr="00EA7C95" w:rsidRDefault="00266E25" w:rsidP="00266E25">
      <w:pPr>
        <w:autoSpaceDE w:val="0"/>
        <w:autoSpaceDN w:val="0"/>
        <w:adjustRightInd w:val="0"/>
        <w:snapToGrid w:val="0"/>
        <w:spacing w:after="0" w:line="240" w:lineRule="auto"/>
        <w:jc w:val="center"/>
        <w:rPr>
          <w:rFonts w:ascii="Times New Roman" w:hAnsi="Times New Roman" w:cs="Times New Roman"/>
          <w:b/>
          <w:bCs/>
          <w:lang w:val="en-AU" w:eastAsia="en-NZ"/>
        </w:rPr>
      </w:pPr>
    </w:p>
    <w:p w14:paraId="1E5EA1B4" w14:textId="77777777" w:rsidR="00266E25" w:rsidRPr="00EA7C95" w:rsidRDefault="00266E25" w:rsidP="00266E25">
      <w:pPr>
        <w:autoSpaceDE w:val="0"/>
        <w:autoSpaceDN w:val="0"/>
        <w:adjustRightInd w:val="0"/>
        <w:snapToGrid w:val="0"/>
        <w:spacing w:after="0" w:line="240" w:lineRule="auto"/>
        <w:jc w:val="center"/>
        <w:rPr>
          <w:rFonts w:ascii="Times New Roman" w:hAnsi="Times New Roman" w:cs="Times New Roman"/>
          <w:b/>
          <w:bCs/>
          <w:lang w:val="en-AU" w:eastAsia="en-NZ"/>
        </w:rPr>
      </w:pPr>
      <w:r w:rsidRPr="00EA7C95">
        <w:rPr>
          <w:rFonts w:ascii="Times New Roman" w:hAnsi="Times New Roman" w:cs="Times New Roman"/>
          <w:noProof/>
          <w:lang w:eastAsia="zh-CN" w:bidi="mn-Mong-CN"/>
        </w:rPr>
        <w:drawing>
          <wp:inline distT="0" distB="0" distL="0" distR="0" wp14:anchorId="19F804D2" wp14:editId="5ADDB621">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2F6E28F8" w14:textId="77777777" w:rsidR="00266E25" w:rsidRPr="00EA7C95" w:rsidRDefault="00266E25" w:rsidP="00266E25">
      <w:pPr>
        <w:autoSpaceDE w:val="0"/>
        <w:autoSpaceDN w:val="0"/>
        <w:adjustRightInd w:val="0"/>
        <w:snapToGrid w:val="0"/>
        <w:spacing w:after="0" w:line="240" w:lineRule="auto"/>
        <w:jc w:val="center"/>
        <w:rPr>
          <w:rFonts w:ascii="Times New Roman" w:hAnsi="Times New Roman" w:cs="Times New Roman"/>
          <w:b/>
          <w:bCs/>
          <w:lang w:val="en-AU" w:eastAsia="en-NZ"/>
        </w:rPr>
      </w:pPr>
    </w:p>
    <w:p w14:paraId="30267CE0" w14:textId="77777777" w:rsidR="00266E25" w:rsidRPr="00EA7C95" w:rsidRDefault="00266E25" w:rsidP="00266E25">
      <w:pPr>
        <w:autoSpaceDE w:val="0"/>
        <w:autoSpaceDN w:val="0"/>
        <w:adjustRightInd w:val="0"/>
        <w:snapToGrid w:val="0"/>
        <w:spacing w:after="0" w:line="240" w:lineRule="auto"/>
        <w:jc w:val="center"/>
        <w:rPr>
          <w:rFonts w:ascii="Times New Roman" w:hAnsi="Times New Roman" w:cs="Times New Roman"/>
          <w:b/>
          <w:bCs/>
          <w:lang w:val="en-AU" w:eastAsia="en-NZ"/>
        </w:rPr>
      </w:pPr>
    </w:p>
    <w:p w14:paraId="4F915B7D" w14:textId="77777777" w:rsidR="00266E25" w:rsidRPr="00EA7C95" w:rsidRDefault="00266E25" w:rsidP="00266E25">
      <w:pPr>
        <w:adjustRightInd w:val="0"/>
        <w:snapToGrid w:val="0"/>
        <w:spacing w:after="0" w:line="240" w:lineRule="auto"/>
        <w:jc w:val="center"/>
        <w:rPr>
          <w:rFonts w:ascii="Times New Roman" w:hAnsi="Times New Roman" w:cs="Times New Roman"/>
          <w:b/>
          <w:lang w:val="en-NZ"/>
        </w:rPr>
      </w:pPr>
      <w:r w:rsidRPr="00EA7C95">
        <w:rPr>
          <w:rFonts w:ascii="Times New Roman" w:hAnsi="Times New Roman" w:cs="Times New Roman"/>
          <w:b/>
          <w:lang w:val="en-NZ"/>
        </w:rPr>
        <w:t xml:space="preserve">The Commission for the Conservation and Management of </w:t>
      </w:r>
    </w:p>
    <w:p w14:paraId="166FBA81" w14:textId="77777777" w:rsidR="00266E25" w:rsidRPr="00EA7C95" w:rsidRDefault="00266E25" w:rsidP="00266E25">
      <w:pPr>
        <w:adjustRightInd w:val="0"/>
        <w:snapToGrid w:val="0"/>
        <w:spacing w:after="0" w:line="240" w:lineRule="auto"/>
        <w:jc w:val="center"/>
        <w:rPr>
          <w:rFonts w:ascii="Times New Roman" w:hAnsi="Times New Roman" w:cs="Times New Roman"/>
          <w:b/>
          <w:lang w:val="en-NZ"/>
        </w:rPr>
      </w:pPr>
      <w:r w:rsidRPr="00EA7C95">
        <w:rPr>
          <w:rFonts w:ascii="Times New Roman" w:hAnsi="Times New Roman" w:cs="Times New Roman"/>
          <w:b/>
          <w:lang w:val="en-NZ"/>
        </w:rPr>
        <w:t xml:space="preserve">Highly Migratory Fish Stocks in the Western and Central Pacific Ocean </w:t>
      </w:r>
    </w:p>
    <w:p w14:paraId="5752B683" w14:textId="77777777" w:rsidR="00266E25" w:rsidRPr="00EA7C95" w:rsidRDefault="00266E25" w:rsidP="00266E25">
      <w:pPr>
        <w:adjustRightInd w:val="0"/>
        <w:snapToGrid w:val="0"/>
        <w:spacing w:after="0" w:line="240" w:lineRule="auto"/>
        <w:jc w:val="center"/>
        <w:rPr>
          <w:rFonts w:ascii="Times New Roman" w:hAnsi="Times New Roman" w:cs="Times New Roman"/>
          <w:b/>
          <w:lang w:val="en-NZ"/>
        </w:rPr>
      </w:pPr>
    </w:p>
    <w:p w14:paraId="1B309CA7" w14:textId="77777777" w:rsidR="00266E25" w:rsidRPr="00EA7C95" w:rsidRDefault="00266E25" w:rsidP="00266E25">
      <w:pPr>
        <w:adjustRightInd w:val="0"/>
        <w:snapToGrid w:val="0"/>
        <w:spacing w:after="0" w:line="240" w:lineRule="auto"/>
        <w:jc w:val="center"/>
        <w:rPr>
          <w:rFonts w:ascii="Times New Roman" w:hAnsi="Times New Roman" w:cs="Times New Roman"/>
          <w:b/>
          <w:lang w:val="en-NZ"/>
        </w:rPr>
      </w:pPr>
    </w:p>
    <w:p w14:paraId="32F67D13" w14:textId="77777777" w:rsidR="00266E25" w:rsidRPr="00EA7C95" w:rsidRDefault="00266E25" w:rsidP="00266E25">
      <w:pPr>
        <w:adjustRightInd w:val="0"/>
        <w:snapToGrid w:val="0"/>
        <w:spacing w:after="0" w:line="240" w:lineRule="auto"/>
        <w:jc w:val="center"/>
        <w:rPr>
          <w:rFonts w:ascii="Times New Roman" w:hAnsi="Times New Roman" w:cs="Times New Roman"/>
          <w:b/>
          <w:lang w:val="en-NZ"/>
        </w:rPr>
      </w:pPr>
    </w:p>
    <w:p w14:paraId="3529038A" w14:textId="77777777" w:rsidR="00266E25" w:rsidRPr="0023671B" w:rsidRDefault="00266E25" w:rsidP="00266E25">
      <w:pPr>
        <w:adjustRightInd w:val="0"/>
        <w:snapToGrid w:val="0"/>
        <w:spacing w:after="0" w:line="240" w:lineRule="auto"/>
        <w:jc w:val="center"/>
        <w:rPr>
          <w:rFonts w:ascii="Times New Roman Bold" w:hAnsi="Times New Roman Bold" w:cs="Times New Roman"/>
          <w:b/>
          <w:caps/>
          <w:lang w:val="en-NZ"/>
        </w:rPr>
      </w:pPr>
      <w:r w:rsidRPr="0023671B">
        <w:rPr>
          <w:rFonts w:ascii="Times New Roman Bold" w:hAnsi="Times New Roman Bold" w:cs="Times New Roman"/>
          <w:b/>
          <w:caps/>
          <w:lang w:val="en-NZ"/>
        </w:rPr>
        <w:t>Scientific Committee</w:t>
      </w:r>
    </w:p>
    <w:p w14:paraId="0179A379" w14:textId="77777777" w:rsidR="00266E25" w:rsidRPr="00EA7C95" w:rsidRDefault="00266E25" w:rsidP="00266E25">
      <w:pPr>
        <w:adjustRightInd w:val="0"/>
        <w:snapToGrid w:val="0"/>
        <w:spacing w:after="0" w:line="240" w:lineRule="auto"/>
        <w:jc w:val="center"/>
        <w:rPr>
          <w:rFonts w:ascii="Times New Roman" w:hAnsi="Times New Roman" w:cs="Times New Roman"/>
          <w:b/>
          <w:lang w:val="en-NZ"/>
        </w:rPr>
      </w:pPr>
    </w:p>
    <w:p w14:paraId="3281005F" w14:textId="77777777" w:rsidR="00266E25" w:rsidRPr="00EA7C95" w:rsidRDefault="00266E25" w:rsidP="00266E25">
      <w:pPr>
        <w:adjustRightInd w:val="0"/>
        <w:snapToGrid w:val="0"/>
        <w:spacing w:after="0" w:line="240" w:lineRule="auto"/>
        <w:jc w:val="center"/>
        <w:rPr>
          <w:rFonts w:ascii="Times New Roman" w:hAnsi="Times New Roman" w:cs="Times New Roman"/>
          <w:b/>
          <w:caps/>
        </w:rPr>
      </w:pPr>
    </w:p>
    <w:p w14:paraId="07BCDD79" w14:textId="77777777" w:rsidR="00266E25" w:rsidRPr="00266E25" w:rsidRDefault="00266E25" w:rsidP="00266E25">
      <w:pPr>
        <w:adjustRightInd w:val="0"/>
        <w:snapToGrid w:val="0"/>
        <w:spacing w:after="0" w:line="240" w:lineRule="auto"/>
        <w:jc w:val="center"/>
        <w:rPr>
          <w:rFonts w:ascii="Times New Roman" w:hAnsi="Times New Roman" w:cs="Times New Roman"/>
          <w:b/>
        </w:rPr>
      </w:pPr>
    </w:p>
    <w:p w14:paraId="35C07002" w14:textId="314431D3" w:rsidR="004B05DF" w:rsidRPr="00266E25" w:rsidRDefault="003F50D6" w:rsidP="00266E25">
      <w:pPr>
        <w:adjustRightInd w:val="0"/>
        <w:snapToGrid w:val="0"/>
        <w:spacing w:after="0" w:line="240" w:lineRule="auto"/>
        <w:jc w:val="center"/>
        <w:rPr>
          <w:rFonts w:ascii="Times New Roman Bold" w:hAnsi="Times New Roman Bold" w:cs="Times New Roman"/>
          <w:b/>
          <w:caps/>
          <w:sz w:val="28"/>
          <w:szCs w:val="28"/>
        </w:rPr>
      </w:pPr>
      <w:r w:rsidRPr="00266E25">
        <w:rPr>
          <w:rFonts w:ascii="Times New Roman Bold" w:hAnsi="Times New Roman Bold" w:cs="Times New Roman"/>
          <w:b/>
          <w:caps/>
          <w:sz w:val="28"/>
          <w:szCs w:val="28"/>
        </w:rPr>
        <w:t xml:space="preserve">Pacific </w:t>
      </w:r>
      <w:r w:rsidR="005642ED" w:rsidRPr="00266E25">
        <w:rPr>
          <w:rFonts w:ascii="Times New Roman Bold" w:hAnsi="Times New Roman Bold" w:cs="Times New Roman"/>
          <w:b/>
          <w:caps/>
          <w:sz w:val="28"/>
          <w:szCs w:val="28"/>
        </w:rPr>
        <w:t>Blue</w:t>
      </w:r>
      <w:r w:rsidR="007A432D" w:rsidRPr="00266E25">
        <w:rPr>
          <w:rFonts w:ascii="Times New Roman Bold" w:hAnsi="Times New Roman Bold" w:cs="Times New Roman"/>
          <w:b/>
          <w:caps/>
          <w:sz w:val="28"/>
          <w:szCs w:val="28"/>
        </w:rPr>
        <w:t xml:space="preserve"> Marlin </w:t>
      </w:r>
      <w:r w:rsidR="004B05DF" w:rsidRPr="00266E25">
        <w:rPr>
          <w:rFonts w:ascii="Times New Roman Bold" w:hAnsi="Times New Roman Bold" w:cs="Times New Roman"/>
          <w:b/>
          <w:caps/>
          <w:sz w:val="28"/>
          <w:szCs w:val="28"/>
        </w:rPr>
        <w:t>(</w:t>
      </w:r>
      <w:r w:rsidR="00266E25" w:rsidRPr="00266E25">
        <w:rPr>
          <w:rFonts w:ascii="Times New Roman Bold" w:hAnsi="Times New Roman Bold" w:cs="Times New Roman"/>
          <w:b/>
          <w:i/>
          <w:iCs/>
          <w:sz w:val="28"/>
          <w:szCs w:val="28"/>
        </w:rPr>
        <w:t xml:space="preserve">Makaira </w:t>
      </w:r>
      <w:r w:rsidR="00266E25">
        <w:rPr>
          <w:rFonts w:ascii="Times New Roman Bold" w:hAnsi="Times New Roman Bold" w:cs="Times New Roman"/>
          <w:b/>
          <w:i/>
          <w:iCs/>
          <w:sz w:val="28"/>
          <w:szCs w:val="28"/>
        </w:rPr>
        <w:t>n</w:t>
      </w:r>
      <w:r w:rsidR="00266E25" w:rsidRPr="00266E25">
        <w:rPr>
          <w:rFonts w:ascii="Times New Roman Bold" w:hAnsi="Times New Roman Bold" w:cs="Times New Roman"/>
          <w:b/>
          <w:i/>
          <w:iCs/>
          <w:sz w:val="28"/>
          <w:szCs w:val="28"/>
        </w:rPr>
        <w:t>igricans</w:t>
      </w:r>
      <w:r w:rsidR="007A432D" w:rsidRPr="00266E25">
        <w:rPr>
          <w:rFonts w:ascii="Times New Roman Bold" w:hAnsi="Times New Roman Bold" w:cs="Times New Roman"/>
          <w:b/>
          <w:caps/>
          <w:sz w:val="28"/>
          <w:szCs w:val="28"/>
        </w:rPr>
        <w:t>)</w:t>
      </w:r>
    </w:p>
    <w:p w14:paraId="5193A13B" w14:textId="77777777" w:rsidR="00266E25" w:rsidRDefault="00266E25" w:rsidP="00266E25">
      <w:pPr>
        <w:adjustRightInd w:val="0"/>
        <w:snapToGrid w:val="0"/>
        <w:spacing w:after="0" w:line="240" w:lineRule="auto"/>
        <w:jc w:val="center"/>
        <w:rPr>
          <w:rFonts w:ascii="Times New Roman" w:eastAsiaTheme="minorEastAsia" w:hAnsi="Times New Roman" w:cs="Times New Roman"/>
          <w:bCs/>
          <w:caps/>
        </w:rPr>
      </w:pPr>
    </w:p>
    <w:p w14:paraId="3295D824" w14:textId="54F4E21F" w:rsidR="004B05DF" w:rsidRPr="00266E25" w:rsidRDefault="004B05DF" w:rsidP="00266E25">
      <w:pPr>
        <w:adjustRightInd w:val="0"/>
        <w:snapToGrid w:val="0"/>
        <w:spacing w:after="0" w:line="240" w:lineRule="auto"/>
        <w:jc w:val="center"/>
        <w:rPr>
          <w:rFonts w:ascii="Times New Roman" w:eastAsiaTheme="minorEastAsia" w:hAnsi="Times New Roman" w:cs="Times New Roman"/>
          <w:bCs/>
          <w:caps/>
        </w:rPr>
      </w:pPr>
      <w:r w:rsidRPr="00266E25">
        <w:rPr>
          <w:rFonts w:ascii="Times New Roman" w:eastAsiaTheme="minorEastAsia" w:hAnsi="Times New Roman" w:cs="Times New Roman"/>
          <w:bCs/>
          <w:caps/>
        </w:rPr>
        <w:t xml:space="preserve">Stock Status </w:t>
      </w:r>
      <w:r w:rsidR="00266E25" w:rsidRPr="00266E25">
        <w:rPr>
          <w:rFonts w:ascii="Times New Roman" w:eastAsiaTheme="minorEastAsia" w:hAnsi="Times New Roman" w:cs="Times New Roman"/>
          <w:bCs/>
          <w:caps/>
        </w:rPr>
        <w:t>and</w:t>
      </w:r>
      <w:r w:rsidRPr="00266E25">
        <w:rPr>
          <w:rFonts w:ascii="Times New Roman" w:eastAsiaTheme="minorEastAsia" w:hAnsi="Times New Roman" w:cs="Times New Roman"/>
          <w:bCs/>
          <w:caps/>
        </w:rPr>
        <w:t xml:space="preserve"> Management Advice</w:t>
      </w:r>
    </w:p>
    <w:p w14:paraId="3991A7A2" w14:textId="20E52C9F" w:rsidR="004B05DF" w:rsidRDefault="004B05DF" w:rsidP="00266E25">
      <w:pPr>
        <w:adjustRightInd w:val="0"/>
        <w:snapToGrid w:val="0"/>
        <w:spacing w:after="0" w:line="240" w:lineRule="auto"/>
        <w:rPr>
          <w:rFonts w:ascii="Times New Roman" w:hAnsi="Times New Roman" w:cs="Times New Roman"/>
          <w:b/>
        </w:rPr>
      </w:pPr>
    </w:p>
    <w:p w14:paraId="12ED8C62" w14:textId="3E2F3D0E" w:rsidR="00266E25" w:rsidRDefault="00266E25" w:rsidP="00266E25">
      <w:pPr>
        <w:adjustRightInd w:val="0"/>
        <w:snapToGrid w:val="0"/>
        <w:spacing w:after="0" w:line="240" w:lineRule="auto"/>
        <w:rPr>
          <w:rFonts w:ascii="Times New Roman" w:hAnsi="Times New Roman" w:cs="Times New Roman"/>
          <w:b/>
        </w:rPr>
      </w:pPr>
    </w:p>
    <w:p w14:paraId="3546176E" w14:textId="5CFDAC87" w:rsidR="00266E25" w:rsidRDefault="00266E25" w:rsidP="00266E25">
      <w:pPr>
        <w:adjustRightInd w:val="0"/>
        <w:snapToGrid w:val="0"/>
        <w:spacing w:after="0" w:line="240" w:lineRule="auto"/>
        <w:rPr>
          <w:rFonts w:ascii="Times New Roman" w:hAnsi="Times New Roman" w:cs="Times New Roman"/>
          <w:b/>
        </w:rPr>
      </w:pPr>
    </w:p>
    <w:p w14:paraId="0AD0A185" w14:textId="00D12311" w:rsidR="00266E25" w:rsidRDefault="00266E25" w:rsidP="00266E25">
      <w:pPr>
        <w:adjustRightInd w:val="0"/>
        <w:snapToGrid w:val="0"/>
        <w:spacing w:after="0" w:line="240" w:lineRule="auto"/>
        <w:rPr>
          <w:rFonts w:ascii="Times New Roman" w:hAnsi="Times New Roman" w:cs="Times New Roman"/>
          <w:b/>
        </w:rPr>
      </w:pPr>
    </w:p>
    <w:p w14:paraId="723AFC0B" w14:textId="5BE42D07" w:rsidR="00266E25" w:rsidRDefault="00266E25" w:rsidP="00266E25">
      <w:pPr>
        <w:adjustRightInd w:val="0"/>
        <w:snapToGrid w:val="0"/>
        <w:spacing w:after="0" w:line="240" w:lineRule="auto"/>
        <w:rPr>
          <w:rFonts w:ascii="Times New Roman" w:hAnsi="Times New Roman" w:cs="Times New Roman"/>
          <w:b/>
        </w:rPr>
      </w:pPr>
    </w:p>
    <w:p w14:paraId="5BA054A9" w14:textId="30DCBF8C" w:rsidR="00266E25" w:rsidRDefault="00266E25" w:rsidP="00266E25">
      <w:pPr>
        <w:adjustRightInd w:val="0"/>
        <w:snapToGrid w:val="0"/>
        <w:spacing w:after="0" w:line="240" w:lineRule="auto"/>
        <w:rPr>
          <w:rFonts w:ascii="Times New Roman" w:hAnsi="Times New Roman" w:cs="Times New Roman"/>
          <w:b/>
        </w:rPr>
      </w:pPr>
    </w:p>
    <w:p w14:paraId="1FAD23C5" w14:textId="50420219" w:rsidR="00266E25" w:rsidRDefault="00266E25" w:rsidP="00266E25">
      <w:pPr>
        <w:adjustRightInd w:val="0"/>
        <w:snapToGrid w:val="0"/>
        <w:spacing w:after="0" w:line="240" w:lineRule="auto"/>
        <w:rPr>
          <w:rFonts w:ascii="Times New Roman" w:hAnsi="Times New Roman" w:cs="Times New Roman"/>
          <w:b/>
        </w:rPr>
      </w:pPr>
    </w:p>
    <w:p w14:paraId="0F576881" w14:textId="2750D42A" w:rsidR="00266E25" w:rsidRDefault="00266E25" w:rsidP="00266E25">
      <w:pPr>
        <w:adjustRightInd w:val="0"/>
        <w:snapToGrid w:val="0"/>
        <w:spacing w:after="0" w:line="240" w:lineRule="auto"/>
        <w:rPr>
          <w:rFonts w:ascii="Times New Roman" w:hAnsi="Times New Roman" w:cs="Times New Roman"/>
          <w:b/>
        </w:rPr>
      </w:pPr>
    </w:p>
    <w:p w14:paraId="62E804AE" w14:textId="7A08749A" w:rsidR="00266E25" w:rsidRDefault="00266E25" w:rsidP="00266E25">
      <w:pPr>
        <w:adjustRightInd w:val="0"/>
        <w:snapToGrid w:val="0"/>
        <w:spacing w:after="0" w:line="240" w:lineRule="auto"/>
        <w:rPr>
          <w:rFonts w:ascii="Times New Roman" w:hAnsi="Times New Roman" w:cs="Times New Roman"/>
          <w:b/>
        </w:rPr>
      </w:pPr>
    </w:p>
    <w:p w14:paraId="316E3FA4" w14:textId="77777777" w:rsidR="00266E25" w:rsidRPr="00266E25" w:rsidRDefault="00266E25" w:rsidP="00266E25">
      <w:pPr>
        <w:adjustRightInd w:val="0"/>
        <w:snapToGrid w:val="0"/>
        <w:spacing w:after="0" w:line="240" w:lineRule="auto"/>
        <w:rPr>
          <w:rFonts w:ascii="Times New Roman" w:hAnsi="Times New Roman" w:cs="Times New Roman"/>
          <w:b/>
        </w:rPr>
      </w:pPr>
    </w:p>
    <w:sdt>
      <w:sdtPr>
        <w:rPr>
          <w:rFonts w:ascii="Times New Roman" w:eastAsiaTheme="minorHAnsi" w:hAnsi="Times New Roman" w:cs="Times New Roman"/>
          <w:color w:val="auto"/>
          <w:sz w:val="22"/>
          <w:szCs w:val="22"/>
        </w:rPr>
        <w:id w:val="-1203621396"/>
        <w:docPartObj>
          <w:docPartGallery w:val="Table of Contents"/>
          <w:docPartUnique/>
        </w:docPartObj>
      </w:sdtPr>
      <w:sdtEndPr>
        <w:rPr>
          <w:b/>
          <w:bCs/>
          <w:noProof/>
        </w:rPr>
      </w:sdtEndPr>
      <w:sdtContent>
        <w:p w14:paraId="23D8C16D" w14:textId="77777777" w:rsidR="004B05DF" w:rsidRPr="00266E25" w:rsidRDefault="004B05DF" w:rsidP="002F6757">
          <w:pPr>
            <w:pStyle w:val="TOCHeading"/>
            <w:adjustRightInd w:val="0"/>
            <w:snapToGrid w:val="0"/>
            <w:spacing w:before="0" w:after="240" w:line="240" w:lineRule="auto"/>
            <w:rPr>
              <w:rFonts w:ascii="Times New Roman" w:hAnsi="Times New Roman" w:cs="Times New Roman"/>
              <w:b/>
              <w:bCs/>
              <w:sz w:val="28"/>
              <w:szCs w:val="28"/>
            </w:rPr>
          </w:pPr>
          <w:r w:rsidRPr="00266E25">
            <w:rPr>
              <w:rFonts w:ascii="Times New Roman" w:hAnsi="Times New Roman" w:cs="Times New Roman"/>
              <w:b/>
              <w:bCs/>
              <w:sz w:val="28"/>
              <w:szCs w:val="28"/>
            </w:rPr>
            <w:t>Contents</w:t>
          </w:r>
        </w:p>
        <w:p w14:paraId="74DDCCC2" w14:textId="1261B790" w:rsidR="00DC5A3D" w:rsidRPr="00DC5A3D" w:rsidRDefault="004B05DF">
          <w:pPr>
            <w:pStyle w:val="TOC1"/>
            <w:tabs>
              <w:tab w:val="right" w:leader="dot" w:pos="9350"/>
            </w:tabs>
            <w:rPr>
              <w:rFonts w:eastAsiaTheme="minorEastAsia"/>
              <w:noProof/>
            </w:rPr>
          </w:pPr>
          <w:r w:rsidRPr="00266E25">
            <w:rPr>
              <w:rFonts w:ascii="Times New Roman" w:hAnsi="Times New Roman" w:cs="Times New Roman"/>
            </w:rPr>
            <w:fldChar w:fldCharType="begin"/>
          </w:r>
          <w:r w:rsidRPr="00266E25">
            <w:rPr>
              <w:rFonts w:ascii="Times New Roman" w:hAnsi="Times New Roman" w:cs="Times New Roman"/>
            </w:rPr>
            <w:instrText xml:space="preserve"> TOC \o "1-3" \h \z \u </w:instrText>
          </w:r>
          <w:r w:rsidRPr="00266E25">
            <w:rPr>
              <w:rFonts w:ascii="Times New Roman" w:hAnsi="Times New Roman" w:cs="Times New Roman"/>
            </w:rPr>
            <w:fldChar w:fldCharType="separate"/>
          </w:r>
          <w:hyperlink w:anchor="_Toc95983376" w:history="1">
            <w:r w:rsidR="00DC5A3D" w:rsidRPr="00DC5A3D">
              <w:rPr>
                <w:rStyle w:val="Hyperlink"/>
                <w:rFonts w:ascii="Times New Roman" w:hAnsi="Times New Roman" w:cs="Times New Roman"/>
                <w:b/>
                <w:bCs/>
                <w:noProof/>
                <w:color w:val="auto"/>
                <w:spacing w:val="-4"/>
              </w:rPr>
              <w:t>SC17-2021 (STOCK ASSESSMENT CONDUCTED)</w:t>
            </w:r>
            <w:r w:rsidR="00DC5A3D" w:rsidRPr="00DC5A3D">
              <w:rPr>
                <w:noProof/>
                <w:webHidden/>
              </w:rPr>
              <w:tab/>
            </w:r>
            <w:r w:rsidR="00DC5A3D" w:rsidRPr="00DC5A3D">
              <w:rPr>
                <w:noProof/>
                <w:webHidden/>
              </w:rPr>
              <w:fldChar w:fldCharType="begin"/>
            </w:r>
            <w:r w:rsidR="00DC5A3D" w:rsidRPr="00DC5A3D">
              <w:rPr>
                <w:noProof/>
                <w:webHidden/>
              </w:rPr>
              <w:instrText xml:space="preserve"> PAGEREF _Toc95983376 \h </w:instrText>
            </w:r>
            <w:r w:rsidR="00DC5A3D" w:rsidRPr="00DC5A3D">
              <w:rPr>
                <w:noProof/>
                <w:webHidden/>
              </w:rPr>
            </w:r>
            <w:r w:rsidR="00DC5A3D" w:rsidRPr="00DC5A3D">
              <w:rPr>
                <w:noProof/>
                <w:webHidden/>
              </w:rPr>
              <w:fldChar w:fldCharType="separate"/>
            </w:r>
            <w:r w:rsidR="00DC5A3D" w:rsidRPr="00DC5A3D">
              <w:rPr>
                <w:noProof/>
                <w:webHidden/>
              </w:rPr>
              <w:t>2</w:t>
            </w:r>
            <w:r w:rsidR="00DC5A3D" w:rsidRPr="00DC5A3D">
              <w:rPr>
                <w:noProof/>
                <w:webHidden/>
              </w:rPr>
              <w:fldChar w:fldCharType="end"/>
            </w:r>
          </w:hyperlink>
        </w:p>
        <w:p w14:paraId="7C052562" w14:textId="780FD9EA" w:rsidR="00DC5A3D" w:rsidRDefault="00DC5A3D">
          <w:pPr>
            <w:pStyle w:val="TOC1"/>
            <w:tabs>
              <w:tab w:val="right" w:leader="dot" w:pos="9350"/>
            </w:tabs>
            <w:rPr>
              <w:rFonts w:eastAsiaTheme="minorEastAsia"/>
              <w:noProof/>
            </w:rPr>
          </w:pPr>
          <w:hyperlink w:anchor="_Toc95983377" w:history="1">
            <w:r w:rsidRPr="00DC5A3D">
              <w:rPr>
                <w:rStyle w:val="Hyperlink"/>
                <w:rFonts w:ascii="Times New Roman" w:hAnsi="Times New Roman" w:cs="Times New Roman"/>
                <w:b/>
                <w:bCs/>
                <w:noProof/>
                <w:color w:val="auto"/>
              </w:rPr>
              <w:t>SC13-2017 – SC16-2020 (NO STOCK ASSESSMENTS)</w:t>
            </w:r>
            <w:r w:rsidRPr="00DC5A3D">
              <w:rPr>
                <w:noProof/>
                <w:webHidden/>
              </w:rPr>
              <w:tab/>
            </w:r>
            <w:r w:rsidRPr="00DC5A3D">
              <w:rPr>
                <w:noProof/>
                <w:webHidden/>
              </w:rPr>
              <w:fldChar w:fldCharType="begin"/>
            </w:r>
            <w:r w:rsidRPr="00DC5A3D">
              <w:rPr>
                <w:noProof/>
                <w:webHidden/>
              </w:rPr>
              <w:instrText xml:space="preserve"> PAGEREF _Toc95983377 \h </w:instrText>
            </w:r>
            <w:r w:rsidRPr="00DC5A3D">
              <w:rPr>
                <w:noProof/>
                <w:webHidden/>
              </w:rPr>
            </w:r>
            <w:r w:rsidRPr="00DC5A3D">
              <w:rPr>
                <w:noProof/>
                <w:webHidden/>
              </w:rPr>
              <w:fldChar w:fldCharType="separate"/>
            </w:r>
            <w:r w:rsidRPr="00DC5A3D">
              <w:rPr>
                <w:noProof/>
                <w:webHidden/>
              </w:rPr>
              <w:t>8</w:t>
            </w:r>
            <w:r w:rsidRPr="00DC5A3D">
              <w:rPr>
                <w:noProof/>
                <w:webHidden/>
              </w:rPr>
              <w:fldChar w:fldCharType="end"/>
            </w:r>
          </w:hyperlink>
        </w:p>
        <w:p w14:paraId="6C782AFE" w14:textId="78FB0144" w:rsidR="00DC5A3D" w:rsidRDefault="00DC5A3D">
          <w:pPr>
            <w:pStyle w:val="TOC1"/>
            <w:tabs>
              <w:tab w:val="right" w:leader="dot" w:pos="9350"/>
            </w:tabs>
            <w:rPr>
              <w:rFonts w:eastAsiaTheme="minorEastAsia"/>
              <w:noProof/>
            </w:rPr>
          </w:pPr>
          <w:hyperlink w:anchor="_Toc95983378" w:history="1">
            <w:r w:rsidRPr="00FE3B02">
              <w:rPr>
                <w:rStyle w:val="Hyperlink"/>
                <w:rFonts w:ascii="Times New Roman" w:hAnsi="Times New Roman" w:cs="Times New Roman"/>
                <w:b/>
                <w:bCs/>
                <w:noProof/>
                <w:spacing w:val="-4"/>
              </w:rPr>
              <w:t>SC12-2016 (STOCK ASSESSMENT CONDUCTED)</w:t>
            </w:r>
            <w:r>
              <w:rPr>
                <w:noProof/>
                <w:webHidden/>
              </w:rPr>
              <w:tab/>
            </w:r>
            <w:r>
              <w:rPr>
                <w:noProof/>
                <w:webHidden/>
              </w:rPr>
              <w:fldChar w:fldCharType="begin"/>
            </w:r>
            <w:r>
              <w:rPr>
                <w:noProof/>
                <w:webHidden/>
              </w:rPr>
              <w:instrText xml:space="preserve"> PAGEREF _Toc95983378 \h </w:instrText>
            </w:r>
            <w:r>
              <w:rPr>
                <w:noProof/>
                <w:webHidden/>
              </w:rPr>
            </w:r>
            <w:r>
              <w:rPr>
                <w:noProof/>
                <w:webHidden/>
              </w:rPr>
              <w:fldChar w:fldCharType="separate"/>
            </w:r>
            <w:r>
              <w:rPr>
                <w:noProof/>
                <w:webHidden/>
              </w:rPr>
              <w:t>8</w:t>
            </w:r>
            <w:r>
              <w:rPr>
                <w:noProof/>
                <w:webHidden/>
              </w:rPr>
              <w:fldChar w:fldCharType="end"/>
            </w:r>
          </w:hyperlink>
        </w:p>
        <w:p w14:paraId="59163EFE" w14:textId="3E02F1B7" w:rsidR="00DC5A3D" w:rsidRDefault="00DC5A3D">
          <w:pPr>
            <w:pStyle w:val="TOC1"/>
            <w:tabs>
              <w:tab w:val="right" w:leader="dot" w:pos="9350"/>
            </w:tabs>
            <w:rPr>
              <w:rFonts w:eastAsiaTheme="minorEastAsia"/>
              <w:noProof/>
            </w:rPr>
          </w:pPr>
          <w:hyperlink w:anchor="_Toc95983379" w:history="1">
            <w:r w:rsidRPr="00FE3B02">
              <w:rPr>
                <w:rStyle w:val="Hyperlink"/>
                <w:rFonts w:ascii="Times New Roman Bold" w:eastAsia="MS Mincho" w:hAnsi="Times New Roman Bold" w:cs="Times New Roman"/>
                <w:b/>
                <w:bCs/>
                <w:caps/>
                <w:noProof/>
                <w:lang w:val="en-NZ" w:eastAsia="en-NZ"/>
              </w:rPr>
              <w:t>Useful References</w:t>
            </w:r>
            <w:r>
              <w:rPr>
                <w:noProof/>
                <w:webHidden/>
              </w:rPr>
              <w:tab/>
            </w:r>
            <w:r>
              <w:rPr>
                <w:noProof/>
                <w:webHidden/>
              </w:rPr>
              <w:fldChar w:fldCharType="begin"/>
            </w:r>
            <w:r>
              <w:rPr>
                <w:noProof/>
                <w:webHidden/>
              </w:rPr>
              <w:instrText xml:space="preserve"> PAGEREF _Toc95983379 \h </w:instrText>
            </w:r>
            <w:r>
              <w:rPr>
                <w:noProof/>
                <w:webHidden/>
              </w:rPr>
            </w:r>
            <w:r>
              <w:rPr>
                <w:noProof/>
                <w:webHidden/>
              </w:rPr>
              <w:fldChar w:fldCharType="separate"/>
            </w:r>
            <w:r>
              <w:rPr>
                <w:noProof/>
                <w:webHidden/>
              </w:rPr>
              <w:t>11</w:t>
            </w:r>
            <w:r>
              <w:rPr>
                <w:noProof/>
                <w:webHidden/>
              </w:rPr>
              <w:fldChar w:fldCharType="end"/>
            </w:r>
          </w:hyperlink>
        </w:p>
        <w:p w14:paraId="457B85B1" w14:textId="0A638066" w:rsidR="00DC5A3D" w:rsidRDefault="00DC5A3D">
          <w:pPr>
            <w:pStyle w:val="TOC1"/>
            <w:tabs>
              <w:tab w:val="right" w:leader="dot" w:pos="9350"/>
            </w:tabs>
            <w:rPr>
              <w:rFonts w:eastAsiaTheme="minorEastAsia"/>
              <w:noProof/>
            </w:rPr>
          </w:pPr>
          <w:hyperlink w:anchor="_Toc95983380" w:history="1">
            <w:r w:rsidRPr="00FE3B02">
              <w:rPr>
                <w:rStyle w:val="Hyperlink"/>
                <w:rFonts w:ascii="Times New Roman Bold" w:eastAsia="MS Mincho" w:hAnsi="Times New Roman Bold" w:cs="Times New Roman"/>
                <w:b/>
                <w:caps/>
                <w:noProof/>
                <w:lang w:val="en-NZ" w:eastAsia="en-NZ"/>
              </w:rPr>
              <w:t>Previous Assessments</w:t>
            </w:r>
            <w:r>
              <w:rPr>
                <w:noProof/>
                <w:webHidden/>
              </w:rPr>
              <w:tab/>
            </w:r>
            <w:r>
              <w:rPr>
                <w:noProof/>
                <w:webHidden/>
              </w:rPr>
              <w:fldChar w:fldCharType="begin"/>
            </w:r>
            <w:r>
              <w:rPr>
                <w:noProof/>
                <w:webHidden/>
              </w:rPr>
              <w:instrText xml:space="preserve"> PAGEREF _Toc95983380 \h </w:instrText>
            </w:r>
            <w:r>
              <w:rPr>
                <w:noProof/>
                <w:webHidden/>
              </w:rPr>
            </w:r>
            <w:r>
              <w:rPr>
                <w:noProof/>
                <w:webHidden/>
              </w:rPr>
              <w:fldChar w:fldCharType="separate"/>
            </w:r>
            <w:r>
              <w:rPr>
                <w:noProof/>
                <w:webHidden/>
              </w:rPr>
              <w:t>11</w:t>
            </w:r>
            <w:r>
              <w:rPr>
                <w:noProof/>
                <w:webHidden/>
              </w:rPr>
              <w:fldChar w:fldCharType="end"/>
            </w:r>
          </w:hyperlink>
        </w:p>
        <w:p w14:paraId="3B030768" w14:textId="2EC4B4F6" w:rsidR="004B05DF" w:rsidRPr="00266E25" w:rsidRDefault="004B05DF" w:rsidP="002F6757">
          <w:pPr>
            <w:adjustRightInd w:val="0"/>
            <w:snapToGrid w:val="0"/>
            <w:spacing w:after="240" w:line="240" w:lineRule="auto"/>
            <w:rPr>
              <w:rFonts w:ascii="Times New Roman" w:hAnsi="Times New Roman" w:cs="Times New Roman"/>
            </w:rPr>
          </w:pPr>
          <w:r w:rsidRPr="00266E25">
            <w:rPr>
              <w:rFonts w:ascii="Times New Roman" w:hAnsi="Times New Roman" w:cs="Times New Roman"/>
              <w:b/>
              <w:bCs/>
              <w:noProof/>
            </w:rPr>
            <w:fldChar w:fldCharType="end"/>
          </w:r>
        </w:p>
      </w:sdtContent>
    </w:sdt>
    <w:p w14:paraId="3AB0EDA6" w14:textId="77777777" w:rsidR="00266E25" w:rsidRDefault="00266E25">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54AA5DB3" w14:textId="69BE7675" w:rsidR="0019465C" w:rsidRPr="00DC5A3D" w:rsidRDefault="0019465C" w:rsidP="00B32B1F">
      <w:pPr>
        <w:pStyle w:val="Heading1"/>
        <w:adjustRightInd w:val="0"/>
        <w:snapToGrid w:val="0"/>
        <w:spacing w:before="0" w:line="240" w:lineRule="auto"/>
        <w:rPr>
          <w:rFonts w:ascii="Times New Roman" w:hAnsi="Times New Roman" w:cs="Times New Roman"/>
          <w:b/>
          <w:bCs/>
          <w:spacing w:val="-4"/>
          <w:sz w:val="28"/>
          <w:szCs w:val="28"/>
        </w:rPr>
      </w:pPr>
      <w:bookmarkStart w:id="0" w:name="_Toc95983376"/>
      <w:r w:rsidRPr="00DC5A3D">
        <w:rPr>
          <w:rFonts w:ascii="Times New Roman" w:hAnsi="Times New Roman" w:cs="Times New Roman"/>
          <w:b/>
          <w:bCs/>
          <w:spacing w:val="-4"/>
          <w:sz w:val="28"/>
          <w:szCs w:val="28"/>
        </w:rPr>
        <w:lastRenderedPageBreak/>
        <w:t>SC17</w:t>
      </w:r>
      <w:r w:rsidR="00DC5A3D" w:rsidRPr="00DC5A3D">
        <w:rPr>
          <w:rFonts w:ascii="Times New Roman" w:hAnsi="Times New Roman" w:cs="Times New Roman"/>
          <w:b/>
          <w:bCs/>
          <w:spacing w:val="-4"/>
          <w:sz w:val="28"/>
          <w:szCs w:val="28"/>
        </w:rPr>
        <w:t>-</w:t>
      </w:r>
      <w:r w:rsidRPr="00DC5A3D">
        <w:rPr>
          <w:rFonts w:ascii="Times New Roman" w:hAnsi="Times New Roman" w:cs="Times New Roman"/>
          <w:b/>
          <w:bCs/>
          <w:spacing w:val="-4"/>
          <w:sz w:val="28"/>
          <w:szCs w:val="28"/>
        </w:rPr>
        <w:t>2021 (STOCK ASSESSMENT CONDUCTED)</w:t>
      </w:r>
      <w:bookmarkEnd w:id="0"/>
    </w:p>
    <w:p w14:paraId="1562489F" w14:textId="142C3BAD" w:rsidR="0019465C" w:rsidRPr="00DC5A3D" w:rsidRDefault="0019465C" w:rsidP="0019465C"/>
    <w:p w14:paraId="7FFA1B75" w14:textId="42BE5291" w:rsidR="0019465C" w:rsidRPr="00DC5A3D" w:rsidRDefault="00C91950" w:rsidP="00C91950">
      <w:pPr>
        <w:pStyle w:val="ListParagraph"/>
        <w:numPr>
          <w:ilvl w:val="0"/>
          <w:numId w:val="27"/>
        </w:numPr>
        <w:ind w:left="0" w:firstLine="0"/>
        <w:rPr>
          <w:rFonts w:ascii="Times New Roman" w:hAnsi="Times New Roman"/>
        </w:rPr>
      </w:pPr>
      <w:r w:rsidRPr="00DC5A3D">
        <w:rPr>
          <w:rFonts w:ascii="Times New Roman" w:hAnsi="Times New Roman"/>
          <w:lang w:val="en-AU"/>
        </w:rPr>
        <w:t>SC17 reviewed and accepted SC17-SA-WP-08 (</w:t>
      </w:r>
      <w:r w:rsidRPr="00DC5A3D">
        <w:rPr>
          <w:rFonts w:ascii="Times New Roman" w:hAnsi="Times New Roman"/>
          <w:i/>
          <w:iCs/>
          <w:lang w:val="en-AU"/>
        </w:rPr>
        <w:t>Stock assessment report for Pacific blue marlin (Makaira Nigricans) through 2019</w:t>
      </w:r>
      <w:r w:rsidRPr="00DC5A3D">
        <w:rPr>
          <w:rFonts w:ascii="Times New Roman" w:hAnsi="Times New Roman"/>
          <w:lang w:val="en-AU"/>
        </w:rPr>
        <w:t>). The ISC Billfish working group, IATTC, and SPC scientists conducted the current benchmark stock assessment.</w:t>
      </w:r>
    </w:p>
    <w:p w14:paraId="1A725C6B" w14:textId="021B5EC3" w:rsidR="00C91950" w:rsidRPr="00DC5A3D" w:rsidRDefault="00C91950" w:rsidP="00C91950">
      <w:pPr>
        <w:spacing w:after="0" w:line="240" w:lineRule="auto"/>
        <w:rPr>
          <w:rFonts w:ascii="Times New Roman" w:hAnsi="Times New Roman" w:cs="Times New Roman"/>
        </w:rPr>
      </w:pPr>
    </w:p>
    <w:p w14:paraId="64CD6B55" w14:textId="77777777" w:rsidR="00C91950" w:rsidRPr="00DC5A3D" w:rsidRDefault="00C91950" w:rsidP="00C91950">
      <w:pPr>
        <w:pStyle w:val="ListParagraph"/>
        <w:numPr>
          <w:ilvl w:val="0"/>
          <w:numId w:val="32"/>
        </w:numPr>
        <w:kinsoku w:val="0"/>
        <w:overflowPunct w:val="0"/>
        <w:autoSpaceDE w:val="0"/>
        <w:autoSpaceDN w:val="0"/>
        <w:adjustRightInd w:val="0"/>
        <w:snapToGrid w:val="0"/>
        <w:contextualSpacing w:val="0"/>
        <w:rPr>
          <w:rFonts w:ascii="Times New Roman" w:eastAsia="Batang" w:hAnsi="Times New Roman"/>
          <w:b/>
          <w:bCs/>
          <w:lang w:val="en-AU" w:eastAsia="ko-KR"/>
        </w:rPr>
      </w:pPr>
      <w:r w:rsidRPr="00DC5A3D">
        <w:rPr>
          <w:rFonts w:ascii="Times New Roman" w:eastAsia="Batang" w:hAnsi="Times New Roman"/>
          <w:b/>
          <w:bCs/>
          <w:lang w:val="en-AU" w:eastAsia="ko-KR"/>
        </w:rPr>
        <w:t xml:space="preserve">Stock status and trends </w:t>
      </w:r>
    </w:p>
    <w:p w14:paraId="379B7D83" w14:textId="77777777" w:rsidR="00C91950" w:rsidRPr="00DC5A3D" w:rsidRDefault="00C91950" w:rsidP="00C91950">
      <w:pPr>
        <w:kinsoku w:val="0"/>
        <w:overflowPunct w:val="0"/>
        <w:autoSpaceDE w:val="0"/>
        <w:autoSpaceDN w:val="0"/>
        <w:adjustRightInd w:val="0"/>
        <w:snapToGrid w:val="0"/>
        <w:spacing w:after="0" w:line="240" w:lineRule="auto"/>
        <w:ind w:left="360"/>
        <w:jc w:val="both"/>
        <w:rPr>
          <w:rFonts w:ascii="Times New Roman" w:eastAsia="Batang" w:hAnsi="Times New Roman" w:cs="Times New Roman"/>
          <w:lang w:val="en-AU" w:eastAsia="ko-KR"/>
        </w:rPr>
      </w:pPr>
    </w:p>
    <w:p w14:paraId="632AD810" w14:textId="77777777" w:rsidR="00C91950" w:rsidRPr="00DC5A3D" w:rsidRDefault="00C91950" w:rsidP="00C91950">
      <w:pPr>
        <w:pStyle w:val="WCPFC"/>
        <w:spacing w:after="0"/>
        <w:rPr>
          <w:rFonts w:cs="Times New Roman"/>
          <w:b/>
          <w:bCs/>
        </w:rPr>
      </w:pPr>
      <w:r w:rsidRPr="00DC5A3D">
        <w:rPr>
          <w:rFonts w:cs="Times New Roman"/>
          <w:b/>
          <w:bCs/>
        </w:rPr>
        <w:t>SC17 noted that ISC</w:t>
      </w:r>
      <w:r w:rsidRPr="00DC5A3D">
        <w:rPr>
          <w:rFonts w:cs="Times New Roman"/>
          <w:b/>
          <w:bCs/>
          <w:vertAlign w:val="superscript"/>
        </w:rPr>
        <w:footnoteReference w:id="1"/>
      </w:r>
      <w:r w:rsidRPr="00DC5A3D">
        <w:rPr>
          <w:rFonts w:cs="Times New Roman"/>
          <w:b/>
          <w:bCs/>
        </w:rPr>
        <w:t xml:space="preserve"> provided the following conclusions on the stock status of Pacific blue </w:t>
      </w:r>
      <w:r w:rsidRPr="00DC5A3D">
        <w:rPr>
          <w:rFonts w:cs="Times New Roman"/>
          <w:b/>
          <w:bCs/>
        </w:rPr>
        <w:tab/>
        <w:t>marlin:</w:t>
      </w:r>
    </w:p>
    <w:p w14:paraId="7DAFD6F8" w14:textId="77777777" w:rsidR="00C91950" w:rsidRPr="00DC5A3D" w:rsidRDefault="00C91950" w:rsidP="00C91950">
      <w:pPr>
        <w:adjustRightInd w:val="0"/>
        <w:snapToGrid w:val="0"/>
        <w:spacing w:after="0" w:line="240" w:lineRule="auto"/>
        <w:jc w:val="both"/>
        <w:rPr>
          <w:rFonts w:ascii="Times New Roman" w:hAnsi="Times New Roman" w:cs="Times New Roman"/>
          <w:lang w:val="en-NZ"/>
        </w:rPr>
      </w:pPr>
    </w:p>
    <w:p w14:paraId="5DD6DD48"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r w:rsidRPr="00DC5A3D">
        <w:rPr>
          <w:rFonts w:ascii="Times New Roman" w:hAnsi="Times New Roman" w:cs="Times New Roman"/>
          <w:lang w:eastAsia="ko-KR"/>
        </w:rPr>
        <w:t xml:space="preserve">Stock status, biomass trends, and recruitment of Pacific blue marlin for both models in the ensemble had equal weights and similar trends, although the estimates of initial conditions are different. All reported results are the model-averaged estimates from the ensemble model unless otherwise noted.  </w:t>
      </w:r>
    </w:p>
    <w:p w14:paraId="16F3F04C"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p>
    <w:p w14:paraId="27563E9F"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r w:rsidRPr="00DC5A3D">
        <w:rPr>
          <w:rFonts w:ascii="Times New Roman" w:hAnsi="Times New Roman" w:cs="Times New Roman"/>
          <w:lang w:eastAsia="ko-KR"/>
        </w:rPr>
        <w:t>Estimates of population biomass declined until the mid-2000s, increased again until 2019, and were relatively flat until the present. The minimum spawning stock biomass is estimated to be 17,592 mt (95% C.I. 14,512-20,703 mt) in 2006 which corresponds to 5% above SB</w:t>
      </w:r>
      <w:r w:rsidRPr="00DC5A3D">
        <w:rPr>
          <w:rFonts w:ascii="Times New Roman" w:hAnsi="Times New Roman" w:cs="Times New Roman"/>
          <w:position w:val="-2"/>
          <w:vertAlign w:val="subscript"/>
          <w:lang w:eastAsia="ko-KR"/>
        </w:rPr>
        <w:t>MSY</w:t>
      </w:r>
      <w:r w:rsidRPr="00DC5A3D">
        <w:rPr>
          <w:rFonts w:ascii="Times New Roman" w:hAnsi="Times New Roman" w:cs="Times New Roman"/>
          <w:lang w:eastAsia="ko-KR"/>
        </w:rPr>
        <w:t>, the spawning stock biomass to produce MSY, (i.e., SB/SB</w:t>
      </w:r>
      <w:r w:rsidRPr="00DC5A3D">
        <w:rPr>
          <w:rFonts w:ascii="Times New Roman" w:hAnsi="Times New Roman" w:cs="Times New Roman"/>
          <w:vertAlign w:val="subscript"/>
          <w:lang w:eastAsia="ko-KR"/>
        </w:rPr>
        <w:t>MSY</w:t>
      </w:r>
      <w:r w:rsidRPr="00DC5A3D">
        <w:rPr>
          <w:rFonts w:ascii="Times New Roman" w:hAnsi="Times New Roman" w:cs="Times New Roman"/>
          <w:lang w:eastAsia="ko-KR"/>
        </w:rPr>
        <w:t xml:space="preserve"> = 1.05; 95% C.I. 0.70-1.01, Figure PBUM-1). In 2019, SB = 24,272 mt and the relative SB/SB</w:t>
      </w:r>
      <w:r w:rsidRPr="00DC5A3D">
        <w:rPr>
          <w:rFonts w:ascii="Times New Roman" w:hAnsi="Times New Roman" w:cs="Times New Roman"/>
          <w:vertAlign w:val="subscript"/>
          <w:lang w:eastAsia="ko-KR"/>
        </w:rPr>
        <w:t>MSY</w:t>
      </w:r>
      <w:r w:rsidRPr="00DC5A3D">
        <w:rPr>
          <w:rFonts w:ascii="Times New Roman" w:hAnsi="Times New Roman" w:cs="Times New Roman"/>
          <w:position w:val="-2"/>
          <w:lang w:eastAsia="ko-KR"/>
        </w:rPr>
        <w:t xml:space="preserve"> </w:t>
      </w:r>
      <w:r w:rsidRPr="00DC5A3D">
        <w:rPr>
          <w:rFonts w:ascii="Times New Roman" w:hAnsi="Times New Roman" w:cs="Times New Roman"/>
          <w:lang w:eastAsia="ko-KR"/>
        </w:rPr>
        <w:t xml:space="preserve">= 1.17 (95% C.I. 0.87-1.51). </w:t>
      </w:r>
    </w:p>
    <w:p w14:paraId="32AD1747"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p>
    <w:p w14:paraId="3562DD81"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r w:rsidRPr="00DC5A3D">
        <w:rPr>
          <w:rFonts w:ascii="Times New Roman" w:hAnsi="Times New Roman" w:cs="Times New Roman"/>
          <w:lang w:eastAsia="ko-KR"/>
        </w:rPr>
        <w:t>Combined median fishing mortality on the stock (average F</w:t>
      </w:r>
      <w:r w:rsidRPr="00DC5A3D">
        <w:rPr>
          <w:rFonts w:ascii="Times New Roman" w:hAnsi="Times New Roman" w:cs="Times New Roman"/>
          <w:i/>
          <w:iCs/>
          <w:lang w:eastAsia="ko-KR"/>
        </w:rPr>
        <w:t xml:space="preserve"> </w:t>
      </w:r>
      <w:r w:rsidRPr="00DC5A3D">
        <w:rPr>
          <w:rFonts w:ascii="Times New Roman" w:hAnsi="Times New Roman" w:cs="Times New Roman"/>
          <w:lang w:eastAsia="ko-KR"/>
        </w:rPr>
        <w:t>on ages 1-10) is currently below F</w:t>
      </w:r>
      <w:r w:rsidRPr="00DC5A3D">
        <w:rPr>
          <w:rFonts w:ascii="Times New Roman" w:hAnsi="Times New Roman" w:cs="Times New Roman"/>
          <w:vertAlign w:val="subscript"/>
          <w:lang w:eastAsia="ko-KR"/>
        </w:rPr>
        <w:t>MSY</w:t>
      </w:r>
      <w:r w:rsidRPr="00DC5A3D">
        <w:rPr>
          <w:rFonts w:ascii="Times New Roman" w:hAnsi="Times New Roman" w:cs="Times New Roman"/>
          <w:lang w:eastAsia="ko-KR"/>
        </w:rPr>
        <w:t xml:space="preserve"> (Figure PBUM-1). It averaged roughly F</w:t>
      </w:r>
      <w:r w:rsidRPr="00DC5A3D">
        <w:rPr>
          <w:rFonts w:ascii="Times New Roman" w:hAnsi="Times New Roman" w:cs="Times New Roman"/>
          <w:i/>
          <w:iCs/>
          <w:lang w:eastAsia="ko-KR"/>
        </w:rPr>
        <w:t xml:space="preserve"> </w:t>
      </w:r>
      <w:r w:rsidRPr="00DC5A3D">
        <w:rPr>
          <w:rFonts w:ascii="Times New Roman" w:hAnsi="Times New Roman" w:cs="Times New Roman"/>
          <w:lang w:eastAsia="ko-KR"/>
        </w:rPr>
        <w:t>= 0.13 during 2017-2019, or 40% below F</w:t>
      </w:r>
      <w:r w:rsidRPr="00DC5A3D">
        <w:rPr>
          <w:rFonts w:ascii="Times New Roman" w:hAnsi="Times New Roman" w:cs="Times New Roman"/>
          <w:position w:val="-2"/>
          <w:vertAlign w:val="subscript"/>
          <w:lang w:eastAsia="ko-KR"/>
        </w:rPr>
        <w:t>MSY</w:t>
      </w:r>
      <w:r w:rsidRPr="00DC5A3D">
        <w:rPr>
          <w:rFonts w:ascii="Times New Roman" w:hAnsi="Times New Roman" w:cs="Times New Roman"/>
          <w:lang w:eastAsia="ko-KR"/>
        </w:rPr>
        <w:t>, and in 2019, F=0.11 with a relative fishing mortality of F/F</w:t>
      </w:r>
      <w:r w:rsidRPr="00DC5A3D">
        <w:rPr>
          <w:rFonts w:ascii="Times New Roman" w:hAnsi="Times New Roman" w:cs="Times New Roman"/>
          <w:vertAlign w:val="subscript"/>
          <w:lang w:eastAsia="ko-KR"/>
        </w:rPr>
        <w:t>MSY</w:t>
      </w:r>
      <w:r w:rsidRPr="00DC5A3D">
        <w:rPr>
          <w:rFonts w:ascii="Times New Roman" w:hAnsi="Times New Roman" w:cs="Times New Roman"/>
          <w:position w:val="-2"/>
          <w:lang w:eastAsia="ko-KR"/>
        </w:rPr>
        <w:t xml:space="preserve"> </w:t>
      </w:r>
      <w:r w:rsidRPr="00DC5A3D">
        <w:rPr>
          <w:rFonts w:ascii="Times New Roman" w:hAnsi="Times New Roman" w:cs="Times New Roman"/>
          <w:lang w:eastAsia="ko-KR"/>
        </w:rPr>
        <w:t>= 0.50 (95% C.I. 0.37-0.69). Median fishing mortality has been below F</w:t>
      </w:r>
      <w:r w:rsidRPr="00DC5A3D">
        <w:rPr>
          <w:rFonts w:ascii="Times New Roman" w:hAnsi="Times New Roman" w:cs="Times New Roman"/>
          <w:position w:val="-2"/>
          <w:vertAlign w:val="subscript"/>
          <w:lang w:eastAsia="ko-KR"/>
        </w:rPr>
        <w:t>MSY</w:t>
      </w:r>
      <w:r w:rsidRPr="00DC5A3D">
        <w:rPr>
          <w:rFonts w:ascii="Times New Roman" w:hAnsi="Times New Roman" w:cs="Times New Roman"/>
          <w:position w:val="-2"/>
          <w:lang w:eastAsia="ko-KR"/>
        </w:rPr>
        <w:t xml:space="preserve"> </w:t>
      </w:r>
      <w:r w:rsidRPr="00DC5A3D">
        <w:rPr>
          <w:rFonts w:ascii="Times New Roman" w:hAnsi="Times New Roman" w:cs="Times New Roman"/>
          <w:lang w:eastAsia="ko-KR"/>
        </w:rPr>
        <w:t xml:space="preserve">in all years except the period 2003 to 2006. </w:t>
      </w:r>
    </w:p>
    <w:p w14:paraId="2CD8681E"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p>
    <w:p w14:paraId="051F20F7"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r w:rsidRPr="00DC5A3D">
        <w:rPr>
          <w:rFonts w:ascii="Times New Roman" w:hAnsi="Times New Roman" w:cs="Times New Roman"/>
          <w:lang w:eastAsia="ko-KR"/>
        </w:rPr>
        <w:t xml:space="preserve">The predicted value of the spawning potential ratio (SPR, the predicted spawning output at current </w:t>
      </w:r>
      <w:r w:rsidRPr="00DC5A3D">
        <w:rPr>
          <w:rFonts w:ascii="Times New Roman" w:hAnsi="Times New Roman" w:cs="Times New Roman"/>
          <w:i/>
          <w:iCs/>
          <w:lang w:eastAsia="ko-KR"/>
        </w:rPr>
        <w:t xml:space="preserve">F </w:t>
      </w:r>
      <w:r w:rsidRPr="00DC5A3D">
        <w:rPr>
          <w:rFonts w:ascii="Times New Roman" w:hAnsi="Times New Roman" w:cs="Times New Roman"/>
          <w:lang w:eastAsia="ko-KR"/>
        </w:rPr>
        <w:t>as a fraction of unfished spawning output) is currently SPR</w:t>
      </w:r>
      <w:r w:rsidRPr="00DC5A3D">
        <w:rPr>
          <w:rFonts w:ascii="Times New Roman" w:hAnsi="Times New Roman" w:cs="Times New Roman"/>
          <w:vertAlign w:val="subscript"/>
          <w:lang w:eastAsia="ko-KR"/>
        </w:rPr>
        <w:t>2017-2019</w:t>
      </w:r>
      <w:r w:rsidRPr="00DC5A3D">
        <w:rPr>
          <w:rFonts w:ascii="Times New Roman" w:hAnsi="Times New Roman" w:cs="Times New Roman"/>
          <w:i/>
          <w:iCs/>
          <w:position w:val="-2"/>
          <w:lang w:eastAsia="ko-KR"/>
        </w:rPr>
        <w:t xml:space="preserve"> </w:t>
      </w:r>
      <w:r w:rsidRPr="00DC5A3D">
        <w:rPr>
          <w:rFonts w:ascii="Times New Roman" w:hAnsi="Times New Roman" w:cs="Times New Roman"/>
          <w:lang w:eastAsia="ko-KR"/>
        </w:rPr>
        <w:t xml:space="preserve">= 31% for the average of the ensemble model, which is above the SPR required to produce MSY (17%). Recruitment was relatively consistent throughout the assessment time horizon, with occasional pulses in recruitment, but no notable periods of below-average recruitment. </w:t>
      </w:r>
    </w:p>
    <w:p w14:paraId="164063F2"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p>
    <w:p w14:paraId="3F4707F1"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r w:rsidRPr="00DC5A3D">
        <w:rPr>
          <w:rFonts w:ascii="Times New Roman" w:hAnsi="Times New Roman" w:cs="Times New Roman"/>
          <w:lang w:eastAsia="ko-KR"/>
        </w:rPr>
        <w:t>No target or limit reference points have been established for Pacific blue marlin under the auspices of the WCPFC. Blue marlin is expected to be highly productive due to its rapid growth and high resilience to reductions in spawning potential. Although fishing mortality has approached F</w:t>
      </w:r>
      <w:r w:rsidRPr="00DC5A3D">
        <w:rPr>
          <w:rFonts w:ascii="Times New Roman" w:hAnsi="Times New Roman" w:cs="Times New Roman"/>
          <w:vertAlign w:val="subscript"/>
          <w:lang w:eastAsia="ko-KR"/>
        </w:rPr>
        <w:t>MSY</w:t>
      </w:r>
      <w:r w:rsidRPr="00DC5A3D">
        <w:rPr>
          <w:rFonts w:ascii="Times New Roman" w:hAnsi="Times New Roman" w:cs="Times New Roman"/>
          <w:lang w:eastAsia="ko-KR"/>
        </w:rPr>
        <w:t xml:space="preserve"> and exceeded MSY from 2003 to 2006, the biomass of the stock has remained above SB</w:t>
      </w:r>
      <w:r w:rsidRPr="00DC5A3D">
        <w:rPr>
          <w:rFonts w:ascii="Times New Roman" w:hAnsi="Times New Roman" w:cs="Times New Roman"/>
          <w:vertAlign w:val="subscript"/>
          <w:lang w:eastAsia="ko-KR"/>
        </w:rPr>
        <w:t>MSY</w:t>
      </w:r>
      <w:r w:rsidRPr="00DC5A3D">
        <w:rPr>
          <w:rFonts w:ascii="Times New Roman" w:hAnsi="Times New Roman" w:cs="Times New Roman"/>
          <w:lang w:eastAsia="ko-KR"/>
        </w:rPr>
        <w:t xml:space="preserve"> since this time. With continued decreases in fishing effort and associated catches of Pacific blue marlin, the stock is expected to remain within MSY limits. When the status of blue marlin is evaluated relative to MSY-based reference points, the 2019 spawning stock biomass of 24,272 mt is 17% above SB</w:t>
      </w:r>
      <w:r w:rsidRPr="00DC5A3D">
        <w:rPr>
          <w:rFonts w:ascii="Times New Roman" w:hAnsi="Times New Roman" w:cs="Times New Roman"/>
          <w:vertAlign w:val="subscript"/>
          <w:lang w:eastAsia="ko-KR"/>
        </w:rPr>
        <w:t>MSY</w:t>
      </w:r>
      <w:r w:rsidRPr="00DC5A3D">
        <w:rPr>
          <w:rFonts w:ascii="Times New Roman" w:hAnsi="Times New Roman" w:cs="Times New Roman"/>
          <w:position w:val="-2"/>
          <w:lang w:eastAsia="ko-KR"/>
        </w:rPr>
        <w:t xml:space="preserve"> </w:t>
      </w:r>
      <w:r w:rsidRPr="00DC5A3D">
        <w:rPr>
          <w:rFonts w:ascii="Times New Roman" w:hAnsi="Times New Roman" w:cs="Times New Roman"/>
          <w:lang w:eastAsia="ko-KR"/>
        </w:rPr>
        <w:t>(20,677 mt, 95% C.I. -13% to +50%) and the 2017-2019 fishing mortality is 50% of F</w:t>
      </w:r>
      <w:r w:rsidRPr="00DC5A3D">
        <w:rPr>
          <w:rFonts w:ascii="Times New Roman" w:hAnsi="Times New Roman" w:cs="Times New Roman"/>
          <w:vertAlign w:val="subscript"/>
          <w:lang w:eastAsia="ko-KR"/>
        </w:rPr>
        <w:t>MSY</w:t>
      </w:r>
      <w:r w:rsidRPr="00DC5A3D">
        <w:rPr>
          <w:rFonts w:ascii="Times New Roman" w:hAnsi="Times New Roman" w:cs="Times New Roman"/>
          <w:position w:val="-2"/>
          <w:lang w:eastAsia="ko-KR"/>
        </w:rPr>
        <w:t xml:space="preserve"> </w:t>
      </w:r>
      <w:r w:rsidRPr="00DC5A3D">
        <w:rPr>
          <w:rFonts w:ascii="Times New Roman" w:hAnsi="Times New Roman" w:cs="Times New Roman"/>
          <w:lang w:eastAsia="ko-KR"/>
        </w:rPr>
        <w:t xml:space="preserve">(95% C.I. 37% to 69%). Therefore, relative to MSY-based reference points, overfishing was very likely not occurring (&gt;90% probability) and Pacific blue marlin is likely not overfished (81% probability, Figure PBUM-2). </w:t>
      </w:r>
    </w:p>
    <w:p w14:paraId="230877E7"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p>
    <w:p w14:paraId="16EC9A1C" w14:textId="77777777" w:rsidR="00C91950" w:rsidRPr="00DC5A3D" w:rsidRDefault="00C91950" w:rsidP="00C91950">
      <w:pPr>
        <w:shd w:val="clear" w:color="auto" w:fill="FFFFFF"/>
        <w:adjustRightInd w:val="0"/>
        <w:snapToGrid w:val="0"/>
        <w:spacing w:after="0" w:line="240" w:lineRule="auto"/>
        <w:ind w:left="720"/>
        <w:jc w:val="both"/>
        <w:rPr>
          <w:rFonts w:ascii="Times New Roman" w:hAnsi="Times New Roman" w:cs="Times New Roman"/>
          <w:lang w:eastAsia="ko-KR"/>
        </w:rPr>
      </w:pPr>
      <w:r w:rsidRPr="00DC5A3D">
        <w:rPr>
          <w:rFonts w:ascii="Times New Roman" w:hAnsi="Times New Roman" w:cs="Times New Roman"/>
          <w:lang w:eastAsia="ko-KR"/>
        </w:rPr>
        <w:t xml:space="preserve"> Deterministic stock projections were conducted with Stock Synthesis to evaluate the impact of alternative future levels of harvest intensity on female spawning stock biomass, fishing mortality, and yield for Pacific blue marlin. Future recruitment was predicted based on the stock- recruitment </w:t>
      </w:r>
      <w:r w:rsidRPr="00DC5A3D">
        <w:rPr>
          <w:rFonts w:ascii="Times New Roman" w:hAnsi="Times New Roman" w:cs="Times New Roman"/>
          <w:lang w:eastAsia="ko-KR"/>
        </w:rPr>
        <w:lastRenderedPageBreak/>
        <w:t>curve. These projections used all the multi-fleet, multi-season, size- and age- selectivity, and complexity in the assessment model to produce consistent results. The stock projections started in 2020 and continued through 2029 (10 years) under 4 levels of constant fishing mortality: (1) constant fishing mortality equal to the 2003-2005 average (F</w:t>
      </w:r>
      <w:r w:rsidRPr="00DC5A3D">
        <w:rPr>
          <w:rFonts w:ascii="Times New Roman" w:hAnsi="Times New Roman" w:cs="Times New Roman"/>
          <w:vertAlign w:val="subscript"/>
          <w:lang w:eastAsia="ko-KR"/>
        </w:rPr>
        <w:t>2003−2005</w:t>
      </w:r>
      <w:r w:rsidRPr="00DC5A3D">
        <w:rPr>
          <w:rFonts w:ascii="Times New Roman" w:hAnsi="Times New Roman" w:cs="Times New Roman"/>
          <w:lang w:eastAsia="ko-KR"/>
        </w:rPr>
        <w:t>); (2) constant fishing mortality equal to F</w:t>
      </w:r>
      <w:r w:rsidRPr="00DC5A3D">
        <w:rPr>
          <w:rFonts w:ascii="Times New Roman" w:hAnsi="Times New Roman" w:cs="Times New Roman"/>
          <w:position w:val="-2"/>
          <w:vertAlign w:val="subscript"/>
          <w:lang w:eastAsia="ko-KR"/>
        </w:rPr>
        <w:t>MSY</w:t>
      </w:r>
      <w:r w:rsidRPr="00DC5A3D">
        <w:rPr>
          <w:rFonts w:ascii="Times New Roman" w:hAnsi="Times New Roman" w:cs="Times New Roman"/>
          <w:lang w:eastAsia="ko-KR"/>
        </w:rPr>
        <w:t xml:space="preserve">; (3) constant fishing mortality equal to the 2016-2018 average defined as current; and (4) constant fishing mortality equal to F30% (F30% corresponds to the fishing mortality that produces 30% of the spawning potential ratio). Stock projections for each F scenario were run for both growth models in the ensemble and combined using the multivariate lognormal method. Using the deterministic projection result, the multivariate lognormal approximation was applied to generate 10,000 trajectories of SSB and F to calculate the model-averaged results of the new and old growth models. Results showing the projected female spawning stock biomasses, fishing mortality, and the catch biomasses under each of the combined scenarios are provided in Table PBUM-3 and Figure PBUM-3. </w:t>
      </w:r>
    </w:p>
    <w:p w14:paraId="0DE0D8B3" w14:textId="77777777" w:rsidR="00C91950" w:rsidRPr="00DC5A3D" w:rsidRDefault="00C91950" w:rsidP="00C91950">
      <w:pPr>
        <w:shd w:val="clear" w:color="auto" w:fill="FFFFFF"/>
        <w:adjustRightInd w:val="0"/>
        <w:snapToGrid w:val="0"/>
        <w:spacing w:after="0" w:line="240" w:lineRule="auto"/>
        <w:jc w:val="both"/>
        <w:rPr>
          <w:rFonts w:ascii="Times New Roman" w:hAnsi="Times New Roman" w:cs="Times New Roman"/>
          <w:lang w:eastAsia="ko-KR"/>
        </w:rPr>
      </w:pPr>
    </w:p>
    <w:p w14:paraId="05E60B2B" w14:textId="77777777" w:rsidR="00C91950" w:rsidRPr="00DC5A3D" w:rsidRDefault="00C91950" w:rsidP="00C91950">
      <w:pPr>
        <w:pStyle w:val="WCPFC"/>
        <w:spacing w:after="0"/>
        <w:rPr>
          <w:rFonts w:cs="Times New Roman"/>
          <w:b/>
          <w:bCs/>
        </w:rPr>
      </w:pPr>
      <w:r w:rsidRPr="00DC5A3D">
        <w:rPr>
          <w:rFonts w:cs="Times New Roman"/>
          <w:b/>
          <w:bCs/>
        </w:rPr>
        <w:t>SC17 noted the following stock status from ISC:</w:t>
      </w:r>
    </w:p>
    <w:p w14:paraId="654736AD" w14:textId="77777777" w:rsidR="00C91950" w:rsidRPr="00DC5A3D" w:rsidRDefault="00C91950" w:rsidP="00C91950">
      <w:pPr>
        <w:adjustRightInd w:val="0"/>
        <w:snapToGrid w:val="0"/>
        <w:spacing w:after="0" w:line="240" w:lineRule="auto"/>
        <w:jc w:val="both"/>
        <w:rPr>
          <w:rFonts w:ascii="Times New Roman" w:hAnsi="Times New Roman" w:cs="Times New Roman"/>
          <w:b/>
          <w:bCs/>
        </w:rPr>
      </w:pPr>
    </w:p>
    <w:p w14:paraId="780984AE" w14:textId="77777777" w:rsidR="00C91950" w:rsidRPr="00DC5A3D" w:rsidRDefault="00C91950" w:rsidP="00C91950">
      <w:pPr>
        <w:adjustRightInd w:val="0"/>
        <w:snapToGrid w:val="0"/>
        <w:spacing w:after="0" w:line="240" w:lineRule="auto"/>
        <w:ind w:left="720"/>
        <w:jc w:val="both"/>
        <w:rPr>
          <w:rFonts w:ascii="Times New Roman" w:eastAsia="MS PGothic" w:hAnsi="Times New Roman" w:cs="Times New Roman"/>
        </w:rPr>
      </w:pPr>
      <w:r w:rsidRPr="00DC5A3D">
        <w:rPr>
          <w:rFonts w:ascii="Times New Roman" w:eastAsia="MS PGothic" w:hAnsi="Times New Roman" w:cs="Times New Roman"/>
        </w:rPr>
        <w:t xml:space="preserve">Based on these findings, the following information on the status of the WCNPO blue marlin stock is provided: </w:t>
      </w:r>
    </w:p>
    <w:p w14:paraId="2033EE64" w14:textId="77777777" w:rsidR="00C91950" w:rsidRPr="00DC5A3D" w:rsidRDefault="00C91950" w:rsidP="00C91950">
      <w:pPr>
        <w:numPr>
          <w:ilvl w:val="0"/>
          <w:numId w:val="28"/>
        </w:numPr>
        <w:tabs>
          <w:tab w:val="clear" w:pos="720"/>
          <w:tab w:val="num" w:pos="252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No target or limit reference points have been established for Pacific blue marlin by the WCPFC;</w:t>
      </w:r>
    </w:p>
    <w:p w14:paraId="034D2A74" w14:textId="77777777" w:rsidR="00C91950" w:rsidRPr="00DC5A3D" w:rsidRDefault="00C91950" w:rsidP="00C91950">
      <w:pPr>
        <w:numPr>
          <w:ilvl w:val="0"/>
          <w:numId w:val="28"/>
        </w:numPr>
        <w:tabs>
          <w:tab w:val="clear" w:pos="720"/>
          <w:tab w:val="num" w:pos="252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Female spawning stock biomass was estimated to be 24,241 mt in 2019, or about 17% above SSB</w:t>
      </w:r>
      <w:r w:rsidRPr="00DC5A3D">
        <w:rPr>
          <w:rFonts w:ascii="Times New Roman" w:eastAsia="MS PGothic" w:hAnsi="Times New Roman" w:cs="Times New Roman"/>
          <w:position w:val="-2"/>
          <w:vertAlign w:val="subscript"/>
        </w:rPr>
        <w:t>MSY</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and 17% above 20%SSB</w:t>
      </w:r>
      <w:r w:rsidRPr="00DC5A3D">
        <w:rPr>
          <w:rFonts w:ascii="Times New Roman" w:eastAsia="MS PGothic" w:hAnsi="Times New Roman" w:cs="Times New Roman"/>
          <w:position w:val="-2"/>
          <w:vertAlign w:val="subscript"/>
        </w:rPr>
        <w:t>0</w:t>
      </w:r>
      <w:r w:rsidRPr="00DC5A3D">
        <w:rPr>
          <w:rFonts w:ascii="Times New Roman" w:eastAsia="MS PGothic" w:hAnsi="Times New Roman" w:cs="Times New Roman"/>
        </w:rPr>
        <w:t xml:space="preserve">. </w:t>
      </w:r>
    </w:p>
    <w:p w14:paraId="4262597D" w14:textId="77777777" w:rsidR="00C91950" w:rsidRPr="00DC5A3D" w:rsidRDefault="00C91950" w:rsidP="00C91950">
      <w:pPr>
        <w:numPr>
          <w:ilvl w:val="0"/>
          <w:numId w:val="28"/>
        </w:numPr>
        <w:tabs>
          <w:tab w:val="clear" w:pos="720"/>
          <w:tab w:val="num" w:pos="252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Fishing mortality on the stock (average F, ages 1 to 10) averaged roughly F = 0.13 during 2016-2019, or about 40% below F</w:t>
      </w:r>
      <w:r w:rsidRPr="00DC5A3D">
        <w:rPr>
          <w:rFonts w:ascii="Times New Roman" w:eastAsia="MS PGothic" w:hAnsi="Times New Roman" w:cs="Times New Roman"/>
          <w:position w:val="-2"/>
          <w:vertAlign w:val="subscript"/>
        </w:rPr>
        <w:t>MSY</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and 28% below F</w:t>
      </w:r>
      <w:r w:rsidRPr="00DC5A3D">
        <w:rPr>
          <w:rFonts w:ascii="Times New Roman" w:eastAsia="MS PGothic" w:hAnsi="Times New Roman" w:cs="Times New Roman"/>
          <w:vertAlign w:val="subscript"/>
        </w:rPr>
        <w:t>20%SSB0</w:t>
      </w:r>
      <w:r w:rsidRPr="00DC5A3D">
        <w:rPr>
          <w:rFonts w:ascii="Times New Roman" w:eastAsia="MS PGothic" w:hAnsi="Times New Roman" w:cs="Times New Roman"/>
          <w:position w:val="-2"/>
        </w:rPr>
        <w:t xml:space="preserve">. </w:t>
      </w:r>
    </w:p>
    <w:p w14:paraId="520FF6D7" w14:textId="77777777" w:rsidR="00C91950" w:rsidRPr="00DC5A3D" w:rsidRDefault="00C91950" w:rsidP="00C91950">
      <w:pPr>
        <w:numPr>
          <w:ilvl w:val="0"/>
          <w:numId w:val="28"/>
        </w:numPr>
        <w:tabs>
          <w:tab w:val="clear" w:pos="720"/>
          <w:tab w:val="num" w:pos="252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 xml:space="preserve">Blue marlin stock status from the ensemble model indicates that relative to MSY-based reference points, overfishing was very likely not occurring (&gt;90% probability) and Pacific blue marlin is likely not overfished (81% probability, Figure </w:t>
      </w:r>
      <w:r w:rsidRPr="00DC5A3D">
        <w:rPr>
          <w:rFonts w:ascii="Times New Roman" w:hAnsi="Times New Roman" w:cs="Times New Roman"/>
        </w:rPr>
        <w:t>PBUM-</w:t>
      </w:r>
      <w:r w:rsidRPr="00DC5A3D">
        <w:rPr>
          <w:rFonts w:ascii="Times New Roman" w:eastAsia="MS PGothic" w:hAnsi="Times New Roman" w:cs="Times New Roman"/>
        </w:rPr>
        <w:t>2).</w:t>
      </w:r>
    </w:p>
    <w:p w14:paraId="497D6C33" w14:textId="77777777" w:rsidR="00C91950" w:rsidRPr="00DC5A3D" w:rsidRDefault="00C91950" w:rsidP="00C91950">
      <w:pPr>
        <w:adjustRightInd w:val="0"/>
        <w:snapToGrid w:val="0"/>
        <w:spacing w:after="0" w:line="240" w:lineRule="auto"/>
        <w:jc w:val="both"/>
        <w:rPr>
          <w:rFonts w:ascii="Times New Roman" w:eastAsia="MS PGothic" w:hAnsi="Times New Roman" w:cs="Times New Roman"/>
        </w:rPr>
      </w:pPr>
    </w:p>
    <w:p w14:paraId="6BACAF0D" w14:textId="77777777" w:rsidR="00C91950" w:rsidRPr="00DC5A3D" w:rsidRDefault="00C91950" w:rsidP="00C91950">
      <w:pPr>
        <w:pStyle w:val="WCPFC"/>
        <w:spacing w:after="0"/>
        <w:rPr>
          <w:rFonts w:cs="Times New Roman"/>
        </w:rPr>
      </w:pPr>
      <w:r w:rsidRPr="00DC5A3D">
        <w:rPr>
          <w:rFonts w:cs="Times New Roman"/>
        </w:rPr>
        <w:t xml:space="preserve">SC17 noted that this result is predicated on the use of the Japanese and Taiwanese longline CPUE indices in the assessment, and the exclusion of the Hawaii longline CPUE index, which shows a somewhat different trend (declining by about 50% from 1995-2005, then flat) to the Taiwanese CPUE index in particular. </w:t>
      </w:r>
      <w:r w:rsidRPr="00DC5A3D">
        <w:rPr>
          <w:rFonts w:cs="Times New Roman"/>
          <w:shd w:val="clear" w:color="auto" w:fill="FFFFFF"/>
        </w:rPr>
        <w:t xml:space="preserve">The ISC Billfish Working Group (BILLWG) doesn't believe that the Hawaii longline CPUE index was representative of the Pacific-wide relative abundance of Pacific blue marlin due to the small area it represents, rather a measure of local density. In addition, the CPUE index was in conflict with both </w:t>
      </w:r>
      <w:r w:rsidRPr="00DC5A3D">
        <w:rPr>
          <w:rFonts w:cs="Times New Roman"/>
        </w:rPr>
        <w:t xml:space="preserve">Taiwanese </w:t>
      </w:r>
      <w:r w:rsidRPr="00DC5A3D">
        <w:rPr>
          <w:rFonts w:cs="Times New Roman"/>
          <w:shd w:val="clear" w:color="auto" w:fill="FFFFFF"/>
        </w:rPr>
        <w:t xml:space="preserve">and </w:t>
      </w:r>
      <w:r w:rsidRPr="00DC5A3D">
        <w:rPr>
          <w:rFonts w:cs="Times New Roman"/>
        </w:rPr>
        <w:t xml:space="preserve">Japanese </w:t>
      </w:r>
      <w:r w:rsidRPr="00DC5A3D">
        <w:rPr>
          <w:rFonts w:cs="Times New Roman"/>
          <w:shd w:val="clear" w:color="auto" w:fill="FFFFFF"/>
        </w:rPr>
        <w:t xml:space="preserve">indices over the same time period. Further, the decision to remove the </w:t>
      </w:r>
      <w:r w:rsidRPr="00DC5A3D">
        <w:rPr>
          <w:rFonts w:cs="Times New Roman"/>
        </w:rPr>
        <w:t xml:space="preserve">Hawaii longline CPUE </w:t>
      </w:r>
      <w:r w:rsidRPr="00DC5A3D">
        <w:rPr>
          <w:rFonts w:cs="Times New Roman"/>
          <w:shd w:val="clear" w:color="auto" w:fill="FFFFFF"/>
        </w:rPr>
        <w:t>index was consistent with the model decisions made for the 2016 assessment.</w:t>
      </w:r>
    </w:p>
    <w:p w14:paraId="5AC46D59" w14:textId="77777777" w:rsidR="00C91950" w:rsidRPr="00DC5A3D" w:rsidRDefault="00C91950" w:rsidP="00C91950">
      <w:pPr>
        <w:kinsoku w:val="0"/>
        <w:overflowPunct w:val="0"/>
        <w:autoSpaceDE w:val="0"/>
        <w:autoSpaceDN w:val="0"/>
        <w:adjustRightInd w:val="0"/>
        <w:snapToGrid w:val="0"/>
        <w:spacing w:after="0" w:line="240" w:lineRule="auto"/>
        <w:jc w:val="both"/>
        <w:rPr>
          <w:rFonts w:ascii="Times New Roman" w:hAnsi="Times New Roman" w:cs="Times New Roman"/>
          <w:b/>
          <w:lang w:val="en-AU" w:eastAsia="ja-JP"/>
        </w:rPr>
      </w:pPr>
    </w:p>
    <w:p w14:paraId="3CA3D144" w14:textId="77777777" w:rsidR="00C91950" w:rsidRPr="00DC5A3D" w:rsidRDefault="00C91950" w:rsidP="00C91950">
      <w:pPr>
        <w:pStyle w:val="ListParagraph"/>
        <w:numPr>
          <w:ilvl w:val="1"/>
          <w:numId w:val="28"/>
        </w:numPr>
        <w:kinsoku w:val="0"/>
        <w:overflowPunct w:val="0"/>
        <w:autoSpaceDE w:val="0"/>
        <w:autoSpaceDN w:val="0"/>
        <w:adjustRightInd w:val="0"/>
        <w:snapToGrid w:val="0"/>
        <w:ind w:left="0" w:firstLine="0"/>
        <w:contextualSpacing w:val="0"/>
        <w:rPr>
          <w:rFonts w:ascii="Times New Roman" w:eastAsia="Batang" w:hAnsi="Times New Roman"/>
          <w:b/>
          <w:lang w:val="en-AU" w:eastAsia="ko-KR"/>
        </w:rPr>
      </w:pPr>
      <w:r w:rsidRPr="00DC5A3D">
        <w:rPr>
          <w:rFonts w:ascii="Times New Roman" w:hAnsi="Times New Roman"/>
          <w:b/>
          <w:lang w:val="en-AU" w:eastAsia="ja-JP"/>
        </w:rPr>
        <w:t>Management advice and implications</w:t>
      </w:r>
    </w:p>
    <w:p w14:paraId="739FE0B0" w14:textId="77777777" w:rsidR="00C91950" w:rsidRPr="00DC5A3D" w:rsidRDefault="00C91950" w:rsidP="00C91950">
      <w:pPr>
        <w:kinsoku w:val="0"/>
        <w:overflowPunct w:val="0"/>
        <w:autoSpaceDE w:val="0"/>
        <w:autoSpaceDN w:val="0"/>
        <w:adjustRightInd w:val="0"/>
        <w:snapToGrid w:val="0"/>
        <w:spacing w:after="0" w:line="240" w:lineRule="auto"/>
        <w:jc w:val="both"/>
        <w:rPr>
          <w:rFonts w:ascii="Times New Roman" w:hAnsi="Times New Roman" w:cs="Times New Roman"/>
          <w:b/>
          <w:bCs/>
          <w:lang w:val="en-AU"/>
        </w:rPr>
      </w:pPr>
    </w:p>
    <w:p w14:paraId="577BA89C" w14:textId="77777777" w:rsidR="00C91950" w:rsidRPr="00DC5A3D" w:rsidRDefault="00C91950" w:rsidP="00C91950">
      <w:pPr>
        <w:pStyle w:val="WCPFC"/>
        <w:spacing w:after="0"/>
        <w:rPr>
          <w:rFonts w:cs="Times New Roman"/>
          <w:b/>
          <w:bCs/>
        </w:rPr>
      </w:pPr>
      <w:r w:rsidRPr="00DC5A3D">
        <w:rPr>
          <w:rFonts w:eastAsia="MS PGothic" w:cs="Times New Roman"/>
          <w:b/>
          <w:bCs/>
        </w:rPr>
        <w:t>SC17</w:t>
      </w:r>
      <w:r w:rsidRPr="00DC5A3D">
        <w:rPr>
          <w:rFonts w:cs="Times New Roman"/>
          <w:b/>
          <w:bCs/>
        </w:rPr>
        <w:t xml:space="preserve"> noted the following conservation information from ISC:</w:t>
      </w:r>
    </w:p>
    <w:p w14:paraId="3E005F6F" w14:textId="77777777" w:rsidR="00C91950" w:rsidRPr="00DC5A3D" w:rsidRDefault="00C91950" w:rsidP="00C91950">
      <w:pPr>
        <w:pStyle w:val="NormalWeb"/>
        <w:adjustRightInd w:val="0"/>
        <w:snapToGrid w:val="0"/>
        <w:spacing w:before="0" w:beforeAutospacing="0" w:after="0" w:afterAutospacing="0"/>
        <w:jc w:val="both"/>
        <w:rPr>
          <w:sz w:val="22"/>
          <w:szCs w:val="22"/>
        </w:rPr>
      </w:pPr>
    </w:p>
    <w:p w14:paraId="2F59FB58" w14:textId="77777777" w:rsidR="00C91950" w:rsidRPr="00DC5A3D" w:rsidRDefault="00C91950" w:rsidP="00C91950">
      <w:pPr>
        <w:pStyle w:val="NormalWeb"/>
        <w:adjustRightInd w:val="0"/>
        <w:snapToGrid w:val="0"/>
        <w:spacing w:before="0" w:beforeAutospacing="0" w:after="0" w:afterAutospacing="0"/>
        <w:ind w:left="720"/>
        <w:jc w:val="both"/>
        <w:rPr>
          <w:sz w:val="22"/>
          <w:szCs w:val="22"/>
        </w:rPr>
      </w:pPr>
      <w:r w:rsidRPr="00DC5A3D">
        <w:rPr>
          <w:sz w:val="22"/>
          <w:szCs w:val="22"/>
        </w:rPr>
        <w:t>The Pacific blue marlin stock has produced annual yields of around 18,800 mt per year since 2015, or about 90% of the MSY catch (Table PBUM-1). Blue marlin stock status from the ensemble model indicates that the current median spawning biomass is above SSB</w:t>
      </w:r>
      <w:r w:rsidRPr="00DC5A3D">
        <w:rPr>
          <w:position w:val="-2"/>
          <w:sz w:val="22"/>
          <w:szCs w:val="22"/>
          <w:vertAlign w:val="subscript"/>
        </w:rPr>
        <w:t>MSY</w:t>
      </w:r>
      <w:r w:rsidRPr="00DC5A3D">
        <w:rPr>
          <w:position w:val="-2"/>
          <w:sz w:val="22"/>
          <w:szCs w:val="22"/>
        </w:rPr>
        <w:t xml:space="preserve"> </w:t>
      </w:r>
      <w:r w:rsidRPr="00DC5A3D">
        <w:rPr>
          <w:sz w:val="22"/>
          <w:szCs w:val="22"/>
        </w:rPr>
        <w:t>and that the current median fishing mortality is below F</w:t>
      </w:r>
      <w:r w:rsidRPr="00DC5A3D">
        <w:rPr>
          <w:position w:val="-2"/>
          <w:sz w:val="22"/>
          <w:szCs w:val="22"/>
          <w:vertAlign w:val="subscript"/>
        </w:rPr>
        <w:t>MSY</w:t>
      </w:r>
      <w:r w:rsidRPr="00DC5A3D">
        <w:rPr>
          <w:sz w:val="22"/>
          <w:szCs w:val="22"/>
        </w:rPr>
        <w:t>. However, uncertainty in the stock status indicates a 19% chance of Pacific blue marlin being overfished relative to SSB</w:t>
      </w:r>
      <w:r w:rsidRPr="00DC5A3D">
        <w:rPr>
          <w:position w:val="-2"/>
          <w:sz w:val="22"/>
          <w:szCs w:val="22"/>
          <w:vertAlign w:val="subscript"/>
        </w:rPr>
        <w:t>MSY</w:t>
      </w:r>
      <w:r w:rsidRPr="00DC5A3D">
        <w:rPr>
          <w:sz w:val="22"/>
          <w:szCs w:val="22"/>
        </w:rPr>
        <w:t>. Both the old and new growth models show evidence of spawning biomass being above SSB</w:t>
      </w:r>
      <w:r w:rsidRPr="00DC5A3D">
        <w:rPr>
          <w:position w:val="-2"/>
          <w:sz w:val="22"/>
          <w:szCs w:val="22"/>
          <w:vertAlign w:val="subscript"/>
        </w:rPr>
        <w:t>MSY</w:t>
      </w:r>
      <w:r w:rsidRPr="00DC5A3D">
        <w:rPr>
          <w:position w:val="-2"/>
          <w:sz w:val="22"/>
          <w:szCs w:val="22"/>
        </w:rPr>
        <w:t xml:space="preserve"> </w:t>
      </w:r>
      <w:r w:rsidRPr="00DC5A3D">
        <w:rPr>
          <w:sz w:val="22"/>
          <w:szCs w:val="22"/>
        </w:rPr>
        <w:t>and fishing mortality being below F</w:t>
      </w:r>
      <w:r w:rsidRPr="00DC5A3D">
        <w:rPr>
          <w:position w:val="-2"/>
          <w:sz w:val="22"/>
          <w:szCs w:val="22"/>
          <w:vertAlign w:val="subscript"/>
        </w:rPr>
        <w:t>MSY</w:t>
      </w:r>
      <w:r w:rsidRPr="00DC5A3D">
        <w:rPr>
          <w:position w:val="-2"/>
          <w:sz w:val="22"/>
          <w:szCs w:val="22"/>
        </w:rPr>
        <w:t xml:space="preserve"> </w:t>
      </w:r>
      <w:r w:rsidRPr="00DC5A3D">
        <w:rPr>
          <w:sz w:val="22"/>
          <w:szCs w:val="22"/>
        </w:rPr>
        <w:t>during the last 5 years. Catch biomass has been declining for the last 5 years, and therefore the stock has a low risk of experiencing overfishing or being overfished unless fishing mortality increases to above F</w:t>
      </w:r>
      <w:r w:rsidRPr="00DC5A3D">
        <w:rPr>
          <w:position w:val="-2"/>
          <w:sz w:val="22"/>
          <w:szCs w:val="22"/>
          <w:vertAlign w:val="subscript"/>
        </w:rPr>
        <w:t>MSY</w:t>
      </w:r>
      <w:r w:rsidRPr="00DC5A3D">
        <w:rPr>
          <w:position w:val="-2"/>
          <w:sz w:val="22"/>
          <w:szCs w:val="22"/>
        </w:rPr>
        <w:t xml:space="preserve"> </w:t>
      </w:r>
      <w:r w:rsidRPr="00DC5A3D">
        <w:rPr>
          <w:sz w:val="22"/>
          <w:szCs w:val="22"/>
        </w:rPr>
        <w:t xml:space="preserve">based upon stock projections (Table PBUM-3 and Figure PBUM-3). </w:t>
      </w:r>
      <w:r w:rsidRPr="00DC5A3D">
        <w:rPr>
          <w:sz w:val="22"/>
          <w:szCs w:val="22"/>
        </w:rPr>
        <w:lastRenderedPageBreak/>
        <w:t>However, it is also important to note that retrospective analyses show that the assessment model tends to overestimate biomass and underestimate fishing mortality in recent years, in part due to rapid changes in longline CPUE.</w:t>
      </w:r>
    </w:p>
    <w:p w14:paraId="2A0C2687" w14:textId="77777777" w:rsidR="00C91950" w:rsidRPr="00DC5A3D" w:rsidRDefault="00C91950" w:rsidP="00C91950">
      <w:pPr>
        <w:pStyle w:val="NormalWeb"/>
        <w:adjustRightInd w:val="0"/>
        <w:snapToGrid w:val="0"/>
        <w:spacing w:before="0" w:beforeAutospacing="0" w:after="0" w:afterAutospacing="0"/>
        <w:ind w:left="720"/>
        <w:jc w:val="both"/>
        <w:rPr>
          <w:sz w:val="22"/>
          <w:szCs w:val="22"/>
        </w:rPr>
      </w:pPr>
    </w:p>
    <w:p w14:paraId="2F2ECE6E" w14:textId="77777777" w:rsidR="00C91950" w:rsidRPr="00DC5A3D" w:rsidRDefault="00C91950" w:rsidP="00C91950">
      <w:pPr>
        <w:pStyle w:val="NormalWeb"/>
        <w:adjustRightInd w:val="0"/>
        <w:snapToGrid w:val="0"/>
        <w:spacing w:before="0" w:beforeAutospacing="0" w:after="0" w:afterAutospacing="0"/>
        <w:ind w:left="720"/>
        <w:jc w:val="both"/>
        <w:rPr>
          <w:sz w:val="22"/>
          <w:szCs w:val="22"/>
        </w:rPr>
      </w:pPr>
      <w:r w:rsidRPr="00DC5A3D">
        <w:rPr>
          <w:sz w:val="22"/>
          <w:szCs w:val="22"/>
        </w:rPr>
        <w:t xml:space="preserve">Based on these findings, the following conservation information is provided: </w:t>
      </w:r>
    </w:p>
    <w:p w14:paraId="31B20D15" w14:textId="77777777" w:rsidR="00C91950" w:rsidRPr="00DC5A3D" w:rsidRDefault="00C91950" w:rsidP="00C91950">
      <w:pPr>
        <w:numPr>
          <w:ilvl w:val="0"/>
          <w:numId w:val="29"/>
        </w:numPr>
        <w:tabs>
          <w:tab w:val="clear" w:pos="720"/>
          <w:tab w:val="num" w:pos="144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There is no evidence of excess fishing mortality above F</w:t>
      </w:r>
      <w:r w:rsidRPr="00DC5A3D">
        <w:rPr>
          <w:rFonts w:ascii="Times New Roman" w:eastAsia="MS PGothic" w:hAnsi="Times New Roman" w:cs="Times New Roman"/>
          <w:position w:val="-2"/>
          <w:vertAlign w:val="subscript"/>
        </w:rPr>
        <w:t>MSY</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(F</w:t>
      </w:r>
      <w:r w:rsidRPr="00DC5A3D">
        <w:rPr>
          <w:rFonts w:ascii="Times New Roman" w:eastAsia="MS PGothic" w:hAnsi="Times New Roman" w:cs="Times New Roman"/>
          <w:vertAlign w:val="subscript"/>
        </w:rPr>
        <w:t>2</w:t>
      </w:r>
      <w:r w:rsidRPr="00DC5A3D">
        <w:rPr>
          <w:rFonts w:ascii="Times New Roman" w:eastAsia="MS PGothic" w:hAnsi="Times New Roman" w:cs="Times New Roman"/>
          <w:position w:val="-2"/>
          <w:vertAlign w:val="subscript"/>
        </w:rPr>
        <w:t>016-2019</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is 40% of F</w:t>
      </w:r>
      <w:r w:rsidRPr="00DC5A3D">
        <w:rPr>
          <w:rFonts w:ascii="Times New Roman" w:eastAsia="MS PGothic" w:hAnsi="Times New Roman" w:cs="Times New Roman"/>
          <w:position w:val="-2"/>
          <w:vertAlign w:val="subscript"/>
        </w:rPr>
        <w:t>MSY</w:t>
      </w:r>
      <w:r w:rsidRPr="00DC5A3D">
        <w:rPr>
          <w:rFonts w:ascii="Times New Roman" w:eastAsia="MS PGothic" w:hAnsi="Times New Roman" w:cs="Times New Roman"/>
        </w:rPr>
        <w:t>) or substantial depletion of spawning potential (SSB</w:t>
      </w:r>
      <w:r w:rsidRPr="00DC5A3D">
        <w:rPr>
          <w:rFonts w:ascii="Times New Roman" w:eastAsia="MS PGothic" w:hAnsi="Times New Roman" w:cs="Times New Roman"/>
          <w:position w:val="-2"/>
          <w:vertAlign w:val="subscript"/>
        </w:rPr>
        <w:t>2019</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is 17% above SSB</w:t>
      </w:r>
      <w:r w:rsidRPr="00DC5A3D">
        <w:rPr>
          <w:rFonts w:ascii="Times New Roman" w:eastAsia="MS PGothic" w:hAnsi="Times New Roman" w:cs="Times New Roman"/>
          <w:position w:val="-2"/>
          <w:vertAlign w:val="subscript"/>
        </w:rPr>
        <w:t>MSY</w:t>
      </w:r>
      <w:r w:rsidRPr="00DC5A3D">
        <w:rPr>
          <w:rFonts w:ascii="Times New Roman" w:eastAsia="MS PGothic" w:hAnsi="Times New Roman" w:cs="Times New Roman"/>
        </w:rPr>
        <w:t xml:space="preserve">); </w:t>
      </w:r>
    </w:p>
    <w:p w14:paraId="16AC9E2C" w14:textId="77777777" w:rsidR="00C91950" w:rsidRPr="00DC5A3D" w:rsidRDefault="00C91950" w:rsidP="00C91950">
      <w:pPr>
        <w:numPr>
          <w:ilvl w:val="0"/>
          <w:numId w:val="29"/>
        </w:numPr>
        <w:tabs>
          <w:tab w:val="clear" w:pos="720"/>
          <w:tab w:val="num" w:pos="144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 xml:space="preserve">It is important to note that retrospective analyses show that the assessment model tends to overestimate spawning stock biomass in recent years; and </w:t>
      </w:r>
    </w:p>
    <w:p w14:paraId="773CB2A8" w14:textId="77777777" w:rsidR="00C91950" w:rsidRPr="00DC5A3D" w:rsidRDefault="00C91950" w:rsidP="00C91950">
      <w:pPr>
        <w:numPr>
          <w:ilvl w:val="0"/>
          <w:numId w:val="29"/>
        </w:numPr>
        <w:tabs>
          <w:tab w:val="clear" w:pos="720"/>
          <w:tab w:val="num" w:pos="144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The results show that projected female spawning biomass is expected to increase under the F</w:t>
      </w:r>
      <w:r w:rsidRPr="00DC5A3D">
        <w:rPr>
          <w:rFonts w:ascii="Times New Roman" w:eastAsia="MS PGothic" w:hAnsi="Times New Roman" w:cs="Times New Roman"/>
          <w:position w:val="-2"/>
        </w:rPr>
        <w:t xml:space="preserve">status quo </w:t>
      </w:r>
      <w:r w:rsidRPr="00DC5A3D">
        <w:rPr>
          <w:rFonts w:ascii="Times New Roman" w:eastAsia="MS PGothic" w:hAnsi="Times New Roman" w:cs="Times New Roman"/>
        </w:rPr>
        <w:t>and F</w:t>
      </w:r>
      <w:r w:rsidRPr="00DC5A3D">
        <w:rPr>
          <w:rFonts w:ascii="Times New Roman" w:eastAsia="MS PGothic" w:hAnsi="Times New Roman" w:cs="Times New Roman"/>
          <w:position w:val="-2"/>
          <w:vertAlign w:val="subscript"/>
        </w:rPr>
        <w:t>30%</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harvest scenarios and decline to SSB</w:t>
      </w:r>
      <w:r w:rsidRPr="00DC5A3D">
        <w:rPr>
          <w:rFonts w:ascii="Times New Roman" w:eastAsia="MS PGothic" w:hAnsi="Times New Roman" w:cs="Times New Roman"/>
          <w:position w:val="-2"/>
          <w:vertAlign w:val="subscript"/>
        </w:rPr>
        <w:t>MSY</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under the High F and F</w:t>
      </w:r>
      <w:r w:rsidRPr="00DC5A3D">
        <w:rPr>
          <w:rFonts w:ascii="Times New Roman" w:eastAsia="MS PGothic" w:hAnsi="Times New Roman" w:cs="Times New Roman"/>
          <w:position w:val="-2"/>
          <w:vertAlign w:val="subscript"/>
        </w:rPr>
        <w:t>MSY</w:t>
      </w:r>
      <w:r w:rsidRPr="00DC5A3D">
        <w:rPr>
          <w:rFonts w:ascii="Times New Roman" w:eastAsia="MS PGothic" w:hAnsi="Times New Roman" w:cs="Times New Roman"/>
          <w:position w:val="-2"/>
        </w:rPr>
        <w:t xml:space="preserve"> </w:t>
      </w:r>
      <w:r w:rsidRPr="00DC5A3D">
        <w:rPr>
          <w:rFonts w:ascii="Times New Roman" w:eastAsia="MS PGothic" w:hAnsi="Times New Roman" w:cs="Times New Roman"/>
        </w:rPr>
        <w:t>harvest scenarios. The probability that the stock is overfished or overfishing occurring by 2029 under each harvest scenario is low.</w:t>
      </w:r>
    </w:p>
    <w:p w14:paraId="6E9ECB78" w14:textId="77777777" w:rsidR="00C91950" w:rsidRPr="00DC5A3D" w:rsidRDefault="00C91950" w:rsidP="00C91950">
      <w:pPr>
        <w:pStyle w:val="NormalWeb"/>
        <w:adjustRightInd w:val="0"/>
        <w:snapToGrid w:val="0"/>
        <w:spacing w:before="0" w:beforeAutospacing="0" w:after="0" w:afterAutospacing="0"/>
        <w:ind w:left="720"/>
        <w:jc w:val="both"/>
        <w:rPr>
          <w:b/>
          <w:bCs/>
          <w:sz w:val="22"/>
          <w:szCs w:val="22"/>
        </w:rPr>
      </w:pPr>
    </w:p>
    <w:p w14:paraId="5CF09EEC" w14:textId="77777777" w:rsidR="00C91950" w:rsidRPr="00DC5A3D" w:rsidRDefault="00C91950" w:rsidP="00C91950">
      <w:pPr>
        <w:pStyle w:val="NormalWeb"/>
        <w:adjustRightInd w:val="0"/>
        <w:snapToGrid w:val="0"/>
        <w:spacing w:before="0" w:beforeAutospacing="0" w:after="0" w:afterAutospacing="0"/>
        <w:ind w:left="720"/>
        <w:jc w:val="both"/>
        <w:rPr>
          <w:b/>
          <w:bCs/>
          <w:sz w:val="22"/>
          <w:szCs w:val="22"/>
        </w:rPr>
      </w:pPr>
      <w:r w:rsidRPr="00DC5A3D">
        <w:rPr>
          <w:b/>
          <w:bCs/>
          <w:sz w:val="22"/>
          <w:szCs w:val="22"/>
        </w:rPr>
        <w:t>Special Comments</w:t>
      </w:r>
    </w:p>
    <w:p w14:paraId="160DA5F8" w14:textId="77777777" w:rsidR="00C91950" w:rsidRPr="00DC5A3D" w:rsidRDefault="00C91950" w:rsidP="00C91950">
      <w:pPr>
        <w:numPr>
          <w:ilvl w:val="0"/>
          <w:numId w:val="30"/>
        </w:numPr>
        <w:tabs>
          <w:tab w:val="clear" w:pos="720"/>
          <w:tab w:val="num" w:pos="144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 xml:space="preserve">Uncertainty regarding the choice of BUM growth curve led to the ensemble model approach for this assessment. The BILLWG recognized that there is considerable uncertainty in input CPUE data in the recent years and life history parameters, especially growth. The BILLWG considered an extensive suite of model formulations and associated diagnostics for developing the assessment models. Overall, the BILLWG found issues with both the new growth and old growth model diagnostics and sensitivity runs that are consistent with the presence of data conflicts, but none of the model diagnostics show that the results of either model were invalid. It is recommended model development work to reduce data conflicts and modeling uncertainties continue and that input assessment data be reevaluated to improve the time series. </w:t>
      </w:r>
    </w:p>
    <w:p w14:paraId="24A4D397" w14:textId="77777777" w:rsidR="00C91950" w:rsidRPr="00DC5A3D" w:rsidRDefault="00C91950" w:rsidP="00C91950">
      <w:pPr>
        <w:numPr>
          <w:ilvl w:val="0"/>
          <w:numId w:val="30"/>
        </w:numPr>
        <w:tabs>
          <w:tab w:val="clear" w:pos="720"/>
          <w:tab w:val="num" w:pos="1440"/>
        </w:tabs>
        <w:adjustRightInd w:val="0"/>
        <w:snapToGrid w:val="0"/>
        <w:spacing w:after="0" w:line="240" w:lineRule="auto"/>
        <w:ind w:left="1440"/>
        <w:jc w:val="both"/>
        <w:rPr>
          <w:rFonts w:ascii="Times New Roman" w:eastAsia="MS PGothic" w:hAnsi="Times New Roman" w:cs="Times New Roman"/>
        </w:rPr>
      </w:pPr>
      <w:r w:rsidRPr="00DC5A3D">
        <w:rPr>
          <w:rFonts w:ascii="Times New Roman" w:eastAsia="MS PGothic" w:hAnsi="Times New Roman" w:cs="Times New Roman"/>
        </w:rPr>
        <w:t xml:space="preserve">It is recommended that biological sampling to improve life history parameter estimates continue to be collected and ISC countries participate in the BILLWG International Biological Sampling program to improve those estimates. </w:t>
      </w:r>
    </w:p>
    <w:p w14:paraId="6256200B" w14:textId="77777777" w:rsidR="00C91950" w:rsidRPr="00DC5A3D" w:rsidRDefault="00C91950" w:rsidP="00C91950">
      <w:pPr>
        <w:shd w:val="clear" w:color="auto" w:fill="FFFFFF"/>
        <w:adjustRightInd w:val="0"/>
        <w:snapToGrid w:val="0"/>
        <w:spacing w:after="0" w:line="240" w:lineRule="auto"/>
        <w:jc w:val="both"/>
        <w:rPr>
          <w:rFonts w:ascii="Times New Roman" w:hAnsi="Times New Roman" w:cs="Times New Roman"/>
          <w:b/>
          <w:bCs/>
          <w:lang w:val="en-AU" w:eastAsia="ko-KR"/>
        </w:rPr>
      </w:pPr>
    </w:p>
    <w:p w14:paraId="1D183E2F" w14:textId="77777777" w:rsidR="00C91950" w:rsidRPr="00DC5A3D" w:rsidRDefault="00C91950" w:rsidP="00C91950">
      <w:pPr>
        <w:shd w:val="clear" w:color="auto" w:fill="FFFFFF"/>
        <w:adjustRightInd w:val="0"/>
        <w:snapToGrid w:val="0"/>
        <w:spacing w:after="0" w:line="240" w:lineRule="auto"/>
        <w:jc w:val="both"/>
        <w:rPr>
          <w:rFonts w:ascii="Times New Roman" w:hAnsi="Times New Roman" w:cs="Times New Roman"/>
          <w:lang w:val="en-AU" w:eastAsia="ko-KR"/>
        </w:rPr>
      </w:pPr>
      <w:r w:rsidRPr="00DC5A3D">
        <w:rPr>
          <w:rFonts w:ascii="Times New Roman" w:hAnsi="Times New Roman" w:cs="Times New Roman"/>
          <w:b/>
          <w:bCs/>
          <w:lang w:val="en-AU" w:eastAsia="ko-KR"/>
        </w:rPr>
        <w:t xml:space="preserve">Table PBUM-1. </w:t>
      </w:r>
      <w:r w:rsidRPr="00DC5A3D">
        <w:rPr>
          <w:rFonts w:ascii="Times New Roman" w:hAnsi="Times New Roman" w:cs="Times New Roman"/>
          <w:lang w:val="en-AU" w:eastAsia="ko-KR"/>
        </w:rPr>
        <w:t>Reported catch (mt) used in the stock assessment along with annual model-averaged estimates of female spawning biomass (mt), relative female spawning biomass (SSB/SSB</w:t>
      </w:r>
      <w:r w:rsidRPr="00DC5A3D">
        <w:rPr>
          <w:rFonts w:ascii="Times New Roman" w:hAnsi="Times New Roman" w:cs="Times New Roman"/>
          <w:position w:val="-2"/>
          <w:vertAlign w:val="subscript"/>
          <w:lang w:val="en-AU" w:eastAsia="ko-KR"/>
        </w:rPr>
        <w:t>MSY</w:t>
      </w:r>
      <w:r w:rsidRPr="00DC5A3D">
        <w:rPr>
          <w:rFonts w:ascii="Times New Roman" w:hAnsi="Times New Roman" w:cs="Times New Roman"/>
          <w:lang w:val="en-AU" w:eastAsia="ko-KR"/>
        </w:rPr>
        <w:t>), recruitment (thousands of age-0 fish), fishing mortality (average F, ages 1 – 10), relative fishing mortality (F/F</w:t>
      </w:r>
      <w:r w:rsidRPr="00DC5A3D">
        <w:rPr>
          <w:rFonts w:ascii="Times New Roman" w:hAnsi="Times New Roman" w:cs="Times New Roman"/>
          <w:position w:val="-2"/>
          <w:vertAlign w:val="subscript"/>
          <w:lang w:val="en-AU" w:eastAsia="ko-KR"/>
        </w:rPr>
        <w:t>MSY</w:t>
      </w:r>
      <w:r w:rsidRPr="00DC5A3D">
        <w:rPr>
          <w:rFonts w:ascii="Times New Roman" w:hAnsi="Times New Roman" w:cs="Times New Roman"/>
          <w:lang w:val="en-AU" w:eastAsia="ko-KR"/>
        </w:rPr>
        <w:t xml:space="preserve">), and spawning potential ratio (SPR) of Pacific blue marlin. </w:t>
      </w:r>
    </w:p>
    <w:tbl>
      <w:tblPr>
        <w:tblStyle w:val="PlainTable41"/>
        <w:tblW w:w="5000" w:type="pct"/>
        <w:tblLook w:val="04A0" w:firstRow="1" w:lastRow="0" w:firstColumn="1" w:lastColumn="0" w:noHBand="0" w:noVBand="1"/>
      </w:tblPr>
      <w:tblGrid>
        <w:gridCol w:w="1696"/>
        <w:gridCol w:w="766"/>
        <w:gridCol w:w="766"/>
        <w:gridCol w:w="766"/>
        <w:gridCol w:w="766"/>
        <w:gridCol w:w="766"/>
        <w:gridCol w:w="766"/>
        <w:gridCol w:w="766"/>
        <w:gridCol w:w="770"/>
        <w:gridCol w:w="766"/>
        <w:gridCol w:w="766"/>
      </w:tblGrid>
      <w:tr w:rsidR="00DC5A3D" w:rsidRPr="00DC5A3D" w14:paraId="07548FD7" w14:textId="77777777" w:rsidTr="004B6CE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auto"/>
              <w:bottom w:val="single" w:sz="4" w:space="0" w:color="auto"/>
            </w:tcBorders>
            <w:shd w:val="clear" w:color="auto" w:fill="auto"/>
            <w:hideMark/>
          </w:tcPr>
          <w:p w14:paraId="46165209" w14:textId="77777777" w:rsidR="00C91950" w:rsidRPr="00DC5A3D" w:rsidRDefault="00C91950" w:rsidP="00C91950">
            <w:pPr>
              <w:adjustRightInd w:val="0"/>
              <w:snapToGrid w:val="0"/>
              <w:jc w:val="both"/>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Year</w:t>
            </w:r>
          </w:p>
        </w:tc>
        <w:tc>
          <w:tcPr>
            <w:tcW w:w="372" w:type="pct"/>
            <w:tcBorders>
              <w:top w:val="single" w:sz="4" w:space="0" w:color="auto"/>
              <w:bottom w:val="single" w:sz="4" w:space="0" w:color="auto"/>
            </w:tcBorders>
            <w:shd w:val="clear" w:color="auto" w:fill="auto"/>
            <w:vAlign w:val="center"/>
            <w:hideMark/>
          </w:tcPr>
          <w:p w14:paraId="61560F9D"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2013</w:t>
            </w:r>
          </w:p>
        </w:tc>
        <w:tc>
          <w:tcPr>
            <w:tcW w:w="372" w:type="pct"/>
            <w:tcBorders>
              <w:top w:val="single" w:sz="4" w:space="0" w:color="auto"/>
              <w:bottom w:val="single" w:sz="4" w:space="0" w:color="auto"/>
            </w:tcBorders>
            <w:shd w:val="clear" w:color="auto" w:fill="auto"/>
            <w:vAlign w:val="center"/>
            <w:hideMark/>
          </w:tcPr>
          <w:p w14:paraId="3DA1ECE7"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2014</w:t>
            </w:r>
          </w:p>
        </w:tc>
        <w:tc>
          <w:tcPr>
            <w:tcW w:w="372" w:type="pct"/>
            <w:tcBorders>
              <w:top w:val="single" w:sz="4" w:space="0" w:color="auto"/>
              <w:bottom w:val="single" w:sz="4" w:space="0" w:color="auto"/>
            </w:tcBorders>
            <w:shd w:val="clear" w:color="auto" w:fill="auto"/>
            <w:vAlign w:val="center"/>
            <w:hideMark/>
          </w:tcPr>
          <w:p w14:paraId="080A1EDB"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2015</w:t>
            </w:r>
          </w:p>
        </w:tc>
        <w:tc>
          <w:tcPr>
            <w:tcW w:w="372" w:type="pct"/>
            <w:tcBorders>
              <w:top w:val="single" w:sz="4" w:space="0" w:color="auto"/>
              <w:bottom w:val="single" w:sz="4" w:space="0" w:color="auto"/>
            </w:tcBorders>
            <w:shd w:val="clear" w:color="auto" w:fill="auto"/>
            <w:vAlign w:val="center"/>
            <w:hideMark/>
          </w:tcPr>
          <w:p w14:paraId="074E6F3C"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2016</w:t>
            </w:r>
          </w:p>
        </w:tc>
        <w:tc>
          <w:tcPr>
            <w:tcW w:w="372" w:type="pct"/>
            <w:tcBorders>
              <w:top w:val="single" w:sz="4" w:space="0" w:color="auto"/>
              <w:bottom w:val="single" w:sz="4" w:space="0" w:color="auto"/>
            </w:tcBorders>
            <w:shd w:val="clear" w:color="auto" w:fill="auto"/>
            <w:vAlign w:val="center"/>
            <w:hideMark/>
          </w:tcPr>
          <w:p w14:paraId="670E02B2"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2017</w:t>
            </w:r>
          </w:p>
        </w:tc>
        <w:tc>
          <w:tcPr>
            <w:tcW w:w="418" w:type="pct"/>
            <w:tcBorders>
              <w:top w:val="single" w:sz="4" w:space="0" w:color="auto"/>
              <w:bottom w:val="single" w:sz="4" w:space="0" w:color="auto"/>
            </w:tcBorders>
            <w:shd w:val="clear" w:color="auto" w:fill="auto"/>
            <w:vAlign w:val="center"/>
            <w:hideMark/>
          </w:tcPr>
          <w:p w14:paraId="1F8A65D2"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2018</w:t>
            </w:r>
          </w:p>
        </w:tc>
        <w:tc>
          <w:tcPr>
            <w:tcW w:w="372" w:type="pct"/>
            <w:tcBorders>
              <w:top w:val="single" w:sz="4" w:space="0" w:color="auto"/>
              <w:bottom w:val="single" w:sz="4" w:space="0" w:color="auto"/>
            </w:tcBorders>
            <w:shd w:val="clear" w:color="auto" w:fill="auto"/>
            <w:vAlign w:val="center"/>
            <w:hideMark/>
          </w:tcPr>
          <w:p w14:paraId="1B70E622"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2019</w:t>
            </w:r>
          </w:p>
        </w:tc>
        <w:tc>
          <w:tcPr>
            <w:tcW w:w="372" w:type="pct"/>
            <w:tcBorders>
              <w:top w:val="single" w:sz="4" w:space="0" w:color="auto"/>
              <w:bottom w:val="single" w:sz="4" w:space="0" w:color="auto"/>
            </w:tcBorders>
            <w:shd w:val="clear" w:color="auto" w:fill="auto"/>
            <w:vAlign w:val="center"/>
            <w:hideMark/>
          </w:tcPr>
          <w:p w14:paraId="55396CB5"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Mean</w:t>
            </w:r>
            <w:r w:rsidRPr="00DC5A3D">
              <w:rPr>
                <w:rFonts w:ascii="Times New Roman" w:hAnsi="Times New Roman" w:cs="Times New Roman"/>
                <w:color w:val="auto"/>
                <w:sz w:val="20"/>
                <w:szCs w:val="20"/>
                <w:vertAlign w:val="superscript"/>
                <w:lang w:val="en-AU"/>
              </w:rPr>
              <w:t>1</w:t>
            </w:r>
          </w:p>
        </w:tc>
        <w:tc>
          <w:tcPr>
            <w:tcW w:w="372" w:type="pct"/>
            <w:tcBorders>
              <w:top w:val="single" w:sz="4" w:space="0" w:color="auto"/>
              <w:bottom w:val="single" w:sz="4" w:space="0" w:color="auto"/>
            </w:tcBorders>
            <w:shd w:val="clear" w:color="auto" w:fill="auto"/>
            <w:vAlign w:val="center"/>
            <w:hideMark/>
          </w:tcPr>
          <w:p w14:paraId="170C4B1A"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Min</w:t>
            </w:r>
            <w:r w:rsidRPr="00DC5A3D">
              <w:rPr>
                <w:rFonts w:ascii="Times New Roman" w:hAnsi="Times New Roman" w:cs="Times New Roman"/>
                <w:color w:val="auto"/>
                <w:sz w:val="20"/>
                <w:szCs w:val="20"/>
                <w:vertAlign w:val="superscript"/>
                <w:lang w:val="en-AU"/>
              </w:rPr>
              <w:t>1</w:t>
            </w:r>
          </w:p>
        </w:tc>
        <w:tc>
          <w:tcPr>
            <w:tcW w:w="465" w:type="pct"/>
            <w:tcBorders>
              <w:top w:val="single" w:sz="4" w:space="0" w:color="auto"/>
              <w:bottom w:val="single" w:sz="4" w:space="0" w:color="auto"/>
            </w:tcBorders>
            <w:shd w:val="clear" w:color="auto" w:fill="auto"/>
            <w:vAlign w:val="center"/>
            <w:hideMark/>
          </w:tcPr>
          <w:p w14:paraId="4DA9D4C6" w14:textId="77777777" w:rsidR="00C91950" w:rsidRPr="00DC5A3D" w:rsidRDefault="00C91950" w:rsidP="00C91950">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Max</w:t>
            </w:r>
            <w:r w:rsidRPr="00DC5A3D">
              <w:rPr>
                <w:rFonts w:ascii="Times New Roman" w:hAnsi="Times New Roman" w:cs="Times New Roman"/>
                <w:color w:val="auto"/>
                <w:sz w:val="20"/>
                <w:szCs w:val="20"/>
                <w:vertAlign w:val="superscript"/>
                <w:lang w:val="en-AU"/>
              </w:rPr>
              <w:t>1</w:t>
            </w:r>
          </w:p>
        </w:tc>
      </w:tr>
      <w:tr w:rsidR="00DC5A3D" w:rsidRPr="00DC5A3D" w14:paraId="39B80F1B" w14:textId="77777777" w:rsidTr="004B6C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auto"/>
              <w:bottom w:val="single" w:sz="4" w:space="0" w:color="808080" w:themeColor="background1" w:themeShade="80"/>
            </w:tcBorders>
            <w:shd w:val="clear" w:color="auto" w:fill="auto"/>
            <w:hideMark/>
          </w:tcPr>
          <w:p w14:paraId="521EF1C3" w14:textId="77777777" w:rsidR="00C91950" w:rsidRPr="00DC5A3D" w:rsidRDefault="00C91950" w:rsidP="00C91950">
            <w:pPr>
              <w:adjustRightInd w:val="0"/>
              <w:snapToGrid w:val="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Reported Catch</w:t>
            </w:r>
          </w:p>
        </w:tc>
        <w:tc>
          <w:tcPr>
            <w:tcW w:w="372" w:type="pct"/>
            <w:tcBorders>
              <w:top w:val="single" w:sz="4" w:space="0" w:color="auto"/>
              <w:bottom w:val="single" w:sz="4" w:space="0" w:color="808080" w:themeColor="background1" w:themeShade="80"/>
            </w:tcBorders>
            <w:shd w:val="clear" w:color="auto" w:fill="auto"/>
            <w:vAlign w:val="center"/>
          </w:tcPr>
          <w:p w14:paraId="082DAAB2"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22,166</w:t>
            </w:r>
          </w:p>
        </w:tc>
        <w:tc>
          <w:tcPr>
            <w:tcW w:w="372" w:type="pct"/>
            <w:tcBorders>
              <w:top w:val="single" w:sz="4" w:space="0" w:color="auto"/>
              <w:bottom w:val="single" w:sz="4" w:space="0" w:color="808080" w:themeColor="background1" w:themeShade="80"/>
            </w:tcBorders>
            <w:shd w:val="clear" w:color="auto" w:fill="auto"/>
            <w:vAlign w:val="center"/>
          </w:tcPr>
          <w:p w14:paraId="5AFA34DF"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23,741</w:t>
            </w:r>
          </w:p>
        </w:tc>
        <w:tc>
          <w:tcPr>
            <w:tcW w:w="372" w:type="pct"/>
            <w:tcBorders>
              <w:top w:val="single" w:sz="4" w:space="0" w:color="auto"/>
              <w:bottom w:val="single" w:sz="4" w:space="0" w:color="808080" w:themeColor="background1" w:themeShade="80"/>
            </w:tcBorders>
            <w:shd w:val="clear" w:color="auto" w:fill="auto"/>
            <w:vAlign w:val="center"/>
          </w:tcPr>
          <w:p w14:paraId="4BCB306B"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21,861</w:t>
            </w:r>
          </w:p>
        </w:tc>
        <w:tc>
          <w:tcPr>
            <w:tcW w:w="372" w:type="pct"/>
            <w:tcBorders>
              <w:top w:val="single" w:sz="4" w:space="0" w:color="auto"/>
              <w:bottom w:val="single" w:sz="4" w:space="0" w:color="808080" w:themeColor="background1" w:themeShade="80"/>
            </w:tcBorders>
            <w:shd w:val="clear" w:color="auto" w:fill="auto"/>
            <w:vAlign w:val="center"/>
          </w:tcPr>
          <w:p w14:paraId="4D0D57CE"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22,644</w:t>
            </w:r>
          </w:p>
        </w:tc>
        <w:tc>
          <w:tcPr>
            <w:tcW w:w="372" w:type="pct"/>
            <w:tcBorders>
              <w:top w:val="single" w:sz="4" w:space="0" w:color="auto"/>
              <w:bottom w:val="single" w:sz="4" w:space="0" w:color="808080" w:themeColor="background1" w:themeShade="80"/>
            </w:tcBorders>
            <w:shd w:val="clear" w:color="auto" w:fill="auto"/>
            <w:vAlign w:val="center"/>
          </w:tcPr>
          <w:p w14:paraId="13EE58FF"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14,443</w:t>
            </w:r>
          </w:p>
        </w:tc>
        <w:tc>
          <w:tcPr>
            <w:tcW w:w="418" w:type="pct"/>
            <w:tcBorders>
              <w:top w:val="single" w:sz="4" w:space="0" w:color="auto"/>
              <w:bottom w:val="single" w:sz="4" w:space="0" w:color="808080" w:themeColor="background1" w:themeShade="80"/>
            </w:tcBorders>
            <w:shd w:val="clear" w:color="auto" w:fill="auto"/>
            <w:vAlign w:val="center"/>
          </w:tcPr>
          <w:p w14:paraId="39D8FC57"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18,589</w:t>
            </w:r>
          </w:p>
        </w:tc>
        <w:tc>
          <w:tcPr>
            <w:tcW w:w="372" w:type="pct"/>
            <w:tcBorders>
              <w:top w:val="single" w:sz="4" w:space="0" w:color="auto"/>
              <w:bottom w:val="single" w:sz="4" w:space="0" w:color="808080" w:themeColor="background1" w:themeShade="80"/>
            </w:tcBorders>
            <w:shd w:val="clear" w:color="auto" w:fill="auto"/>
            <w:vAlign w:val="center"/>
          </w:tcPr>
          <w:p w14:paraId="545556F1"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16,503</w:t>
            </w:r>
          </w:p>
        </w:tc>
        <w:tc>
          <w:tcPr>
            <w:tcW w:w="372" w:type="pct"/>
            <w:tcBorders>
              <w:top w:val="single" w:sz="4" w:space="0" w:color="auto"/>
              <w:bottom w:val="single" w:sz="4" w:space="0" w:color="808080" w:themeColor="background1" w:themeShade="80"/>
            </w:tcBorders>
            <w:shd w:val="clear" w:color="auto" w:fill="auto"/>
            <w:vAlign w:val="center"/>
          </w:tcPr>
          <w:p w14:paraId="68F54460"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18,873</w:t>
            </w:r>
          </w:p>
        </w:tc>
        <w:tc>
          <w:tcPr>
            <w:tcW w:w="372" w:type="pct"/>
            <w:tcBorders>
              <w:top w:val="single" w:sz="4" w:space="0" w:color="auto"/>
              <w:bottom w:val="single" w:sz="4" w:space="0" w:color="808080" w:themeColor="background1" w:themeShade="80"/>
            </w:tcBorders>
            <w:shd w:val="clear" w:color="auto" w:fill="auto"/>
            <w:vAlign w:val="center"/>
          </w:tcPr>
          <w:p w14:paraId="244CF523"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10,882</w:t>
            </w:r>
          </w:p>
        </w:tc>
        <w:tc>
          <w:tcPr>
            <w:tcW w:w="465" w:type="pct"/>
            <w:tcBorders>
              <w:top w:val="single" w:sz="4" w:space="0" w:color="auto"/>
              <w:bottom w:val="single" w:sz="4" w:space="0" w:color="808080" w:themeColor="background1" w:themeShade="80"/>
            </w:tcBorders>
            <w:shd w:val="clear" w:color="auto" w:fill="auto"/>
            <w:vAlign w:val="center"/>
          </w:tcPr>
          <w:p w14:paraId="37650686"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26,138</w:t>
            </w:r>
          </w:p>
        </w:tc>
      </w:tr>
      <w:tr w:rsidR="00DC5A3D" w:rsidRPr="00DC5A3D" w14:paraId="14988803" w14:textId="77777777" w:rsidTr="004B6CEE">
        <w:trPr>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808080" w:themeColor="background1" w:themeShade="80"/>
              <w:bottom w:val="single" w:sz="4" w:space="0" w:color="808080" w:themeColor="background1" w:themeShade="80"/>
            </w:tcBorders>
            <w:shd w:val="clear" w:color="auto" w:fill="auto"/>
            <w:hideMark/>
          </w:tcPr>
          <w:p w14:paraId="65286323" w14:textId="77777777" w:rsidR="00C91950" w:rsidRPr="00DC5A3D" w:rsidRDefault="00C91950" w:rsidP="00C91950">
            <w:pPr>
              <w:adjustRightInd w:val="0"/>
              <w:snapToGrid w:val="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Spawning Biomass</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597017DF"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27,707</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3C509DE7"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26,321</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7BC6833A"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25,476</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09A53FE2"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23,693</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239085AA"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22,942</w:t>
            </w:r>
          </w:p>
        </w:tc>
        <w:tc>
          <w:tcPr>
            <w:tcW w:w="418" w:type="pct"/>
            <w:tcBorders>
              <w:top w:val="single" w:sz="4" w:space="0" w:color="808080" w:themeColor="background1" w:themeShade="80"/>
              <w:bottom w:val="single" w:sz="4" w:space="0" w:color="808080" w:themeColor="background1" w:themeShade="80"/>
            </w:tcBorders>
            <w:shd w:val="clear" w:color="auto" w:fill="auto"/>
            <w:vAlign w:val="center"/>
          </w:tcPr>
          <w:p w14:paraId="7A6485F3"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23,222</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7D73A825"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24,279</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590690CC"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35,007</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6BEDB79A"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17,601</w:t>
            </w:r>
          </w:p>
        </w:tc>
        <w:tc>
          <w:tcPr>
            <w:tcW w:w="465" w:type="pct"/>
            <w:tcBorders>
              <w:top w:val="single" w:sz="4" w:space="0" w:color="808080" w:themeColor="background1" w:themeShade="80"/>
              <w:bottom w:val="single" w:sz="4" w:space="0" w:color="808080" w:themeColor="background1" w:themeShade="80"/>
            </w:tcBorders>
            <w:shd w:val="clear" w:color="auto" w:fill="auto"/>
            <w:vAlign w:val="center"/>
          </w:tcPr>
          <w:p w14:paraId="19A97274"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69,331</w:t>
            </w:r>
          </w:p>
        </w:tc>
      </w:tr>
      <w:tr w:rsidR="00DC5A3D" w:rsidRPr="00DC5A3D" w14:paraId="6A6E6C8B" w14:textId="77777777" w:rsidTr="004B6C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808080" w:themeColor="background1" w:themeShade="80"/>
              <w:bottom w:val="single" w:sz="4" w:space="0" w:color="808080" w:themeColor="background1" w:themeShade="80"/>
            </w:tcBorders>
            <w:shd w:val="clear" w:color="auto" w:fill="auto"/>
            <w:hideMark/>
          </w:tcPr>
          <w:p w14:paraId="3AA69396" w14:textId="77777777" w:rsidR="00C91950" w:rsidRPr="00DC5A3D" w:rsidRDefault="00C91950" w:rsidP="00C91950">
            <w:pPr>
              <w:adjustRightInd w:val="0"/>
              <w:snapToGrid w:val="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Relative Spawning Biomass</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2378B9AF"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1.33</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69784065"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1.26</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454B4A04"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1.22</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746367CC"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1.15</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2491EFFA"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1.11</w:t>
            </w:r>
          </w:p>
        </w:tc>
        <w:tc>
          <w:tcPr>
            <w:tcW w:w="418" w:type="pct"/>
            <w:tcBorders>
              <w:top w:val="single" w:sz="4" w:space="0" w:color="808080" w:themeColor="background1" w:themeShade="80"/>
              <w:bottom w:val="single" w:sz="4" w:space="0" w:color="808080" w:themeColor="background1" w:themeShade="80"/>
            </w:tcBorders>
            <w:shd w:val="clear" w:color="auto" w:fill="auto"/>
            <w:vAlign w:val="center"/>
          </w:tcPr>
          <w:p w14:paraId="0DB00ED5"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1.12</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3635C005"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1.18</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471453F6"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1.70</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71E5DD87"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0.84</w:t>
            </w:r>
          </w:p>
        </w:tc>
        <w:tc>
          <w:tcPr>
            <w:tcW w:w="465" w:type="pct"/>
            <w:tcBorders>
              <w:top w:val="single" w:sz="4" w:space="0" w:color="808080" w:themeColor="background1" w:themeShade="80"/>
              <w:bottom w:val="single" w:sz="4" w:space="0" w:color="808080" w:themeColor="background1" w:themeShade="80"/>
            </w:tcBorders>
            <w:shd w:val="clear" w:color="auto" w:fill="auto"/>
            <w:vAlign w:val="center"/>
          </w:tcPr>
          <w:p w14:paraId="1A708A18"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3.51</w:t>
            </w:r>
          </w:p>
        </w:tc>
      </w:tr>
      <w:tr w:rsidR="00DC5A3D" w:rsidRPr="00DC5A3D" w14:paraId="69CC9946" w14:textId="77777777" w:rsidTr="004B6CEE">
        <w:trPr>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808080" w:themeColor="background1" w:themeShade="80"/>
              <w:bottom w:val="single" w:sz="4" w:space="0" w:color="808080" w:themeColor="background1" w:themeShade="80"/>
            </w:tcBorders>
            <w:shd w:val="clear" w:color="auto" w:fill="auto"/>
            <w:hideMark/>
          </w:tcPr>
          <w:p w14:paraId="294708AF" w14:textId="77777777" w:rsidR="00C91950" w:rsidRPr="00DC5A3D" w:rsidRDefault="00C91950" w:rsidP="00C91950">
            <w:pPr>
              <w:adjustRightInd w:val="0"/>
              <w:snapToGrid w:val="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Recruitment (thousands of age 0 fish)</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2524E28A"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960</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13138E1E"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785</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703FE166"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608</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5DB6F15A"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862</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4E55E7BB"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870</w:t>
            </w:r>
          </w:p>
        </w:tc>
        <w:tc>
          <w:tcPr>
            <w:tcW w:w="418" w:type="pct"/>
            <w:tcBorders>
              <w:top w:val="single" w:sz="4" w:space="0" w:color="808080" w:themeColor="background1" w:themeShade="80"/>
              <w:bottom w:val="single" w:sz="4" w:space="0" w:color="808080" w:themeColor="background1" w:themeShade="80"/>
            </w:tcBorders>
            <w:shd w:val="clear" w:color="auto" w:fill="auto"/>
            <w:vAlign w:val="center"/>
          </w:tcPr>
          <w:p w14:paraId="50A7C933"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1,399</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4FDE8251"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876</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263A40A2"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895</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23CE4D36"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502</w:t>
            </w:r>
          </w:p>
        </w:tc>
        <w:tc>
          <w:tcPr>
            <w:tcW w:w="465" w:type="pct"/>
            <w:tcBorders>
              <w:top w:val="single" w:sz="4" w:space="0" w:color="808080" w:themeColor="background1" w:themeShade="80"/>
              <w:bottom w:val="single" w:sz="4" w:space="0" w:color="808080" w:themeColor="background1" w:themeShade="80"/>
            </w:tcBorders>
            <w:shd w:val="clear" w:color="auto" w:fill="auto"/>
            <w:vAlign w:val="center"/>
          </w:tcPr>
          <w:p w14:paraId="3C74D999"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1,399</w:t>
            </w:r>
          </w:p>
        </w:tc>
      </w:tr>
      <w:tr w:rsidR="00DC5A3D" w:rsidRPr="00DC5A3D" w14:paraId="047D05EF" w14:textId="77777777" w:rsidTr="004B6C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808080" w:themeColor="background1" w:themeShade="80"/>
              <w:bottom w:val="single" w:sz="4" w:space="0" w:color="808080" w:themeColor="background1" w:themeShade="80"/>
            </w:tcBorders>
            <w:shd w:val="clear" w:color="auto" w:fill="auto"/>
            <w:hideMark/>
          </w:tcPr>
          <w:p w14:paraId="6920F256" w14:textId="77777777" w:rsidR="00C91950" w:rsidRPr="00DC5A3D" w:rsidRDefault="00C91950" w:rsidP="00C91950">
            <w:pPr>
              <w:adjustRightInd w:val="0"/>
              <w:snapToGrid w:val="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Fishing Mortality</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2FFDBA44"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0.18</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33DF8132"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0.19</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206C2160"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0.19</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6F491AEA"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0.21</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629A884E"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0.13</w:t>
            </w:r>
          </w:p>
        </w:tc>
        <w:tc>
          <w:tcPr>
            <w:tcW w:w="418" w:type="pct"/>
            <w:tcBorders>
              <w:top w:val="single" w:sz="4" w:space="0" w:color="808080" w:themeColor="background1" w:themeShade="80"/>
              <w:bottom w:val="single" w:sz="4" w:space="0" w:color="808080" w:themeColor="background1" w:themeShade="80"/>
            </w:tcBorders>
            <w:shd w:val="clear" w:color="auto" w:fill="auto"/>
            <w:noWrap/>
            <w:vAlign w:val="center"/>
          </w:tcPr>
          <w:p w14:paraId="5D6BF791"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0.16</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120570B6"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0.11</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75C1B355"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0.16</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2309AD15"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0.08</w:t>
            </w:r>
          </w:p>
        </w:tc>
        <w:tc>
          <w:tcPr>
            <w:tcW w:w="465" w:type="pct"/>
            <w:tcBorders>
              <w:top w:val="single" w:sz="4" w:space="0" w:color="808080" w:themeColor="background1" w:themeShade="80"/>
              <w:bottom w:val="single" w:sz="4" w:space="0" w:color="808080" w:themeColor="background1" w:themeShade="80"/>
            </w:tcBorders>
            <w:shd w:val="clear" w:color="auto" w:fill="auto"/>
            <w:vAlign w:val="center"/>
          </w:tcPr>
          <w:p w14:paraId="4541B301"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0.25</w:t>
            </w:r>
          </w:p>
        </w:tc>
      </w:tr>
      <w:tr w:rsidR="00DC5A3D" w:rsidRPr="00DC5A3D" w14:paraId="7DEB0D82" w14:textId="77777777" w:rsidTr="004B6CEE">
        <w:trPr>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808080" w:themeColor="background1" w:themeShade="80"/>
              <w:bottom w:val="single" w:sz="4" w:space="0" w:color="808080" w:themeColor="background1" w:themeShade="80"/>
            </w:tcBorders>
            <w:shd w:val="clear" w:color="auto" w:fill="auto"/>
            <w:hideMark/>
          </w:tcPr>
          <w:p w14:paraId="4B5949C3" w14:textId="77777777" w:rsidR="00C91950" w:rsidRPr="00DC5A3D" w:rsidRDefault="00C91950" w:rsidP="00C91950">
            <w:pPr>
              <w:adjustRightInd w:val="0"/>
              <w:snapToGrid w:val="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Relative Fishing Mortality</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3B6F9090"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0.81</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4209AC2B"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0.85</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081ECEE2"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0.83</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20F35EBD"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0.95</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338639B3"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0.58</w:t>
            </w:r>
          </w:p>
        </w:tc>
        <w:tc>
          <w:tcPr>
            <w:tcW w:w="418" w:type="pct"/>
            <w:tcBorders>
              <w:top w:val="single" w:sz="4" w:space="0" w:color="808080" w:themeColor="background1" w:themeShade="80"/>
              <w:bottom w:val="single" w:sz="4" w:space="0" w:color="808080" w:themeColor="background1" w:themeShade="80"/>
            </w:tcBorders>
            <w:shd w:val="clear" w:color="auto" w:fill="auto"/>
            <w:noWrap/>
            <w:vAlign w:val="center"/>
          </w:tcPr>
          <w:p w14:paraId="3F6054FB"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0.71</w:t>
            </w:r>
          </w:p>
        </w:tc>
        <w:tc>
          <w:tcPr>
            <w:tcW w:w="372" w:type="pct"/>
            <w:tcBorders>
              <w:top w:val="single" w:sz="4" w:space="0" w:color="808080" w:themeColor="background1" w:themeShade="80"/>
              <w:bottom w:val="single" w:sz="4" w:space="0" w:color="808080" w:themeColor="background1" w:themeShade="80"/>
            </w:tcBorders>
            <w:shd w:val="clear" w:color="auto" w:fill="auto"/>
            <w:noWrap/>
            <w:vAlign w:val="center"/>
          </w:tcPr>
          <w:p w14:paraId="6DA8E990"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0.50</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041524FD"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0.71</w:t>
            </w:r>
          </w:p>
        </w:tc>
        <w:tc>
          <w:tcPr>
            <w:tcW w:w="372" w:type="pct"/>
            <w:tcBorders>
              <w:top w:val="single" w:sz="4" w:space="0" w:color="808080" w:themeColor="background1" w:themeShade="80"/>
              <w:bottom w:val="single" w:sz="4" w:space="0" w:color="808080" w:themeColor="background1" w:themeShade="80"/>
            </w:tcBorders>
            <w:shd w:val="clear" w:color="auto" w:fill="auto"/>
            <w:vAlign w:val="center"/>
          </w:tcPr>
          <w:p w14:paraId="3A38B223"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0.35</w:t>
            </w:r>
          </w:p>
        </w:tc>
        <w:tc>
          <w:tcPr>
            <w:tcW w:w="465" w:type="pct"/>
            <w:tcBorders>
              <w:top w:val="single" w:sz="4" w:space="0" w:color="808080" w:themeColor="background1" w:themeShade="80"/>
              <w:bottom w:val="single" w:sz="4" w:space="0" w:color="808080" w:themeColor="background1" w:themeShade="80"/>
            </w:tcBorders>
            <w:shd w:val="clear" w:color="auto" w:fill="auto"/>
            <w:vAlign w:val="center"/>
          </w:tcPr>
          <w:p w14:paraId="2C16B358" w14:textId="77777777" w:rsidR="00C91950" w:rsidRPr="00DC5A3D" w:rsidRDefault="00C91950" w:rsidP="00C9195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1.11</w:t>
            </w:r>
          </w:p>
        </w:tc>
      </w:tr>
      <w:tr w:rsidR="00DC5A3D" w:rsidRPr="00DC5A3D" w14:paraId="02AB75E0" w14:textId="77777777" w:rsidTr="004B6C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4" w:type="pct"/>
            <w:tcBorders>
              <w:top w:val="single" w:sz="4" w:space="0" w:color="808080" w:themeColor="background1" w:themeShade="80"/>
              <w:bottom w:val="single" w:sz="4" w:space="0" w:color="auto"/>
            </w:tcBorders>
            <w:shd w:val="clear" w:color="auto" w:fill="auto"/>
          </w:tcPr>
          <w:p w14:paraId="3D722C90" w14:textId="77777777" w:rsidR="00C91950" w:rsidRPr="00DC5A3D" w:rsidRDefault="00C91950" w:rsidP="00C91950">
            <w:pPr>
              <w:adjustRightInd w:val="0"/>
              <w:snapToGrid w:val="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Spawning Potential Ratio</w:t>
            </w:r>
          </w:p>
        </w:tc>
        <w:tc>
          <w:tcPr>
            <w:tcW w:w="372" w:type="pct"/>
            <w:tcBorders>
              <w:top w:val="single" w:sz="4" w:space="0" w:color="808080" w:themeColor="background1" w:themeShade="80"/>
              <w:bottom w:val="single" w:sz="4" w:space="0" w:color="auto"/>
            </w:tcBorders>
            <w:shd w:val="clear" w:color="auto" w:fill="auto"/>
            <w:noWrap/>
            <w:vAlign w:val="center"/>
          </w:tcPr>
          <w:p w14:paraId="60245F5C"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0.26</w:t>
            </w:r>
          </w:p>
        </w:tc>
        <w:tc>
          <w:tcPr>
            <w:tcW w:w="372" w:type="pct"/>
            <w:tcBorders>
              <w:top w:val="single" w:sz="4" w:space="0" w:color="808080" w:themeColor="background1" w:themeShade="80"/>
              <w:bottom w:val="single" w:sz="4" w:space="0" w:color="auto"/>
            </w:tcBorders>
            <w:shd w:val="clear" w:color="auto" w:fill="auto"/>
            <w:noWrap/>
            <w:vAlign w:val="center"/>
          </w:tcPr>
          <w:p w14:paraId="6E6B3E76"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0.24</w:t>
            </w:r>
          </w:p>
        </w:tc>
        <w:tc>
          <w:tcPr>
            <w:tcW w:w="372" w:type="pct"/>
            <w:tcBorders>
              <w:top w:val="single" w:sz="4" w:space="0" w:color="808080" w:themeColor="background1" w:themeShade="80"/>
              <w:bottom w:val="single" w:sz="4" w:space="0" w:color="auto"/>
            </w:tcBorders>
            <w:shd w:val="clear" w:color="auto" w:fill="auto"/>
            <w:noWrap/>
            <w:vAlign w:val="center"/>
          </w:tcPr>
          <w:p w14:paraId="2348203E"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0.25</w:t>
            </w:r>
          </w:p>
        </w:tc>
        <w:tc>
          <w:tcPr>
            <w:tcW w:w="372" w:type="pct"/>
            <w:tcBorders>
              <w:top w:val="single" w:sz="4" w:space="0" w:color="808080" w:themeColor="background1" w:themeShade="80"/>
              <w:bottom w:val="single" w:sz="4" w:space="0" w:color="auto"/>
            </w:tcBorders>
            <w:shd w:val="clear" w:color="auto" w:fill="auto"/>
            <w:noWrap/>
            <w:vAlign w:val="center"/>
          </w:tcPr>
          <w:p w14:paraId="2109A93E"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0.22</w:t>
            </w:r>
          </w:p>
        </w:tc>
        <w:tc>
          <w:tcPr>
            <w:tcW w:w="372" w:type="pct"/>
            <w:tcBorders>
              <w:top w:val="single" w:sz="4" w:space="0" w:color="808080" w:themeColor="background1" w:themeShade="80"/>
              <w:bottom w:val="single" w:sz="4" w:space="0" w:color="auto"/>
            </w:tcBorders>
            <w:shd w:val="clear" w:color="auto" w:fill="auto"/>
            <w:noWrap/>
            <w:vAlign w:val="center"/>
          </w:tcPr>
          <w:p w14:paraId="0AAE6447"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0.33</w:t>
            </w:r>
          </w:p>
        </w:tc>
        <w:tc>
          <w:tcPr>
            <w:tcW w:w="418" w:type="pct"/>
            <w:tcBorders>
              <w:top w:val="single" w:sz="4" w:space="0" w:color="808080" w:themeColor="background1" w:themeShade="80"/>
              <w:bottom w:val="single" w:sz="4" w:space="0" w:color="auto"/>
            </w:tcBorders>
            <w:shd w:val="clear" w:color="auto" w:fill="auto"/>
            <w:noWrap/>
            <w:vAlign w:val="center"/>
          </w:tcPr>
          <w:p w14:paraId="5F49A679"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0.27</w:t>
            </w:r>
          </w:p>
        </w:tc>
        <w:tc>
          <w:tcPr>
            <w:tcW w:w="372" w:type="pct"/>
            <w:tcBorders>
              <w:top w:val="single" w:sz="4" w:space="0" w:color="808080" w:themeColor="background1" w:themeShade="80"/>
              <w:bottom w:val="single" w:sz="4" w:space="0" w:color="auto"/>
            </w:tcBorders>
            <w:shd w:val="clear" w:color="auto" w:fill="auto"/>
            <w:noWrap/>
            <w:vAlign w:val="center"/>
          </w:tcPr>
          <w:p w14:paraId="27845004"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0.34</w:t>
            </w:r>
          </w:p>
        </w:tc>
        <w:tc>
          <w:tcPr>
            <w:tcW w:w="372" w:type="pct"/>
            <w:tcBorders>
              <w:top w:val="single" w:sz="4" w:space="0" w:color="808080" w:themeColor="background1" w:themeShade="80"/>
              <w:bottom w:val="single" w:sz="4" w:space="0" w:color="auto"/>
            </w:tcBorders>
            <w:shd w:val="clear" w:color="auto" w:fill="auto"/>
            <w:vAlign w:val="center"/>
          </w:tcPr>
          <w:p w14:paraId="19FE7E0D"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0.33</w:t>
            </w:r>
          </w:p>
        </w:tc>
        <w:tc>
          <w:tcPr>
            <w:tcW w:w="372" w:type="pct"/>
            <w:tcBorders>
              <w:top w:val="single" w:sz="4" w:space="0" w:color="808080" w:themeColor="background1" w:themeShade="80"/>
              <w:bottom w:val="single" w:sz="4" w:space="0" w:color="auto"/>
            </w:tcBorders>
            <w:shd w:val="clear" w:color="auto" w:fill="auto"/>
            <w:vAlign w:val="center"/>
          </w:tcPr>
          <w:p w14:paraId="53366EF8"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0.17</w:t>
            </w:r>
          </w:p>
        </w:tc>
        <w:tc>
          <w:tcPr>
            <w:tcW w:w="465" w:type="pct"/>
            <w:tcBorders>
              <w:top w:val="single" w:sz="4" w:space="0" w:color="808080" w:themeColor="background1" w:themeShade="80"/>
              <w:bottom w:val="single" w:sz="4" w:space="0" w:color="auto"/>
            </w:tcBorders>
            <w:shd w:val="clear" w:color="auto" w:fill="auto"/>
            <w:vAlign w:val="center"/>
          </w:tcPr>
          <w:p w14:paraId="6A4C0D69" w14:textId="77777777" w:rsidR="00C91950" w:rsidRPr="00DC5A3D" w:rsidRDefault="00C91950" w:rsidP="00C9195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AU"/>
              </w:rPr>
            </w:pPr>
            <w:r w:rsidRPr="00DC5A3D">
              <w:rPr>
                <w:rFonts w:ascii="Times New Roman" w:hAnsi="Times New Roman" w:cs="Times New Roman"/>
                <w:color w:val="auto"/>
                <w:sz w:val="20"/>
                <w:szCs w:val="20"/>
                <w:lang w:val="en-AU"/>
              </w:rPr>
              <w:t>0.60</w:t>
            </w:r>
          </w:p>
        </w:tc>
      </w:tr>
    </w:tbl>
    <w:p w14:paraId="06D5C81A" w14:textId="77777777" w:rsidR="00C91950" w:rsidRPr="00DC5A3D" w:rsidRDefault="00C91950" w:rsidP="00C91950">
      <w:pPr>
        <w:adjustRightInd w:val="0"/>
        <w:snapToGrid w:val="0"/>
        <w:spacing w:after="0" w:line="240" w:lineRule="auto"/>
        <w:jc w:val="both"/>
        <w:rPr>
          <w:rFonts w:ascii="Times New Roman" w:hAnsi="Times New Roman" w:cs="Times New Roman"/>
          <w:lang w:val="en-AU" w:eastAsia="ko-KR"/>
        </w:rPr>
      </w:pPr>
      <w:r w:rsidRPr="00DC5A3D">
        <w:rPr>
          <w:rFonts w:ascii="Times New Roman" w:hAnsi="Times New Roman" w:cs="Times New Roman"/>
          <w:vertAlign w:val="superscript"/>
          <w:lang w:val="en-AU" w:eastAsia="ko-KR"/>
        </w:rPr>
        <w:t>1</w:t>
      </w:r>
      <w:r w:rsidRPr="00DC5A3D">
        <w:rPr>
          <w:rFonts w:ascii="Times New Roman" w:hAnsi="Times New Roman" w:cs="Times New Roman"/>
          <w:lang w:val="en-AU" w:eastAsia="ko-KR"/>
        </w:rPr>
        <w:t>During 1971-2019</w:t>
      </w:r>
    </w:p>
    <w:p w14:paraId="526A49FD" w14:textId="77777777" w:rsidR="00C91950" w:rsidRPr="00DC5A3D" w:rsidRDefault="00C91950" w:rsidP="00C91950">
      <w:pPr>
        <w:adjustRightInd w:val="0"/>
        <w:snapToGrid w:val="0"/>
        <w:spacing w:after="0" w:line="240" w:lineRule="auto"/>
        <w:jc w:val="both"/>
        <w:rPr>
          <w:rFonts w:ascii="Times New Roman" w:hAnsi="Times New Roman" w:cs="Times New Roman"/>
          <w:b/>
          <w:bCs/>
          <w:lang w:val="en-AU" w:eastAsia="ko-KR"/>
        </w:rPr>
      </w:pPr>
    </w:p>
    <w:p w14:paraId="52A556C0" w14:textId="77777777" w:rsidR="00C91950" w:rsidRPr="00DC5A3D" w:rsidRDefault="00C91950" w:rsidP="00C91950">
      <w:pPr>
        <w:adjustRightInd w:val="0"/>
        <w:snapToGrid w:val="0"/>
        <w:spacing w:after="0" w:line="240" w:lineRule="auto"/>
        <w:jc w:val="both"/>
        <w:rPr>
          <w:rFonts w:ascii="Times New Roman" w:hAnsi="Times New Roman" w:cs="Times New Roman"/>
          <w:lang w:val="en-AU" w:eastAsia="ko-KR"/>
        </w:rPr>
      </w:pPr>
      <w:r w:rsidRPr="00DC5A3D">
        <w:rPr>
          <w:rFonts w:ascii="Times New Roman" w:hAnsi="Times New Roman" w:cs="Times New Roman"/>
          <w:b/>
          <w:bCs/>
          <w:lang w:val="en-AU" w:eastAsia="ko-KR"/>
        </w:rPr>
        <w:lastRenderedPageBreak/>
        <w:t>Table PBUM-2</w:t>
      </w:r>
      <w:r w:rsidRPr="00DC5A3D">
        <w:rPr>
          <w:rFonts w:ascii="Times New Roman" w:hAnsi="Times New Roman" w:cs="Times New Roman"/>
          <w:lang w:val="en-AU" w:eastAsia="ko-KR"/>
        </w:rPr>
        <w:t>. Estimates of biological reference points along with estimates of fishing mortality (F), spawning stock biomass (SSB), recent average yield (C), and spawning potential ratio (SPR) of Pacific blue marlin, derived from the assessment ensemble model, where “MSY” indicates reference points based on maximum sustainable yield.</w:t>
      </w:r>
    </w:p>
    <w:tbl>
      <w:tblPr>
        <w:tblW w:w="5030" w:type="dxa"/>
        <w:jc w:val="center"/>
        <w:tblBorders>
          <w:top w:val="single" w:sz="2" w:space="0" w:color="auto"/>
          <w:bottom w:val="single" w:sz="2" w:space="0" w:color="auto"/>
          <w:insideH w:val="single" w:sz="2" w:space="0" w:color="808080" w:themeColor="background1" w:themeShade="80"/>
        </w:tblBorders>
        <w:tblLook w:val="04A0" w:firstRow="1" w:lastRow="0" w:firstColumn="1" w:lastColumn="0" w:noHBand="0" w:noVBand="1"/>
      </w:tblPr>
      <w:tblGrid>
        <w:gridCol w:w="3140"/>
        <w:gridCol w:w="1890"/>
      </w:tblGrid>
      <w:tr w:rsidR="00DC5A3D" w:rsidRPr="00DC5A3D" w14:paraId="79784B88" w14:textId="77777777" w:rsidTr="004B6CEE">
        <w:trPr>
          <w:jc w:val="center"/>
        </w:trPr>
        <w:tc>
          <w:tcPr>
            <w:tcW w:w="3140" w:type="dxa"/>
            <w:tcBorders>
              <w:top w:val="single" w:sz="2" w:space="0" w:color="auto"/>
              <w:bottom w:val="single" w:sz="2" w:space="0" w:color="auto"/>
            </w:tcBorders>
            <w:shd w:val="clear" w:color="auto" w:fill="auto"/>
            <w:vAlign w:val="center"/>
            <w:hideMark/>
          </w:tcPr>
          <w:p w14:paraId="2BFDEB3A" w14:textId="77777777" w:rsidR="00C91950" w:rsidRPr="00DC5A3D" w:rsidRDefault="00C91950" w:rsidP="00C91950">
            <w:pPr>
              <w:adjustRightInd w:val="0"/>
              <w:snapToGrid w:val="0"/>
              <w:spacing w:after="0" w:line="240" w:lineRule="auto"/>
              <w:jc w:val="center"/>
              <w:rPr>
                <w:rFonts w:ascii="Times New Roman" w:hAnsi="Times New Roman" w:cs="Times New Roman"/>
                <w:b/>
                <w:bCs/>
                <w:sz w:val="20"/>
                <w:szCs w:val="20"/>
                <w:lang w:val="en-AU"/>
              </w:rPr>
            </w:pPr>
            <w:r w:rsidRPr="00DC5A3D">
              <w:rPr>
                <w:rFonts w:ascii="Times New Roman" w:hAnsi="Times New Roman" w:cs="Times New Roman"/>
                <w:b/>
                <w:bCs/>
                <w:sz w:val="20"/>
                <w:szCs w:val="20"/>
                <w:lang w:val="en-AU"/>
              </w:rPr>
              <w:t>Reference Point</w:t>
            </w:r>
          </w:p>
        </w:tc>
        <w:tc>
          <w:tcPr>
            <w:tcW w:w="1890" w:type="dxa"/>
            <w:tcBorders>
              <w:top w:val="single" w:sz="2" w:space="0" w:color="auto"/>
              <w:bottom w:val="single" w:sz="2" w:space="0" w:color="auto"/>
            </w:tcBorders>
            <w:shd w:val="clear" w:color="auto" w:fill="auto"/>
            <w:vAlign w:val="center"/>
            <w:hideMark/>
          </w:tcPr>
          <w:p w14:paraId="4735E3FD" w14:textId="77777777" w:rsidR="00C91950" w:rsidRPr="00DC5A3D" w:rsidRDefault="00C91950" w:rsidP="00C91950">
            <w:pPr>
              <w:adjustRightInd w:val="0"/>
              <w:snapToGrid w:val="0"/>
              <w:spacing w:after="0" w:line="240" w:lineRule="auto"/>
              <w:jc w:val="both"/>
              <w:rPr>
                <w:rFonts w:ascii="Times New Roman" w:hAnsi="Times New Roman" w:cs="Times New Roman"/>
                <w:b/>
                <w:bCs/>
                <w:sz w:val="20"/>
                <w:szCs w:val="20"/>
                <w:lang w:val="en-AU"/>
              </w:rPr>
            </w:pPr>
            <w:r w:rsidRPr="00DC5A3D">
              <w:rPr>
                <w:rFonts w:ascii="Times New Roman" w:hAnsi="Times New Roman" w:cs="Times New Roman"/>
                <w:b/>
                <w:bCs/>
                <w:sz w:val="20"/>
                <w:szCs w:val="20"/>
                <w:lang w:val="en-AU"/>
              </w:rPr>
              <w:t>Estimate</w:t>
            </w:r>
          </w:p>
        </w:tc>
      </w:tr>
      <w:tr w:rsidR="00DC5A3D" w:rsidRPr="00DC5A3D" w14:paraId="72784E82" w14:textId="77777777" w:rsidTr="004B6CEE">
        <w:trPr>
          <w:jc w:val="center"/>
        </w:trPr>
        <w:tc>
          <w:tcPr>
            <w:tcW w:w="3140" w:type="dxa"/>
            <w:tcBorders>
              <w:top w:val="single" w:sz="2" w:space="0" w:color="auto"/>
              <w:bottom w:val="nil"/>
            </w:tcBorders>
            <w:shd w:val="clear" w:color="auto" w:fill="auto"/>
            <w:vAlign w:val="center"/>
            <w:hideMark/>
          </w:tcPr>
          <w:p w14:paraId="16F68C75"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F</w:t>
            </w:r>
            <w:r w:rsidRPr="00DC5A3D">
              <w:rPr>
                <w:rFonts w:ascii="Times New Roman" w:hAnsi="Times New Roman" w:cs="Times New Roman"/>
                <w:sz w:val="20"/>
                <w:szCs w:val="20"/>
                <w:vertAlign w:val="subscript"/>
                <w:lang w:val="en-AU"/>
              </w:rPr>
              <w:t>MSY</w:t>
            </w:r>
            <w:r w:rsidRPr="00DC5A3D">
              <w:rPr>
                <w:rFonts w:ascii="Times New Roman" w:hAnsi="Times New Roman" w:cs="Times New Roman"/>
                <w:sz w:val="20"/>
                <w:szCs w:val="20"/>
                <w:lang w:val="en-AU"/>
              </w:rPr>
              <w:t xml:space="preserve"> (age 1-10)</w:t>
            </w:r>
          </w:p>
        </w:tc>
        <w:tc>
          <w:tcPr>
            <w:tcW w:w="1890" w:type="dxa"/>
            <w:tcBorders>
              <w:top w:val="single" w:sz="2" w:space="0" w:color="auto"/>
              <w:bottom w:val="nil"/>
            </w:tcBorders>
            <w:shd w:val="clear" w:color="auto" w:fill="auto"/>
            <w:vAlign w:val="center"/>
            <w:hideMark/>
          </w:tcPr>
          <w:p w14:paraId="0B771549"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0.23</w:t>
            </w:r>
          </w:p>
        </w:tc>
      </w:tr>
      <w:tr w:rsidR="00DC5A3D" w:rsidRPr="00DC5A3D" w14:paraId="7D797633" w14:textId="77777777" w:rsidTr="004B6CEE">
        <w:trPr>
          <w:jc w:val="center"/>
        </w:trPr>
        <w:tc>
          <w:tcPr>
            <w:tcW w:w="3140" w:type="dxa"/>
            <w:tcBorders>
              <w:top w:val="nil"/>
              <w:bottom w:val="nil"/>
            </w:tcBorders>
            <w:shd w:val="clear" w:color="auto" w:fill="auto"/>
            <w:vAlign w:val="center"/>
            <w:hideMark/>
          </w:tcPr>
          <w:p w14:paraId="0C68CBE3"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F</w:t>
            </w:r>
            <w:r w:rsidRPr="00DC5A3D">
              <w:rPr>
                <w:rFonts w:ascii="Times New Roman" w:hAnsi="Times New Roman" w:cs="Times New Roman"/>
                <w:sz w:val="20"/>
                <w:szCs w:val="20"/>
                <w:vertAlign w:val="subscript"/>
                <w:lang w:val="en-AU"/>
              </w:rPr>
              <w:t xml:space="preserve">2019 </w:t>
            </w:r>
            <w:r w:rsidRPr="00DC5A3D">
              <w:rPr>
                <w:rFonts w:ascii="Times New Roman" w:hAnsi="Times New Roman" w:cs="Times New Roman"/>
                <w:sz w:val="20"/>
                <w:szCs w:val="20"/>
                <w:lang w:val="en-AU"/>
              </w:rPr>
              <w:t>(age 1-10)</w:t>
            </w:r>
          </w:p>
        </w:tc>
        <w:tc>
          <w:tcPr>
            <w:tcW w:w="1890" w:type="dxa"/>
            <w:tcBorders>
              <w:top w:val="nil"/>
              <w:bottom w:val="nil"/>
            </w:tcBorders>
            <w:shd w:val="clear" w:color="auto" w:fill="auto"/>
            <w:vAlign w:val="center"/>
            <w:hideMark/>
          </w:tcPr>
          <w:p w14:paraId="2B628448"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0.11</w:t>
            </w:r>
          </w:p>
        </w:tc>
      </w:tr>
      <w:tr w:rsidR="00DC5A3D" w:rsidRPr="00DC5A3D" w14:paraId="340B0001" w14:textId="77777777" w:rsidTr="004B6CEE">
        <w:trPr>
          <w:jc w:val="center"/>
        </w:trPr>
        <w:tc>
          <w:tcPr>
            <w:tcW w:w="3140" w:type="dxa"/>
            <w:tcBorders>
              <w:top w:val="nil"/>
              <w:bottom w:val="nil"/>
            </w:tcBorders>
            <w:shd w:val="clear" w:color="auto" w:fill="auto"/>
            <w:vAlign w:val="center"/>
          </w:tcPr>
          <w:p w14:paraId="37B87DA3"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vertAlign w:val="subscript"/>
                <w:lang w:val="en-AU"/>
              </w:rPr>
            </w:pPr>
            <w:r w:rsidRPr="00DC5A3D">
              <w:rPr>
                <w:rFonts w:ascii="Times New Roman" w:hAnsi="Times New Roman" w:cs="Times New Roman"/>
                <w:sz w:val="20"/>
                <w:szCs w:val="20"/>
                <w:lang w:val="en-AU"/>
              </w:rPr>
              <w:t>F</w:t>
            </w:r>
            <w:r w:rsidRPr="00DC5A3D">
              <w:rPr>
                <w:rFonts w:ascii="Times New Roman" w:hAnsi="Times New Roman" w:cs="Times New Roman"/>
                <w:sz w:val="20"/>
                <w:szCs w:val="20"/>
                <w:vertAlign w:val="subscript"/>
                <w:lang w:val="en-AU"/>
              </w:rPr>
              <w:t>20%SSB0</w:t>
            </w:r>
          </w:p>
        </w:tc>
        <w:tc>
          <w:tcPr>
            <w:tcW w:w="1890" w:type="dxa"/>
            <w:tcBorders>
              <w:top w:val="nil"/>
              <w:bottom w:val="nil"/>
            </w:tcBorders>
            <w:shd w:val="clear" w:color="auto" w:fill="auto"/>
            <w:vAlign w:val="center"/>
          </w:tcPr>
          <w:p w14:paraId="3BB89A7A"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0.18</w:t>
            </w:r>
          </w:p>
        </w:tc>
      </w:tr>
      <w:tr w:rsidR="00DC5A3D" w:rsidRPr="00DC5A3D" w14:paraId="14BF61DC" w14:textId="77777777" w:rsidTr="004B6CEE">
        <w:trPr>
          <w:jc w:val="center"/>
        </w:trPr>
        <w:tc>
          <w:tcPr>
            <w:tcW w:w="3140" w:type="dxa"/>
            <w:tcBorders>
              <w:top w:val="nil"/>
              <w:bottom w:val="nil"/>
            </w:tcBorders>
            <w:shd w:val="clear" w:color="auto" w:fill="auto"/>
            <w:vAlign w:val="center"/>
            <w:hideMark/>
          </w:tcPr>
          <w:p w14:paraId="250BFD5B"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SSB</w:t>
            </w:r>
            <w:r w:rsidRPr="00DC5A3D">
              <w:rPr>
                <w:rFonts w:ascii="Times New Roman" w:hAnsi="Times New Roman" w:cs="Times New Roman"/>
                <w:sz w:val="20"/>
                <w:szCs w:val="20"/>
                <w:vertAlign w:val="subscript"/>
                <w:lang w:val="en-AU"/>
              </w:rPr>
              <w:t>MSY</w:t>
            </w:r>
          </w:p>
        </w:tc>
        <w:tc>
          <w:tcPr>
            <w:tcW w:w="1890" w:type="dxa"/>
            <w:tcBorders>
              <w:top w:val="nil"/>
              <w:bottom w:val="nil"/>
            </w:tcBorders>
            <w:shd w:val="clear" w:color="auto" w:fill="auto"/>
            <w:vAlign w:val="center"/>
            <w:hideMark/>
          </w:tcPr>
          <w:p w14:paraId="5803617A"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20,677 mt</w:t>
            </w:r>
          </w:p>
        </w:tc>
      </w:tr>
      <w:tr w:rsidR="00DC5A3D" w:rsidRPr="00DC5A3D" w14:paraId="11C866B4" w14:textId="77777777" w:rsidTr="004B6CEE">
        <w:trPr>
          <w:jc w:val="center"/>
        </w:trPr>
        <w:tc>
          <w:tcPr>
            <w:tcW w:w="3140" w:type="dxa"/>
            <w:tcBorders>
              <w:top w:val="nil"/>
              <w:bottom w:val="nil"/>
            </w:tcBorders>
            <w:shd w:val="clear" w:color="auto" w:fill="auto"/>
            <w:vAlign w:val="center"/>
            <w:hideMark/>
          </w:tcPr>
          <w:p w14:paraId="0D19F4EA"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SSB</w:t>
            </w:r>
            <w:r w:rsidRPr="00DC5A3D">
              <w:rPr>
                <w:rFonts w:ascii="Times New Roman" w:hAnsi="Times New Roman" w:cs="Times New Roman"/>
                <w:sz w:val="20"/>
                <w:szCs w:val="20"/>
                <w:vertAlign w:val="subscript"/>
                <w:lang w:val="en-AU"/>
              </w:rPr>
              <w:t>2019</w:t>
            </w:r>
          </w:p>
        </w:tc>
        <w:tc>
          <w:tcPr>
            <w:tcW w:w="1890" w:type="dxa"/>
            <w:tcBorders>
              <w:top w:val="nil"/>
              <w:bottom w:val="nil"/>
            </w:tcBorders>
            <w:shd w:val="clear" w:color="auto" w:fill="auto"/>
            <w:vAlign w:val="center"/>
            <w:hideMark/>
          </w:tcPr>
          <w:p w14:paraId="37D56D21"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24,241 mt</w:t>
            </w:r>
          </w:p>
        </w:tc>
      </w:tr>
      <w:tr w:rsidR="00DC5A3D" w:rsidRPr="00DC5A3D" w14:paraId="1B0CA8D0" w14:textId="77777777" w:rsidTr="004B6CEE">
        <w:trPr>
          <w:jc w:val="center"/>
        </w:trPr>
        <w:tc>
          <w:tcPr>
            <w:tcW w:w="3140" w:type="dxa"/>
            <w:tcBorders>
              <w:top w:val="nil"/>
              <w:bottom w:val="nil"/>
            </w:tcBorders>
            <w:shd w:val="clear" w:color="auto" w:fill="auto"/>
            <w:vAlign w:val="center"/>
          </w:tcPr>
          <w:p w14:paraId="5018C774"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SSB</w:t>
            </w:r>
            <w:r w:rsidRPr="00DC5A3D">
              <w:rPr>
                <w:rFonts w:ascii="Times New Roman" w:hAnsi="Times New Roman" w:cs="Times New Roman"/>
                <w:sz w:val="20"/>
                <w:szCs w:val="20"/>
                <w:vertAlign w:val="subscript"/>
                <w:lang w:val="en-AU"/>
              </w:rPr>
              <w:t>20%SSB0</w:t>
            </w:r>
          </w:p>
        </w:tc>
        <w:tc>
          <w:tcPr>
            <w:tcW w:w="1890" w:type="dxa"/>
            <w:tcBorders>
              <w:top w:val="nil"/>
              <w:bottom w:val="nil"/>
            </w:tcBorders>
            <w:shd w:val="clear" w:color="auto" w:fill="auto"/>
            <w:vAlign w:val="center"/>
          </w:tcPr>
          <w:p w14:paraId="61A89298"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20,729 mt</w:t>
            </w:r>
          </w:p>
        </w:tc>
      </w:tr>
      <w:tr w:rsidR="00DC5A3D" w:rsidRPr="00DC5A3D" w14:paraId="117BE4D0" w14:textId="77777777" w:rsidTr="004B6CEE">
        <w:trPr>
          <w:jc w:val="center"/>
        </w:trPr>
        <w:tc>
          <w:tcPr>
            <w:tcW w:w="3140" w:type="dxa"/>
            <w:tcBorders>
              <w:top w:val="nil"/>
              <w:bottom w:val="nil"/>
            </w:tcBorders>
            <w:shd w:val="clear" w:color="auto" w:fill="auto"/>
            <w:vAlign w:val="center"/>
            <w:hideMark/>
          </w:tcPr>
          <w:p w14:paraId="4FB4F400"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MSY</w:t>
            </w:r>
          </w:p>
        </w:tc>
        <w:tc>
          <w:tcPr>
            <w:tcW w:w="1890" w:type="dxa"/>
            <w:tcBorders>
              <w:top w:val="nil"/>
              <w:bottom w:val="nil"/>
            </w:tcBorders>
            <w:shd w:val="clear" w:color="auto" w:fill="auto"/>
            <w:vAlign w:val="center"/>
            <w:hideMark/>
          </w:tcPr>
          <w:p w14:paraId="6C0185EE"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24,600 mt</w:t>
            </w:r>
          </w:p>
        </w:tc>
      </w:tr>
      <w:tr w:rsidR="00DC5A3D" w:rsidRPr="00DC5A3D" w14:paraId="5DF53BDB" w14:textId="77777777" w:rsidTr="004B6CEE">
        <w:trPr>
          <w:jc w:val="center"/>
        </w:trPr>
        <w:tc>
          <w:tcPr>
            <w:tcW w:w="3140" w:type="dxa"/>
            <w:tcBorders>
              <w:top w:val="nil"/>
              <w:bottom w:val="nil"/>
            </w:tcBorders>
            <w:shd w:val="clear" w:color="auto" w:fill="auto"/>
            <w:vAlign w:val="center"/>
            <w:hideMark/>
          </w:tcPr>
          <w:p w14:paraId="5905C206"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C</w:t>
            </w:r>
            <w:r w:rsidRPr="00DC5A3D">
              <w:rPr>
                <w:rFonts w:ascii="Times New Roman" w:hAnsi="Times New Roman" w:cs="Times New Roman"/>
                <w:sz w:val="20"/>
                <w:szCs w:val="20"/>
                <w:vertAlign w:val="subscript"/>
                <w:lang w:val="en-AU"/>
              </w:rPr>
              <w:t>2017-2019</w:t>
            </w:r>
          </w:p>
        </w:tc>
        <w:tc>
          <w:tcPr>
            <w:tcW w:w="1890" w:type="dxa"/>
            <w:tcBorders>
              <w:top w:val="nil"/>
              <w:bottom w:val="nil"/>
            </w:tcBorders>
            <w:shd w:val="clear" w:color="auto" w:fill="auto"/>
            <w:vAlign w:val="center"/>
            <w:hideMark/>
          </w:tcPr>
          <w:p w14:paraId="4CF13E70"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16,512 mt</w:t>
            </w:r>
          </w:p>
        </w:tc>
      </w:tr>
      <w:tr w:rsidR="00DC5A3D" w:rsidRPr="00DC5A3D" w14:paraId="41CE528D" w14:textId="77777777" w:rsidTr="004B6CEE">
        <w:trPr>
          <w:jc w:val="center"/>
        </w:trPr>
        <w:tc>
          <w:tcPr>
            <w:tcW w:w="3140" w:type="dxa"/>
            <w:tcBorders>
              <w:top w:val="nil"/>
              <w:bottom w:val="nil"/>
            </w:tcBorders>
            <w:shd w:val="clear" w:color="auto" w:fill="auto"/>
            <w:vAlign w:val="center"/>
            <w:hideMark/>
          </w:tcPr>
          <w:p w14:paraId="2406335A"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SPR</w:t>
            </w:r>
            <w:r w:rsidRPr="00DC5A3D">
              <w:rPr>
                <w:rFonts w:ascii="Times New Roman" w:hAnsi="Times New Roman" w:cs="Times New Roman"/>
                <w:sz w:val="20"/>
                <w:szCs w:val="20"/>
                <w:vertAlign w:val="subscript"/>
                <w:lang w:val="en-AU"/>
              </w:rPr>
              <w:t>MSY</w:t>
            </w:r>
          </w:p>
        </w:tc>
        <w:tc>
          <w:tcPr>
            <w:tcW w:w="1890" w:type="dxa"/>
            <w:tcBorders>
              <w:top w:val="nil"/>
              <w:bottom w:val="nil"/>
            </w:tcBorders>
            <w:shd w:val="clear" w:color="auto" w:fill="auto"/>
            <w:vAlign w:val="center"/>
            <w:hideMark/>
          </w:tcPr>
          <w:p w14:paraId="1CECC1AA"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17%</w:t>
            </w:r>
          </w:p>
        </w:tc>
      </w:tr>
      <w:tr w:rsidR="00DC5A3D" w:rsidRPr="00DC5A3D" w14:paraId="36BE5548" w14:textId="77777777" w:rsidTr="004B6CEE">
        <w:trPr>
          <w:jc w:val="center"/>
        </w:trPr>
        <w:tc>
          <w:tcPr>
            <w:tcW w:w="3140" w:type="dxa"/>
            <w:tcBorders>
              <w:top w:val="nil"/>
              <w:bottom w:val="nil"/>
            </w:tcBorders>
            <w:shd w:val="clear" w:color="auto" w:fill="auto"/>
            <w:vAlign w:val="center"/>
          </w:tcPr>
          <w:p w14:paraId="2341C31E"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SPR</w:t>
            </w:r>
            <w:r w:rsidRPr="00DC5A3D">
              <w:rPr>
                <w:rFonts w:ascii="Times New Roman" w:hAnsi="Times New Roman" w:cs="Times New Roman"/>
                <w:sz w:val="20"/>
                <w:szCs w:val="20"/>
                <w:vertAlign w:val="subscript"/>
                <w:lang w:val="en-AU"/>
              </w:rPr>
              <w:t>2019</w:t>
            </w:r>
          </w:p>
        </w:tc>
        <w:tc>
          <w:tcPr>
            <w:tcW w:w="1890" w:type="dxa"/>
            <w:tcBorders>
              <w:top w:val="nil"/>
              <w:bottom w:val="nil"/>
            </w:tcBorders>
            <w:shd w:val="clear" w:color="auto" w:fill="auto"/>
            <w:vAlign w:val="center"/>
          </w:tcPr>
          <w:p w14:paraId="2CE70BD9"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34%</w:t>
            </w:r>
          </w:p>
        </w:tc>
      </w:tr>
      <w:tr w:rsidR="00C91950" w:rsidRPr="00DC5A3D" w14:paraId="7474593F" w14:textId="77777777" w:rsidTr="004B6CEE">
        <w:trPr>
          <w:jc w:val="center"/>
        </w:trPr>
        <w:tc>
          <w:tcPr>
            <w:tcW w:w="3140" w:type="dxa"/>
            <w:tcBorders>
              <w:top w:val="nil"/>
              <w:bottom w:val="single" w:sz="2" w:space="0" w:color="auto"/>
            </w:tcBorders>
            <w:shd w:val="clear" w:color="auto" w:fill="auto"/>
            <w:vAlign w:val="center"/>
          </w:tcPr>
          <w:p w14:paraId="3EDA6FA4" w14:textId="77777777" w:rsidR="00C91950" w:rsidRPr="00DC5A3D" w:rsidRDefault="00C91950" w:rsidP="00C91950">
            <w:pPr>
              <w:adjustRightInd w:val="0"/>
              <w:snapToGrid w:val="0"/>
              <w:spacing w:after="0" w:line="240" w:lineRule="auto"/>
              <w:ind w:left="970"/>
              <w:jc w:val="both"/>
              <w:rPr>
                <w:rFonts w:ascii="Times New Roman" w:hAnsi="Times New Roman" w:cs="Times New Roman"/>
                <w:sz w:val="20"/>
                <w:szCs w:val="20"/>
                <w:lang w:val="en-AU"/>
              </w:rPr>
            </w:pPr>
            <w:r w:rsidRPr="00DC5A3D">
              <w:rPr>
                <w:rFonts w:ascii="Times New Roman" w:hAnsi="Times New Roman" w:cs="Times New Roman"/>
                <w:sz w:val="20"/>
                <w:szCs w:val="20"/>
                <w:lang w:val="en-AU"/>
              </w:rPr>
              <w:t>SPR</w:t>
            </w:r>
            <w:r w:rsidRPr="00DC5A3D">
              <w:rPr>
                <w:rFonts w:ascii="Times New Roman" w:hAnsi="Times New Roman" w:cs="Times New Roman"/>
                <w:sz w:val="20"/>
                <w:szCs w:val="20"/>
                <w:vertAlign w:val="subscript"/>
                <w:lang w:val="en-AU"/>
              </w:rPr>
              <w:t>20%SSB0</w:t>
            </w:r>
          </w:p>
        </w:tc>
        <w:tc>
          <w:tcPr>
            <w:tcW w:w="1890" w:type="dxa"/>
            <w:tcBorders>
              <w:top w:val="nil"/>
              <w:bottom w:val="single" w:sz="2" w:space="0" w:color="auto"/>
            </w:tcBorders>
            <w:shd w:val="clear" w:color="auto" w:fill="auto"/>
            <w:vAlign w:val="center"/>
          </w:tcPr>
          <w:p w14:paraId="5CF9C12A" w14:textId="77777777" w:rsidR="00C91950" w:rsidRPr="00DC5A3D" w:rsidRDefault="00C91950" w:rsidP="00C91950">
            <w:pPr>
              <w:adjustRightInd w:val="0"/>
              <w:snapToGrid w:val="0"/>
              <w:spacing w:after="0" w:line="240" w:lineRule="auto"/>
              <w:jc w:val="center"/>
              <w:rPr>
                <w:rFonts w:ascii="Times New Roman" w:hAnsi="Times New Roman" w:cs="Times New Roman"/>
                <w:sz w:val="20"/>
                <w:szCs w:val="20"/>
                <w:lang w:val="en-AU"/>
              </w:rPr>
            </w:pPr>
            <w:r w:rsidRPr="00DC5A3D">
              <w:rPr>
                <w:rFonts w:ascii="Times New Roman" w:hAnsi="Times New Roman" w:cs="Times New Roman"/>
                <w:sz w:val="20"/>
                <w:szCs w:val="20"/>
                <w:lang w:val="en-AU"/>
              </w:rPr>
              <w:t>23%</w:t>
            </w:r>
          </w:p>
        </w:tc>
      </w:tr>
    </w:tbl>
    <w:p w14:paraId="2E90C2CB" w14:textId="77777777" w:rsidR="00C91950" w:rsidRPr="00DC5A3D" w:rsidRDefault="00C91950" w:rsidP="00C91950">
      <w:pPr>
        <w:autoSpaceDE w:val="0"/>
        <w:autoSpaceDN w:val="0"/>
        <w:adjustRightInd w:val="0"/>
        <w:snapToGrid w:val="0"/>
        <w:spacing w:after="0" w:line="240" w:lineRule="auto"/>
        <w:jc w:val="both"/>
        <w:rPr>
          <w:rFonts w:ascii="Times New Roman" w:hAnsi="Times New Roman" w:cs="Times New Roman"/>
          <w:b/>
          <w:lang w:val="en-AU"/>
        </w:rPr>
      </w:pPr>
    </w:p>
    <w:p w14:paraId="028DB7CC" w14:textId="77777777" w:rsidR="00C91950" w:rsidRPr="00DC5A3D" w:rsidRDefault="00C91950" w:rsidP="00C91950">
      <w:pPr>
        <w:adjustRightInd w:val="0"/>
        <w:snapToGrid w:val="0"/>
        <w:spacing w:after="0" w:line="240" w:lineRule="auto"/>
        <w:rPr>
          <w:rFonts w:ascii="Times New Roman" w:hAnsi="Times New Roman" w:cs="Times New Roman"/>
          <w:b/>
          <w:lang w:val="en-AU"/>
        </w:rPr>
      </w:pPr>
      <w:r w:rsidRPr="00DC5A3D">
        <w:rPr>
          <w:rFonts w:ascii="Times New Roman" w:hAnsi="Times New Roman" w:cs="Times New Roman"/>
          <w:b/>
          <w:lang w:val="en-AU"/>
        </w:rPr>
        <w:br w:type="page"/>
      </w:r>
    </w:p>
    <w:p w14:paraId="11D0BC9E" w14:textId="77777777" w:rsidR="00C91950" w:rsidRPr="00DC5A3D" w:rsidRDefault="00C91950" w:rsidP="00C91950">
      <w:pPr>
        <w:autoSpaceDE w:val="0"/>
        <w:autoSpaceDN w:val="0"/>
        <w:adjustRightInd w:val="0"/>
        <w:snapToGrid w:val="0"/>
        <w:spacing w:after="0" w:line="240" w:lineRule="auto"/>
        <w:jc w:val="both"/>
        <w:rPr>
          <w:rFonts w:ascii="Times New Roman" w:hAnsi="Times New Roman" w:cs="Times New Roman"/>
          <w:lang w:val="en-AU"/>
        </w:rPr>
      </w:pPr>
      <w:r w:rsidRPr="00DC5A3D">
        <w:rPr>
          <w:rFonts w:ascii="Times New Roman" w:hAnsi="Times New Roman" w:cs="Times New Roman"/>
          <w:b/>
          <w:lang w:val="en-AU"/>
        </w:rPr>
        <w:lastRenderedPageBreak/>
        <w:t>Table PBUM-3</w:t>
      </w:r>
      <w:r w:rsidRPr="00DC5A3D">
        <w:rPr>
          <w:rFonts w:ascii="Times New Roman" w:hAnsi="Times New Roman" w:cs="Times New Roman"/>
          <w:bCs/>
          <w:lang w:val="en-AU"/>
        </w:rPr>
        <w:t xml:space="preserve">. </w:t>
      </w:r>
      <w:r w:rsidRPr="00DC5A3D">
        <w:rPr>
          <w:rFonts w:ascii="Times New Roman" w:hAnsi="Times New Roman" w:cs="Times New Roman"/>
          <w:lang w:val="en-AU"/>
        </w:rPr>
        <w:t xml:space="preserve">Projected median values of Pacific blue marlin spawning stock biomass (SSB, mt) and catch (mt) under four constant fishing mortality rate (F) scenarios during 2020-2029. </w:t>
      </w:r>
    </w:p>
    <w:tbl>
      <w:tblPr>
        <w:tblStyle w:val="PlainTable111"/>
        <w:tblW w:w="5000" w:type="pct"/>
        <w:tblBorders>
          <w:top w:val="none" w:sz="0" w:space="0" w:color="auto"/>
          <w:bottom w:val="none" w:sz="0" w:space="0" w:color="auto"/>
        </w:tblBorders>
        <w:tblLayout w:type="fixed"/>
        <w:tblLook w:val="04A0" w:firstRow="1" w:lastRow="0" w:firstColumn="1" w:lastColumn="0" w:noHBand="0" w:noVBand="1"/>
      </w:tblPr>
      <w:tblGrid>
        <w:gridCol w:w="1259"/>
        <w:gridCol w:w="810"/>
        <w:gridCol w:w="810"/>
        <w:gridCol w:w="810"/>
        <w:gridCol w:w="811"/>
        <w:gridCol w:w="809"/>
        <w:gridCol w:w="811"/>
        <w:gridCol w:w="809"/>
        <w:gridCol w:w="811"/>
        <w:gridCol w:w="811"/>
        <w:gridCol w:w="809"/>
      </w:tblGrid>
      <w:tr w:rsidR="00DC5A3D" w:rsidRPr="00DC5A3D" w14:paraId="2246B8C7" w14:textId="77777777" w:rsidTr="004B6C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pct"/>
            <w:tcBorders>
              <w:top w:val="single" w:sz="2" w:space="0" w:color="auto"/>
              <w:bottom w:val="single" w:sz="2" w:space="0" w:color="auto"/>
            </w:tcBorders>
            <w:noWrap/>
            <w:vAlign w:val="top"/>
            <w:hideMark/>
          </w:tcPr>
          <w:p w14:paraId="0FE0B306"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Year</w:t>
            </w:r>
          </w:p>
        </w:tc>
        <w:tc>
          <w:tcPr>
            <w:tcW w:w="433" w:type="pct"/>
            <w:tcBorders>
              <w:top w:val="single" w:sz="2" w:space="0" w:color="auto"/>
              <w:bottom w:val="single" w:sz="2" w:space="0" w:color="auto"/>
            </w:tcBorders>
            <w:noWrap/>
            <w:vAlign w:val="top"/>
            <w:hideMark/>
          </w:tcPr>
          <w:p w14:paraId="3A40AB72"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2020</w:t>
            </w:r>
          </w:p>
        </w:tc>
        <w:tc>
          <w:tcPr>
            <w:tcW w:w="433" w:type="pct"/>
            <w:tcBorders>
              <w:top w:val="single" w:sz="2" w:space="0" w:color="auto"/>
              <w:bottom w:val="single" w:sz="2" w:space="0" w:color="auto"/>
            </w:tcBorders>
            <w:noWrap/>
            <w:vAlign w:val="top"/>
            <w:hideMark/>
          </w:tcPr>
          <w:p w14:paraId="5DFE0C14"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2021</w:t>
            </w:r>
          </w:p>
        </w:tc>
        <w:tc>
          <w:tcPr>
            <w:tcW w:w="433" w:type="pct"/>
            <w:tcBorders>
              <w:top w:val="single" w:sz="2" w:space="0" w:color="auto"/>
              <w:bottom w:val="single" w:sz="2" w:space="0" w:color="auto"/>
            </w:tcBorders>
            <w:noWrap/>
            <w:vAlign w:val="top"/>
            <w:hideMark/>
          </w:tcPr>
          <w:p w14:paraId="76224908"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2022</w:t>
            </w:r>
          </w:p>
        </w:tc>
        <w:tc>
          <w:tcPr>
            <w:tcW w:w="433" w:type="pct"/>
            <w:tcBorders>
              <w:top w:val="single" w:sz="2" w:space="0" w:color="auto"/>
              <w:bottom w:val="single" w:sz="2" w:space="0" w:color="auto"/>
            </w:tcBorders>
            <w:noWrap/>
            <w:vAlign w:val="top"/>
            <w:hideMark/>
          </w:tcPr>
          <w:p w14:paraId="1C58BC15"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2023</w:t>
            </w:r>
          </w:p>
        </w:tc>
        <w:tc>
          <w:tcPr>
            <w:tcW w:w="432" w:type="pct"/>
            <w:tcBorders>
              <w:top w:val="single" w:sz="2" w:space="0" w:color="auto"/>
              <w:bottom w:val="single" w:sz="2" w:space="0" w:color="auto"/>
            </w:tcBorders>
            <w:noWrap/>
            <w:vAlign w:val="top"/>
            <w:hideMark/>
          </w:tcPr>
          <w:p w14:paraId="133434FE"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2024</w:t>
            </w:r>
          </w:p>
        </w:tc>
        <w:tc>
          <w:tcPr>
            <w:tcW w:w="433" w:type="pct"/>
            <w:tcBorders>
              <w:top w:val="single" w:sz="2" w:space="0" w:color="auto"/>
              <w:bottom w:val="single" w:sz="2" w:space="0" w:color="auto"/>
            </w:tcBorders>
            <w:noWrap/>
            <w:vAlign w:val="top"/>
            <w:hideMark/>
          </w:tcPr>
          <w:p w14:paraId="54E1B310"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2025</w:t>
            </w:r>
          </w:p>
        </w:tc>
        <w:tc>
          <w:tcPr>
            <w:tcW w:w="432" w:type="pct"/>
            <w:tcBorders>
              <w:top w:val="single" w:sz="2" w:space="0" w:color="auto"/>
              <w:bottom w:val="single" w:sz="2" w:space="0" w:color="auto"/>
            </w:tcBorders>
            <w:noWrap/>
            <w:vAlign w:val="top"/>
            <w:hideMark/>
          </w:tcPr>
          <w:p w14:paraId="719F4EE4"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2026</w:t>
            </w:r>
          </w:p>
        </w:tc>
        <w:tc>
          <w:tcPr>
            <w:tcW w:w="433" w:type="pct"/>
            <w:tcBorders>
              <w:top w:val="single" w:sz="2" w:space="0" w:color="auto"/>
              <w:bottom w:val="single" w:sz="2" w:space="0" w:color="auto"/>
            </w:tcBorders>
            <w:noWrap/>
            <w:vAlign w:val="top"/>
          </w:tcPr>
          <w:p w14:paraId="07A2781E"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2027</w:t>
            </w:r>
          </w:p>
        </w:tc>
        <w:tc>
          <w:tcPr>
            <w:tcW w:w="433" w:type="pct"/>
            <w:tcBorders>
              <w:top w:val="single" w:sz="2" w:space="0" w:color="auto"/>
              <w:bottom w:val="single" w:sz="2" w:space="0" w:color="auto"/>
            </w:tcBorders>
            <w:vAlign w:val="top"/>
          </w:tcPr>
          <w:p w14:paraId="7EE6D0F7"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2028</w:t>
            </w:r>
          </w:p>
        </w:tc>
        <w:tc>
          <w:tcPr>
            <w:tcW w:w="433" w:type="pct"/>
            <w:tcBorders>
              <w:top w:val="single" w:sz="2" w:space="0" w:color="auto"/>
              <w:bottom w:val="single" w:sz="2" w:space="0" w:color="auto"/>
            </w:tcBorders>
            <w:vAlign w:val="top"/>
          </w:tcPr>
          <w:p w14:paraId="77EB8B2A" w14:textId="77777777" w:rsidR="00C91950" w:rsidRPr="00DC5A3D" w:rsidRDefault="00C91950" w:rsidP="00C91950">
            <w:pPr>
              <w:autoSpaceDE w:val="0"/>
              <w:autoSpaceDN w:val="0"/>
              <w:adjustRightInd w:val="0"/>
              <w:snapToGrid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2029</w:t>
            </w:r>
          </w:p>
        </w:tc>
      </w:tr>
      <w:tr w:rsidR="00DC5A3D" w:rsidRPr="00DC5A3D" w14:paraId="3605E333" w14:textId="77777777" w:rsidTr="004B6CEE">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2" w:space="0" w:color="auto"/>
            </w:tcBorders>
            <w:noWrap/>
            <w:vAlign w:val="top"/>
            <w:hideMark/>
          </w:tcPr>
          <w:p w14:paraId="0E2B8123"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b/>
                <w:u w:val="single"/>
                <w:lang w:val="en-AU"/>
              </w:rPr>
            </w:pPr>
            <w:r w:rsidRPr="00DC5A3D">
              <w:rPr>
                <w:rFonts w:ascii="Times New Roman" w:hAnsi="Times New Roman"/>
                <w:b/>
                <w:u w:val="single"/>
                <w:lang w:val="en-AU"/>
              </w:rPr>
              <w:t>Scenario 1: F = F</w:t>
            </w:r>
            <w:r w:rsidRPr="00DC5A3D">
              <w:rPr>
                <w:rFonts w:ascii="Times New Roman" w:hAnsi="Times New Roman"/>
                <w:b/>
                <w:u w:val="single"/>
                <w:vertAlign w:val="subscript"/>
                <w:lang w:val="en-AU"/>
              </w:rPr>
              <w:t>2003-2005</w:t>
            </w:r>
          </w:p>
        </w:tc>
      </w:tr>
      <w:tr w:rsidR="00DC5A3D" w:rsidRPr="00DC5A3D" w14:paraId="12AD817B" w14:textId="77777777" w:rsidTr="004B6CEE">
        <w:tc>
          <w:tcPr>
            <w:cnfStyle w:val="001000000000" w:firstRow="0" w:lastRow="0" w:firstColumn="1" w:lastColumn="0" w:oddVBand="0" w:evenVBand="0" w:oddHBand="0" w:evenHBand="0" w:firstRowFirstColumn="0" w:firstRowLastColumn="0" w:lastRowFirstColumn="0" w:lastRowLastColumn="0"/>
            <w:tcW w:w="673" w:type="pct"/>
            <w:noWrap/>
            <w:vAlign w:val="top"/>
            <w:hideMark/>
          </w:tcPr>
          <w:p w14:paraId="1AE9D9F2"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SSB</w:t>
            </w:r>
          </w:p>
        </w:tc>
        <w:tc>
          <w:tcPr>
            <w:tcW w:w="433" w:type="pct"/>
            <w:noWrap/>
            <w:vAlign w:val="top"/>
          </w:tcPr>
          <w:p w14:paraId="185AD82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25,459 </w:t>
            </w:r>
          </w:p>
        </w:tc>
        <w:tc>
          <w:tcPr>
            <w:tcW w:w="433" w:type="pct"/>
            <w:noWrap/>
            <w:vAlign w:val="top"/>
          </w:tcPr>
          <w:p w14:paraId="702335B1"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23,462 </w:t>
            </w:r>
          </w:p>
        </w:tc>
        <w:tc>
          <w:tcPr>
            <w:tcW w:w="433" w:type="pct"/>
            <w:noWrap/>
            <w:vAlign w:val="top"/>
          </w:tcPr>
          <w:p w14:paraId="11CFCC3A"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21,752 </w:t>
            </w:r>
          </w:p>
        </w:tc>
        <w:tc>
          <w:tcPr>
            <w:tcW w:w="433" w:type="pct"/>
            <w:noWrap/>
            <w:vAlign w:val="top"/>
          </w:tcPr>
          <w:p w14:paraId="6BDA8989"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20,498 </w:t>
            </w:r>
          </w:p>
        </w:tc>
        <w:tc>
          <w:tcPr>
            <w:tcW w:w="432" w:type="pct"/>
            <w:noWrap/>
            <w:vAlign w:val="top"/>
          </w:tcPr>
          <w:p w14:paraId="39DB3D0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19,262 </w:t>
            </w:r>
          </w:p>
        </w:tc>
        <w:tc>
          <w:tcPr>
            <w:tcW w:w="433" w:type="pct"/>
            <w:noWrap/>
            <w:vAlign w:val="top"/>
          </w:tcPr>
          <w:p w14:paraId="2AC079D4"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18,689 </w:t>
            </w:r>
          </w:p>
        </w:tc>
        <w:tc>
          <w:tcPr>
            <w:tcW w:w="432" w:type="pct"/>
            <w:noWrap/>
            <w:vAlign w:val="top"/>
          </w:tcPr>
          <w:p w14:paraId="350E7669"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18,252 </w:t>
            </w:r>
          </w:p>
        </w:tc>
        <w:tc>
          <w:tcPr>
            <w:tcW w:w="433" w:type="pct"/>
            <w:noWrap/>
            <w:vAlign w:val="top"/>
          </w:tcPr>
          <w:p w14:paraId="06E15D0F"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17,835 </w:t>
            </w:r>
          </w:p>
        </w:tc>
        <w:tc>
          <w:tcPr>
            <w:tcW w:w="433" w:type="pct"/>
            <w:vAlign w:val="top"/>
          </w:tcPr>
          <w:p w14:paraId="0EBBC3CC"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17,583 </w:t>
            </w:r>
          </w:p>
        </w:tc>
        <w:tc>
          <w:tcPr>
            <w:tcW w:w="433" w:type="pct"/>
            <w:vAlign w:val="top"/>
          </w:tcPr>
          <w:p w14:paraId="54531730"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17,475 </w:t>
            </w:r>
          </w:p>
        </w:tc>
      </w:tr>
      <w:tr w:rsidR="00DC5A3D" w:rsidRPr="00DC5A3D" w14:paraId="1E53EE13" w14:textId="77777777" w:rsidTr="004B6CEE">
        <w:tc>
          <w:tcPr>
            <w:cnfStyle w:val="001000000000" w:firstRow="0" w:lastRow="0" w:firstColumn="1" w:lastColumn="0" w:oddVBand="0" w:evenVBand="0" w:oddHBand="0" w:evenHBand="0" w:firstRowFirstColumn="0" w:firstRowLastColumn="0" w:lastRowFirstColumn="0" w:lastRowLastColumn="0"/>
            <w:tcW w:w="673" w:type="pct"/>
            <w:noWrap/>
            <w:vAlign w:val="top"/>
            <w:hideMark/>
          </w:tcPr>
          <w:p w14:paraId="254CF485"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Catch</w:t>
            </w:r>
          </w:p>
        </w:tc>
        <w:tc>
          <w:tcPr>
            <w:tcW w:w="433" w:type="pct"/>
            <w:noWrap/>
            <w:vAlign w:val="top"/>
          </w:tcPr>
          <w:p w14:paraId="144D6BEF"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33,111 </w:t>
            </w:r>
          </w:p>
        </w:tc>
        <w:tc>
          <w:tcPr>
            <w:tcW w:w="433" w:type="pct"/>
            <w:noWrap/>
            <w:vAlign w:val="top"/>
          </w:tcPr>
          <w:p w14:paraId="79326C97"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30,527 </w:t>
            </w:r>
          </w:p>
        </w:tc>
        <w:tc>
          <w:tcPr>
            <w:tcW w:w="433" w:type="pct"/>
            <w:noWrap/>
            <w:vAlign w:val="top"/>
          </w:tcPr>
          <w:p w14:paraId="1E7CC29C"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28,638 </w:t>
            </w:r>
          </w:p>
        </w:tc>
        <w:tc>
          <w:tcPr>
            <w:tcW w:w="433" w:type="pct"/>
            <w:noWrap/>
            <w:vAlign w:val="top"/>
          </w:tcPr>
          <w:p w14:paraId="3342A7ED"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27,331 </w:t>
            </w:r>
          </w:p>
        </w:tc>
        <w:tc>
          <w:tcPr>
            <w:tcW w:w="432" w:type="pct"/>
            <w:noWrap/>
            <w:vAlign w:val="top"/>
          </w:tcPr>
          <w:p w14:paraId="1F30ECFE"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26,431 </w:t>
            </w:r>
          </w:p>
        </w:tc>
        <w:tc>
          <w:tcPr>
            <w:tcW w:w="433" w:type="pct"/>
            <w:noWrap/>
            <w:vAlign w:val="top"/>
          </w:tcPr>
          <w:p w14:paraId="33008119"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25,806 </w:t>
            </w:r>
          </w:p>
        </w:tc>
        <w:tc>
          <w:tcPr>
            <w:tcW w:w="432" w:type="pct"/>
            <w:noWrap/>
            <w:vAlign w:val="top"/>
          </w:tcPr>
          <w:p w14:paraId="3565781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25,363 </w:t>
            </w:r>
          </w:p>
        </w:tc>
        <w:tc>
          <w:tcPr>
            <w:tcW w:w="433" w:type="pct"/>
            <w:noWrap/>
            <w:vAlign w:val="top"/>
          </w:tcPr>
          <w:p w14:paraId="10BD0CA9"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25,044 </w:t>
            </w:r>
          </w:p>
        </w:tc>
        <w:tc>
          <w:tcPr>
            <w:tcW w:w="433" w:type="pct"/>
            <w:vAlign w:val="top"/>
          </w:tcPr>
          <w:p w14:paraId="3F9B5E00"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24,811 </w:t>
            </w:r>
          </w:p>
        </w:tc>
        <w:tc>
          <w:tcPr>
            <w:tcW w:w="433" w:type="pct"/>
            <w:vAlign w:val="top"/>
          </w:tcPr>
          <w:p w14:paraId="4671FF17"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24,641 </w:t>
            </w:r>
          </w:p>
        </w:tc>
      </w:tr>
      <w:tr w:rsidR="00DC5A3D" w:rsidRPr="00DC5A3D" w14:paraId="178110C6" w14:textId="77777777" w:rsidTr="004B6CEE">
        <w:tc>
          <w:tcPr>
            <w:cnfStyle w:val="001000000000" w:firstRow="0" w:lastRow="0" w:firstColumn="1" w:lastColumn="0" w:oddVBand="0" w:evenVBand="0" w:oddHBand="0" w:evenHBand="0" w:firstRowFirstColumn="0" w:firstRowLastColumn="0" w:lastRowFirstColumn="0" w:lastRowLastColumn="0"/>
            <w:tcW w:w="5000" w:type="pct"/>
            <w:gridSpan w:val="11"/>
            <w:noWrap/>
            <w:vAlign w:val="top"/>
            <w:hideMark/>
          </w:tcPr>
          <w:p w14:paraId="14E104C7"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b/>
                <w:u w:val="single"/>
                <w:vertAlign w:val="subscript"/>
                <w:lang w:val="en-AU"/>
              </w:rPr>
            </w:pPr>
            <w:r w:rsidRPr="00DC5A3D">
              <w:rPr>
                <w:rFonts w:ascii="Times New Roman" w:hAnsi="Times New Roman"/>
                <w:b/>
                <w:u w:val="single"/>
                <w:lang w:val="en-AU"/>
              </w:rPr>
              <w:t>Scenario 2: F = F</w:t>
            </w:r>
            <w:r w:rsidRPr="00DC5A3D">
              <w:rPr>
                <w:rFonts w:ascii="Times New Roman" w:hAnsi="Times New Roman"/>
                <w:b/>
                <w:u w:val="single"/>
                <w:vertAlign w:val="subscript"/>
                <w:lang w:val="en-AU"/>
              </w:rPr>
              <w:t>MSY</w:t>
            </w:r>
          </w:p>
        </w:tc>
      </w:tr>
      <w:tr w:rsidR="00DC5A3D" w:rsidRPr="00DC5A3D" w14:paraId="793C8B72" w14:textId="77777777" w:rsidTr="004B6CEE">
        <w:tc>
          <w:tcPr>
            <w:cnfStyle w:val="001000000000" w:firstRow="0" w:lastRow="0" w:firstColumn="1" w:lastColumn="0" w:oddVBand="0" w:evenVBand="0" w:oddHBand="0" w:evenHBand="0" w:firstRowFirstColumn="0" w:firstRowLastColumn="0" w:lastRowFirstColumn="0" w:lastRowLastColumn="0"/>
            <w:tcW w:w="673" w:type="pct"/>
            <w:noWrap/>
            <w:vAlign w:val="top"/>
            <w:hideMark/>
          </w:tcPr>
          <w:p w14:paraId="4D6D4489"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SSB</w:t>
            </w:r>
          </w:p>
        </w:tc>
        <w:tc>
          <w:tcPr>
            <w:tcW w:w="433" w:type="pct"/>
            <w:noWrap/>
            <w:vAlign w:val="top"/>
          </w:tcPr>
          <w:p w14:paraId="73EB15FB"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25,318 </w:t>
            </w:r>
          </w:p>
        </w:tc>
        <w:tc>
          <w:tcPr>
            <w:tcW w:w="433" w:type="pct"/>
            <w:noWrap/>
            <w:vAlign w:val="top"/>
          </w:tcPr>
          <w:p w14:paraId="1CB732B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23,351 </w:t>
            </w:r>
          </w:p>
        </w:tc>
        <w:tc>
          <w:tcPr>
            <w:tcW w:w="433" w:type="pct"/>
            <w:noWrap/>
            <w:vAlign w:val="top"/>
          </w:tcPr>
          <w:p w14:paraId="3B20C1E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21,583 </w:t>
            </w:r>
          </w:p>
        </w:tc>
        <w:tc>
          <w:tcPr>
            <w:tcW w:w="433" w:type="pct"/>
            <w:noWrap/>
            <w:vAlign w:val="top"/>
          </w:tcPr>
          <w:p w14:paraId="72BAF887"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20,255 </w:t>
            </w:r>
          </w:p>
        </w:tc>
        <w:tc>
          <w:tcPr>
            <w:tcW w:w="432" w:type="pct"/>
            <w:noWrap/>
            <w:vAlign w:val="top"/>
          </w:tcPr>
          <w:p w14:paraId="09DD55CC"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19,216 </w:t>
            </w:r>
          </w:p>
        </w:tc>
        <w:tc>
          <w:tcPr>
            <w:tcW w:w="433" w:type="pct"/>
            <w:noWrap/>
            <w:vAlign w:val="top"/>
          </w:tcPr>
          <w:p w14:paraId="0B31253D"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18,405 </w:t>
            </w:r>
          </w:p>
        </w:tc>
        <w:tc>
          <w:tcPr>
            <w:tcW w:w="432" w:type="pct"/>
            <w:noWrap/>
            <w:vAlign w:val="top"/>
          </w:tcPr>
          <w:p w14:paraId="776E5C7D"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18,186 </w:t>
            </w:r>
          </w:p>
        </w:tc>
        <w:tc>
          <w:tcPr>
            <w:tcW w:w="433" w:type="pct"/>
            <w:noWrap/>
            <w:vAlign w:val="top"/>
          </w:tcPr>
          <w:p w14:paraId="5FDF249D"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17,809 </w:t>
            </w:r>
          </w:p>
        </w:tc>
        <w:tc>
          <w:tcPr>
            <w:tcW w:w="433" w:type="pct"/>
            <w:vAlign w:val="top"/>
          </w:tcPr>
          <w:p w14:paraId="0E8C88F5"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17,513 </w:t>
            </w:r>
          </w:p>
        </w:tc>
        <w:tc>
          <w:tcPr>
            <w:tcW w:w="433" w:type="pct"/>
            <w:vAlign w:val="top"/>
          </w:tcPr>
          <w:p w14:paraId="406EE46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17,466 </w:t>
            </w:r>
          </w:p>
        </w:tc>
      </w:tr>
      <w:tr w:rsidR="00DC5A3D" w:rsidRPr="00DC5A3D" w14:paraId="2E98DFDF" w14:textId="77777777" w:rsidTr="004B6CEE">
        <w:tc>
          <w:tcPr>
            <w:cnfStyle w:val="001000000000" w:firstRow="0" w:lastRow="0" w:firstColumn="1" w:lastColumn="0" w:oddVBand="0" w:evenVBand="0" w:oddHBand="0" w:evenHBand="0" w:firstRowFirstColumn="0" w:firstRowLastColumn="0" w:lastRowFirstColumn="0" w:lastRowLastColumn="0"/>
            <w:tcW w:w="673" w:type="pct"/>
            <w:noWrap/>
            <w:vAlign w:val="top"/>
            <w:hideMark/>
          </w:tcPr>
          <w:p w14:paraId="22BE7A52"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Catch</w:t>
            </w:r>
          </w:p>
        </w:tc>
        <w:tc>
          <w:tcPr>
            <w:tcW w:w="433" w:type="pct"/>
            <w:noWrap/>
            <w:vAlign w:val="top"/>
          </w:tcPr>
          <w:p w14:paraId="0067507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32,875 </w:t>
            </w:r>
          </w:p>
        </w:tc>
        <w:tc>
          <w:tcPr>
            <w:tcW w:w="433" w:type="pct"/>
            <w:noWrap/>
            <w:vAlign w:val="top"/>
          </w:tcPr>
          <w:p w14:paraId="1686B34F"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30,436 </w:t>
            </w:r>
          </w:p>
        </w:tc>
        <w:tc>
          <w:tcPr>
            <w:tcW w:w="433" w:type="pct"/>
            <w:noWrap/>
            <w:vAlign w:val="top"/>
          </w:tcPr>
          <w:p w14:paraId="48999B84"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28,662 </w:t>
            </w:r>
          </w:p>
        </w:tc>
        <w:tc>
          <w:tcPr>
            <w:tcW w:w="433" w:type="pct"/>
            <w:noWrap/>
            <w:vAlign w:val="top"/>
          </w:tcPr>
          <w:p w14:paraId="47EFF98A"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27,439 </w:t>
            </w:r>
          </w:p>
        </w:tc>
        <w:tc>
          <w:tcPr>
            <w:tcW w:w="432" w:type="pct"/>
            <w:noWrap/>
            <w:vAlign w:val="top"/>
          </w:tcPr>
          <w:p w14:paraId="5C450656"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26,606 </w:t>
            </w:r>
          </w:p>
        </w:tc>
        <w:tc>
          <w:tcPr>
            <w:tcW w:w="433" w:type="pct"/>
            <w:noWrap/>
            <w:vAlign w:val="top"/>
          </w:tcPr>
          <w:p w14:paraId="5F10FDF6"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26,037 </w:t>
            </w:r>
          </w:p>
        </w:tc>
        <w:tc>
          <w:tcPr>
            <w:tcW w:w="432" w:type="pct"/>
            <w:noWrap/>
            <w:vAlign w:val="top"/>
          </w:tcPr>
          <w:p w14:paraId="29EBB5B6"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25,645 </w:t>
            </w:r>
          </w:p>
        </w:tc>
        <w:tc>
          <w:tcPr>
            <w:tcW w:w="433" w:type="pct"/>
            <w:noWrap/>
            <w:vAlign w:val="top"/>
          </w:tcPr>
          <w:p w14:paraId="52A6DDCF"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25,370 </w:t>
            </w:r>
          </w:p>
        </w:tc>
        <w:tc>
          <w:tcPr>
            <w:tcW w:w="433" w:type="pct"/>
            <w:vAlign w:val="top"/>
          </w:tcPr>
          <w:p w14:paraId="66982E1B"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25,177 </w:t>
            </w:r>
          </w:p>
        </w:tc>
        <w:tc>
          <w:tcPr>
            <w:tcW w:w="433" w:type="pct"/>
            <w:vAlign w:val="top"/>
          </w:tcPr>
          <w:p w14:paraId="772DAED4"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25,039 </w:t>
            </w:r>
          </w:p>
        </w:tc>
      </w:tr>
      <w:tr w:rsidR="00DC5A3D" w:rsidRPr="00DC5A3D" w14:paraId="29D2E97E" w14:textId="77777777" w:rsidTr="004B6CEE">
        <w:tc>
          <w:tcPr>
            <w:cnfStyle w:val="001000000000" w:firstRow="0" w:lastRow="0" w:firstColumn="1" w:lastColumn="0" w:oddVBand="0" w:evenVBand="0" w:oddHBand="0" w:evenHBand="0" w:firstRowFirstColumn="0" w:firstRowLastColumn="0" w:lastRowFirstColumn="0" w:lastRowLastColumn="0"/>
            <w:tcW w:w="5000" w:type="pct"/>
            <w:gridSpan w:val="11"/>
            <w:noWrap/>
            <w:vAlign w:val="top"/>
            <w:hideMark/>
          </w:tcPr>
          <w:p w14:paraId="39D1345F"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b/>
                <w:u w:val="single"/>
                <w:vertAlign w:val="subscript"/>
                <w:lang w:val="en-AU"/>
              </w:rPr>
            </w:pPr>
            <w:r w:rsidRPr="00DC5A3D">
              <w:rPr>
                <w:rFonts w:ascii="Times New Roman" w:hAnsi="Times New Roman"/>
                <w:b/>
                <w:u w:val="single"/>
                <w:lang w:val="en-AU"/>
              </w:rPr>
              <w:t>Scenario 3: F = F</w:t>
            </w:r>
            <w:r w:rsidRPr="00DC5A3D">
              <w:rPr>
                <w:rFonts w:ascii="Times New Roman" w:hAnsi="Times New Roman"/>
                <w:b/>
                <w:u w:val="single"/>
                <w:vertAlign w:val="subscript"/>
                <w:lang w:val="en-AU"/>
              </w:rPr>
              <w:t>2016-2018</w:t>
            </w:r>
          </w:p>
        </w:tc>
      </w:tr>
      <w:tr w:rsidR="00DC5A3D" w:rsidRPr="00DC5A3D" w14:paraId="2D0FC627" w14:textId="77777777" w:rsidTr="004B6CEE">
        <w:tc>
          <w:tcPr>
            <w:cnfStyle w:val="001000000000" w:firstRow="0" w:lastRow="0" w:firstColumn="1" w:lastColumn="0" w:oddVBand="0" w:evenVBand="0" w:oddHBand="0" w:evenHBand="0" w:firstRowFirstColumn="0" w:firstRowLastColumn="0" w:lastRowFirstColumn="0" w:lastRowLastColumn="0"/>
            <w:tcW w:w="673" w:type="pct"/>
            <w:noWrap/>
            <w:vAlign w:val="top"/>
            <w:hideMark/>
          </w:tcPr>
          <w:p w14:paraId="1B545D78"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SSB</w:t>
            </w:r>
          </w:p>
        </w:tc>
        <w:tc>
          <w:tcPr>
            <w:tcW w:w="433" w:type="pct"/>
            <w:noWrap/>
            <w:vAlign w:val="top"/>
          </w:tcPr>
          <w:p w14:paraId="0E927E24"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26,930 </w:t>
            </w:r>
          </w:p>
        </w:tc>
        <w:tc>
          <w:tcPr>
            <w:tcW w:w="433" w:type="pct"/>
            <w:noWrap/>
            <w:vAlign w:val="top"/>
          </w:tcPr>
          <w:p w14:paraId="24FDF1BD"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28,182 </w:t>
            </w:r>
          </w:p>
        </w:tc>
        <w:tc>
          <w:tcPr>
            <w:tcW w:w="433" w:type="pct"/>
            <w:noWrap/>
            <w:vAlign w:val="top"/>
          </w:tcPr>
          <w:p w14:paraId="3D2F9E27"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28,764 </w:t>
            </w:r>
          </w:p>
        </w:tc>
        <w:tc>
          <w:tcPr>
            <w:tcW w:w="433" w:type="pct"/>
            <w:noWrap/>
            <w:vAlign w:val="top"/>
          </w:tcPr>
          <w:p w14:paraId="66D30460"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28,675 </w:t>
            </w:r>
          </w:p>
        </w:tc>
        <w:tc>
          <w:tcPr>
            <w:tcW w:w="432" w:type="pct"/>
            <w:noWrap/>
            <w:vAlign w:val="top"/>
          </w:tcPr>
          <w:p w14:paraId="485BB84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28,428 </w:t>
            </w:r>
          </w:p>
        </w:tc>
        <w:tc>
          <w:tcPr>
            <w:tcW w:w="433" w:type="pct"/>
            <w:noWrap/>
            <w:vAlign w:val="top"/>
          </w:tcPr>
          <w:p w14:paraId="01B9811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28,731 </w:t>
            </w:r>
          </w:p>
        </w:tc>
        <w:tc>
          <w:tcPr>
            <w:tcW w:w="432" w:type="pct"/>
            <w:noWrap/>
            <w:vAlign w:val="top"/>
          </w:tcPr>
          <w:p w14:paraId="449A2E84"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28,052 </w:t>
            </w:r>
          </w:p>
        </w:tc>
        <w:tc>
          <w:tcPr>
            <w:tcW w:w="433" w:type="pct"/>
            <w:noWrap/>
            <w:vAlign w:val="top"/>
          </w:tcPr>
          <w:p w14:paraId="69F74BA7"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28,142 </w:t>
            </w:r>
          </w:p>
        </w:tc>
        <w:tc>
          <w:tcPr>
            <w:tcW w:w="433" w:type="pct"/>
            <w:vAlign w:val="top"/>
          </w:tcPr>
          <w:p w14:paraId="4F1E445F"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27,861 </w:t>
            </w:r>
          </w:p>
        </w:tc>
        <w:tc>
          <w:tcPr>
            <w:tcW w:w="433" w:type="pct"/>
            <w:vAlign w:val="top"/>
          </w:tcPr>
          <w:p w14:paraId="5731D045"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28,081 </w:t>
            </w:r>
          </w:p>
        </w:tc>
      </w:tr>
      <w:tr w:rsidR="00DC5A3D" w:rsidRPr="00DC5A3D" w14:paraId="5CFAFF7A" w14:textId="77777777" w:rsidTr="004B6CEE">
        <w:tc>
          <w:tcPr>
            <w:cnfStyle w:val="001000000000" w:firstRow="0" w:lastRow="0" w:firstColumn="1" w:lastColumn="0" w:oddVBand="0" w:evenVBand="0" w:oddHBand="0" w:evenHBand="0" w:firstRowFirstColumn="0" w:firstRowLastColumn="0" w:lastRowFirstColumn="0" w:lastRowLastColumn="0"/>
            <w:tcW w:w="673" w:type="pct"/>
            <w:noWrap/>
            <w:vAlign w:val="top"/>
            <w:hideMark/>
          </w:tcPr>
          <w:p w14:paraId="51318CE6"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Catch</w:t>
            </w:r>
          </w:p>
        </w:tc>
        <w:tc>
          <w:tcPr>
            <w:tcW w:w="433" w:type="pct"/>
            <w:noWrap/>
            <w:vAlign w:val="top"/>
          </w:tcPr>
          <w:p w14:paraId="74F73F60"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23,321 </w:t>
            </w:r>
          </w:p>
        </w:tc>
        <w:tc>
          <w:tcPr>
            <w:tcW w:w="433" w:type="pct"/>
            <w:noWrap/>
            <w:vAlign w:val="top"/>
          </w:tcPr>
          <w:p w14:paraId="4C472E5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23,546 </w:t>
            </w:r>
          </w:p>
        </w:tc>
        <w:tc>
          <w:tcPr>
            <w:tcW w:w="433" w:type="pct"/>
            <w:noWrap/>
            <w:vAlign w:val="top"/>
          </w:tcPr>
          <w:p w14:paraId="61C90815"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23,591 </w:t>
            </w:r>
          </w:p>
        </w:tc>
        <w:tc>
          <w:tcPr>
            <w:tcW w:w="433" w:type="pct"/>
            <w:noWrap/>
            <w:vAlign w:val="top"/>
          </w:tcPr>
          <w:p w14:paraId="7847F6FA"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23,561 </w:t>
            </w:r>
          </w:p>
        </w:tc>
        <w:tc>
          <w:tcPr>
            <w:tcW w:w="432" w:type="pct"/>
            <w:noWrap/>
            <w:vAlign w:val="top"/>
          </w:tcPr>
          <w:p w14:paraId="7BDABD7E"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23,513 </w:t>
            </w:r>
          </w:p>
        </w:tc>
        <w:tc>
          <w:tcPr>
            <w:tcW w:w="433" w:type="pct"/>
            <w:noWrap/>
            <w:vAlign w:val="top"/>
          </w:tcPr>
          <w:p w14:paraId="11A4818A"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23,472 </w:t>
            </w:r>
          </w:p>
        </w:tc>
        <w:tc>
          <w:tcPr>
            <w:tcW w:w="432" w:type="pct"/>
            <w:noWrap/>
            <w:vAlign w:val="top"/>
          </w:tcPr>
          <w:p w14:paraId="6F0A3ADC"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23,443 </w:t>
            </w:r>
          </w:p>
        </w:tc>
        <w:tc>
          <w:tcPr>
            <w:tcW w:w="433" w:type="pct"/>
            <w:noWrap/>
            <w:vAlign w:val="top"/>
          </w:tcPr>
          <w:p w14:paraId="7680FECF"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23,422 </w:t>
            </w:r>
          </w:p>
        </w:tc>
        <w:tc>
          <w:tcPr>
            <w:tcW w:w="433" w:type="pct"/>
            <w:vAlign w:val="top"/>
          </w:tcPr>
          <w:p w14:paraId="4DBC32D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23,407 </w:t>
            </w:r>
          </w:p>
        </w:tc>
        <w:tc>
          <w:tcPr>
            <w:tcW w:w="433" w:type="pct"/>
            <w:vAlign w:val="top"/>
          </w:tcPr>
          <w:p w14:paraId="47F6AA95"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23,397 </w:t>
            </w:r>
          </w:p>
        </w:tc>
      </w:tr>
      <w:tr w:rsidR="00DC5A3D" w:rsidRPr="00DC5A3D" w14:paraId="26FCADF6" w14:textId="77777777" w:rsidTr="004B6CEE">
        <w:tc>
          <w:tcPr>
            <w:cnfStyle w:val="001000000000" w:firstRow="0" w:lastRow="0" w:firstColumn="1" w:lastColumn="0" w:oddVBand="0" w:evenVBand="0" w:oddHBand="0" w:evenHBand="0" w:firstRowFirstColumn="0" w:firstRowLastColumn="0" w:lastRowFirstColumn="0" w:lastRowLastColumn="0"/>
            <w:tcW w:w="5000" w:type="pct"/>
            <w:gridSpan w:val="11"/>
            <w:noWrap/>
            <w:vAlign w:val="top"/>
            <w:hideMark/>
          </w:tcPr>
          <w:p w14:paraId="2427D3FF"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b/>
                <w:u w:val="single"/>
                <w:lang w:val="en-AU"/>
              </w:rPr>
            </w:pPr>
            <w:r w:rsidRPr="00DC5A3D">
              <w:rPr>
                <w:rFonts w:ascii="Times New Roman" w:hAnsi="Times New Roman"/>
                <w:b/>
                <w:u w:val="single"/>
                <w:lang w:val="en-AU"/>
              </w:rPr>
              <w:t>Scenario 4: F = F</w:t>
            </w:r>
            <w:r w:rsidRPr="00DC5A3D">
              <w:rPr>
                <w:rFonts w:ascii="Times New Roman" w:hAnsi="Times New Roman"/>
                <w:b/>
                <w:u w:val="single"/>
                <w:vertAlign w:val="subscript"/>
                <w:lang w:val="en-AU"/>
              </w:rPr>
              <w:t>30%</w:t>
            </w:r>
          </w:p>
        </w:tc>
      </w:tr>
      <w:tr w:rsidR="00DC5A3D" w:rsidRPr="00DC5A3D" w14:paraId="571F4CA1" w14:textId="77777777" w:rsidTr="004B6CEE">
        <w:tc>
          <w:tcPr>
            <w:cnfStyle w:val="001000000000" w:firstRow="0" w:lastRow="0" w:firstColumn="1" w:lastColumn="0" w:oddVBand="0" w:evenVBand="0" w:oddHBand="0" w:evenHBand="0" w:firstRowFirstColumn="0" w:firstRowLastColumn="0" w:lastRowFirstColumn="0" w:lastRowLastColumn="0"/>
            <w:tcW w:w="673" w:type="pct"/>
            <w:noWrap/>
            <w:vAlign w:val="top"/>
            <w:hideMark/>
          </w:tcPr>
          <w:p w14:paraId="46AA856B"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SSB</w:t>
            </w:r>
          </w:p>
        </w:tc>
        <w:tc>
          <w:tcPr>
            <w:tcW w:w="433" w:type="pct"/>
            <w:noWrap/>
            <w:vAlign w:val="top"/>
          </w:tcPr>
          <w:p w14:paraId="16CD258D"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27,757 </w:t>
            </w:r>
          </w:p>
        </w:tc>
        <w:tc>
          <w:tcPr>
            <w:tcW w:w="433" w:type="pct"/>
            <w:noWrap/>
            <w:vAlign w:val="top"/>
          </w:tcPr>
          <w:p w14:paraId="5726573B"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30,064 </w:t>
            </w:r>
          </w:p>
        </w:tc>
        <w:tc>
          <w:tcPr>
            <w:tcW w:w="433" w:type="pct"/>
            <w:noWrap/>
            <w:vAlign w:val="top"/>
          </w:tcPr>
          <w:p w14:paraId="74ED576F"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30,624 </w:t>
            </w:r>
          </w:p>
        </w:tc>
        <w:tc>
          <w:tcPr>
            <w:tcW w:w="433" w:type="pct"/>
            <w:noWrap/>
            <w:vAlign w:val="top"/>
          </w:tcPr>
          <w:p w14:paraId="504037D5"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30,976 </w:t>
            </w:r>
          </w:p>
        </w:tc>
        <w:tc>
          <w:tcPr>
            <w:tcW w:w="432" w:type="pct"/>
            <w:noWrap/>
            <w:vAlign w:val="top"/>
          </w:tcPr>
          <w:p w14:paraId="4AAABF9E"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31,072 </w:t>
            </w:r>
          </w:p>
        </w:tc>
        <w:tc>
          <w:tcPr>
            <w:tcW w:w="433" w:type="pct"/>
            <w:noWrap/>
            <w:vAlign w:val="top"/>
          </w:tcPr>
          <w:p w14:paraId="1385F70E"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31,624 </w:t>
            </w:r>
          </w:p>
        </w:tc>
        <w:tc>
          <w:tcPr>
            <w:tcW w:w="432" w:type="pct"/>
            <w:noWrap/>
            <w:vAlign w:val="top"/>
          </w:tcPr>
          <w:p w14:paraId="156381B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31,415 </w:t>
            </w:r>
          </w:p>
        </w:tc>
        <w:tc>
          <w:tcPr>
            <w:tcW w:w="433" w:type="pct"/>
            <w:noWrap/>
            <w:vAlign w:val="top"/>
            <w:hideMark/>
          </w:tcPr>
          <w:p w14:paraId="25743B1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31,800 </w:t>
            </w:r>
          </w:p>
        </w:tc>
        <w:tc>
          <w:tcPr>
            <w:tcW w:w="433" w:type="pct"/>
            <w:vAlign w:val="top"/>
          </w:tcPr>
          <w:p w14:paraId="770B0976"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31,753 </w:t>
            </w:r>
          </w:p>
        </w:tc>
        <w:tc>
          <w:tcPr>
            <w:tcW w:w="433" w:type="pct"/>
            <w:vAlign w:val="top"/>
          </w:tcPr>
          <w:p w14:paraId="7D76F19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32,132 </w:t>
            </w:r>
          </w:p>
        </w:tc>
      </w:tr>
      <w:tr w:rsidR="00DC5A3D" w:rsidRPr="00DC5A3D" w14:paraId="5E23F4B2" w14:textId="77777777" w:rsidTr="004B6CEE">
        <w:tc>
          <w:tcPr>
            <w:cnfStyle w:val="001000000000" w:firstRow="0" w:lastRow="0" w:firstColumn="1" w:lastColumn="0" w:oddVBand="0" w:evenVBand="0" w:oddHBand="0" w:evenHBand="0" w:firstRowFirstColumn="0" w:firstRowLastColumn="0" w:lastRowFirstColumn="0" w:lastRowLastColumn="0"/>
            <w:tcW w:w="673" w:type="pct"/>
            <w:tcBorders>
              <w:bottom w:val="single" w:sz="2" w:space="0" w:color="auto"/>
            </w:tcBorders>
            <w:noWrap/>
            <w:vAlign w:val="top"/>
            <w:hideMark/>
          </w:tcPr>
          <w:p w14:paraId="66CB926E" w14:textId="77777777" w:rsidR="00C91950" w:rsidRPr="00DC5A3D" w:rsidRDefault="00C91950" w:rsidP="00C91950">
            <w:pPr>
              <w:autoSpaceDE w:val="0"/>
              <w:autoSpaceDN w:val="0"/>
              <w:adjustRightInd w:val="0"/>
              <w:snapToGrid w:val="0"/>
              <w:spacing w:before="0" w:beforeAutospacing="0" w:after="0" w:afterAutospacing="0"/>
              <w:jc w:val="both"/>
              <w:rPr>
                <w:rFonts w:ascii="Times New Roman" w:hAnsi="Times New Roman"/>
                <w:lang w:val="en-AU"/>
              </w:rPr>
            </w:pPr>
            <w:r w:rsidRPr="00DC5A3D">
              <w:rPr>
                <w:rFonts w:ascii="Times New Roman" w:hAnsi="Times New Roman"/>
                <w:lang w:val="en-AU"/>
              </w:rPr>
              <w:t>Catch</w:t>
            </w:r>
          </w:p>
        </w:tc>
        <w:tc>
          <w:tcPr>
            <w:tcW w:w="433" w:type="pct"/>
            <w:tcBorders>
              <w:bottom w:val="single" w:sz="2" w:space="0" w:color="auto"/>
            </w:tcBorders>
            <w:noWrap/>
            <w:vAlign w:val="top"/>
          </w:tcPr>
          <w:p w14:paraId="2ABD6CEA"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20,828 </w:t>
            </w:r>
          </w:p>
        </w:tc>
        <w:tc>
          <w:tcPr>
            <w:tcW w:w="433" w:type="pct"/>
            <w:tcBorders>
              <w:bottom w:val="single" w:sz="2" w:space="0" w:color="auto"/>
            </w:tcBorders>
            <w:noWrap/>
            <w:vAlign w:val="top"/>
          </w:tcPr>
          <w:p w14:paraId="4008168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21,404 </w:t>
            </w:r>
          </w:p>
        </w:tc>
        <w:tc>
          <w:tcPr>
            <w:tcW w:w="433" w:type="pct"/>
            <w:tcBorders>
              <w:bottom w:val="single" w:sz="2" w:space="0" w:color="auto"/>
            </w:tcBorders>
            <w:noWrap/>
            <w:vAlign w:val="top"/>
          </w:tcPr>
          <w:p w14:paraId="115480B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21,764 </w:t>
            </w:r>
          </w:p>
        </w:tc>
        <w:tc>
          <w:tcPr>
            <w:tcW w:w="433" w:type="pct"/>
            <w:tcBorders>
              <w:bottom w:val="single" w:sz="2" w:space="0" w:color="auto"/>
            </w:tcBorders>
            <w:noWrap/>
            <w:vAlign w:val="top"/>
          </w:tcPr>
          <w:p w14:paraId="71DA1616"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22,001 </w:t>
            </w:r>
          </w:p>
        </w:tc>
        <w:tc>
          <w:tcPr>
            <w:tcW w:w="432" w:type="pct"/>
            <w:tcBorders>
              <w:bottom w:val="single" w:sz="2" w:space="0" w:color="auto"/>
            </w:tcBorders>
            <w:noWrap/>
            <w:vAlign w:val="top"/>
          </w:tcPr>
          <w:p w14:paraId="568E39A2"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22,167 </w:t>
            </w:r>
          </w:p>
        </w:tc>
        <w:tc>
          <w:tcPr>
            <w:tcW w:w="433" w:type="pct"/>
            <w:tcBorders>
              <w:bottom w:val="single" w:sz="2" w:space="0" w:color="auto"/>
            </w:tcBorders>
            <w:noWrap/>
            <w:vAlign w:val="top"/>
          </w:tcPr>
          <w:p w14:paraId="2945EE92"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22,294 </w:t>
            </w:r>
          </w:p>
        </w:tc>
        <w:tc>
          <w:tcPr>
            <w:tcW w:w="432" w:type="pct"/>
            <w:tcBorders>
              <w:bottom w:val="single" w:sz="2" w:space="0" w:color="auto"/>
            </w:tcBorders>
            <w:noWrap/>
            <w:vAlign w:val="top"/>
          </w:tcPr>
          <w:p w14:paraId="7ADE0E08"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22,393 </w:t>
            </w:r>
          </w:p>
        </w:tc>
        <w:tc>
          <w:tcPr>
            <w:tcW w:w="433" w:type="pct"/>
            <w:tcBorders>
              <w:bottom w:val="single" w:sz="2" w:space="0" w:color="auto"/>
            </w:tcBorders>
            <w:noWrap/>
            <w:vAlign w:val="top"/>
            <w:hideMark/>
          </w:tcPr>
          <w:p w14:paraId="33CD558C"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22,471 </w:t>
            </w:r>
          </w:p>
        </w:tc>
        <w:tc>
          <w:tcPr>
            <w:tcW w:w="433" w:type="pct"/>
            <w:tcBorders>
              <w:bottom w:val="single" w:sz="2" w:space="0" w:color="auto"/>
            </w:tcBorders>
            <w:vAlign w:val="top"/>
          </w:tcPr>
          <w:p w14:paraId="6757B373"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22,532 </w:t>
            </w:r>
          </w:p>
        </w:tc>
        <w:tc>
          <w:tcPr>
            <w:tcW w:w="433" w:type="pct"/>
            <w:tcBorders>
              <w:bottom w:val="single" w:sz="2" w:space="0" w:color="auto"/>
            </w:tcBorders>
            <w:vAlign w:val="top"/>
          </w:tcPr>
          <w:p w14:paraId="2A8C2995" w14:textId="77777777" w:rsidR="00C91950" w:rsidRPr="00DC5A3D" w:rsidRDefault="00C91950" w:rsidP="00C91950">
            <w:pPr>
              <w:autoSpaceDE w:val="0"/>
              <w:autoSpaceDN w:val="0"/>
              <w:adjustRightInd w:val="0"/>
              <w:snapToGrid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AU"/>
              </w:rPr>
            </w:pPr>
            <w:r w:rsidRPr="00DC5A3D">
              <w:rPr>
                <w:rFonts w:ascii="Times New Roman" w:hAnsi="Times New Roman"/>
                <w:lang w:val="en-AU"/>
              </w:rPr>
              <w:t xml:space="preserve">22,580 </w:t>
            </w:r>
          </w:p>
        </w:tc>
      </w:tr>
    </w:tbl>
    <w:p w14:paraId="246F3A04" w14:textId="77777777" w:rsidR="00C91950" w:rsidRPr="00DC5A3D" w:rsidRDefault="00C91950" w:rsidP="00C91950">
      <w:pPr>
        <w:adjustRightInd w:val="0"/>
        <w:snapToGrid w:val="0"/>
        <w:spacing w:after="0" w:line="240" w:lineRule="auto"/>
        <w:jc w:val="both"/>
        <w:rPr>
          <w:rFonts w:ascii="Times New Roman" w:hAnsi="Times New Roman" w:cs="Times New Roman"/>
          <w:lang w:val="en-AU" w:eastAsia="ko-KR"/>
        </w:rPr>
      </w:pPr>
    </w:p>
    <w:p w14:paraId="5A116DC3" w14:textId="77777777" w:rsidR="00C91950" w:rsidRPr="00DC5A3D" w:rsidRDefault="00C91950" w:rsidP="00C91950">
      <w:pPr>
        <w:adjustRightInd w:val="0"/>
        <w:snapToGrid w:val="0"/>
        <w:spacing w:after="0" w:line="240" w:lineRule="auto"/>
        <w:jc w:val="center"/>
        <w:rPr>
          <w:rFonts w:ascii="Times New Roman" w:hAnsi="Times New Roman" w:cs="Times New Roman"/>
          <w:lang w:val="en-AU" w:eastAsia="ko-KR"/>
        </w:rPr>
      </w:pPr>
      <w:r w:rsidRPr="00DC5A3D">
        <w:rPr>
          <w:rFonts w:ascii="Times New Roman" w:hAnsi="Times New Roman" w:cs="Times New Roman"/>
          <w:bCs/>
          <w:noProof/>
          <w:lang w:val="en-AU" w:eastAsia="ko-KR"/>
        </w:rPr>
        <w:drawing>
          <wp:inline distT="0" distB="0" distL="0" distR="0" wp14:anchorId="65AAE3F1" wp14:editId="67F78EE8">
            <wp:extent cx="3969762" cy="4465983"/>
            <wp:effectExtent l="0" t="0" r="0" b="0"/>
            <wp:docPr id="42441" name="Picture 4244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グラフィカル ユーザー インターフェイス&#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1049" cy="4478681"/>
                    </a:xfrm>
                    <a:prstGeom prst="rect">
                      <a:avLst/>
                    </a:prstGeom>
                  </pic:spPr>
                </pic:pic>
              </a:graphicData>
            </a:graphic>
          </wp:inline>
        </w:drawing>
      </w:r>
    </w:p>
    <w:p w14:paraId="69ACC886" w14:textId="77777777" w:rsidR="00C91950" w:rsidRPr="00DC5A3D" w:rsidRDefault="00C91950" w:rsidP="00C91950">
      <w:pPr>
        <w:adjustRightInd w:val="0"/>
        <w:snapToGrid w:val="0"/>
        <w:spacing w:after="0" w:line="240" w:lineRule="auto"/>
        <w:jc w:val="both"/>
        <w:rPr>
          <w:rFonts w:ascii="Times New Roman" w:hAnsi="Times New Roman" w:cs="Times New Roman"/>
          <w:lang w:val="en-AU"/>
        </w:rPr>
      </w:pPr>
      <w:r w:rsidRPr="00DC5A3D">
        <w:rPr>
          <w:rFonts w:ascii="Times New Roman" w:hAnsi="Times New Roman" w:cs="Times New Roman"/>
          <w:b/>
          <w:lang w:val="en-AU"/>
        </w:rPr>
        <w:t>Figure PBUM-1</w:t>
      </w:r>
      <w:r w:rsidRPr="00DC5A3D">
        <w:rPr>
          <w:rFonts w:ascii="Times New Roman" w:hAnsi="Times New Roman" w:cs="Times New Roman"/>
          <w:bCs/>
          <w:lang w:val="en-AU"/>
        </w:rPr>
        <w:t>.</w:t>
      </w:r>
      <w:r w:rsidRPr="00DC5A3D">
        <w:rPr>
          <w:rFonts w:ascii="Times New Roman" w:hAnsi="Times New Roman" w:cs="Times New Roman"/>
          <w:lang w:val="en-AU"/>
        </w:rPr>
        <w:t xml:space="preserve"> Time series of estimates of female spawning stock biomass over female spawning stock biomass at MSY (top left), fishing mortality overfishing mortality at MSY (top right), spawning stock biomass (center left), instantaneous fishing mortality (ages 1-10 year</w:t>
      </w:r>
      <w:r w:rsidRPr="00DC5A3D">
        <w:rPr>
          <w:rFonts w:ascii="Times New Roman" w:hAnsi="Times New Roman" w:cs="Times New Roman"/>
          <w:vertAlign w:val="superscript"/>
          <w:lang w:val="en-AU"/>
        </w:rPr>
        <w:t>-1</w:t>
      </w:r>
      <w:r w:rsidRPr="00DC5A3D">
        <w:rPr>
          <w:rFonts w:ascii="Times New Roman" w:hAnsi="Times New Roman" w:cs="Times New Roman"/>
          <w:lang w:val="en-AU"/>
        </w:rPr>
        <w:t>, center right), recruitment (age-0 fish, bottom left), and catch (bottom right) for Pacific blue marlin (</w:t>
      </w:r>
      <w:r w:rsidRPr="00DC5A3D">
        <w:rPr>
          <w:rFonts w:ascii="Times New Roman" w:hAnsi="Times New Roman" w:cs="Times New Roman"/>
          <w:i/>
          <w:lang w:val="en-AU"/>
        </w:rPr>
        <w:t>Makaira nigricans</w:t>
      </w:r>
      <w:r w:rsidRPr="00DC5A3D">
        <w:rPr>
          <w:rFonts w:ascii="Times New Roman" w:hAnsi="Times New Roman" w:cs="Times New Roman"/>
          <w:lang w:val="en-AU"/>
        </w:rPr>
        <w:t>) derived from the 2021 stock assessment model ensemble. Lines (or points for recruitment) indicate the median value estimated from the joint multivariate delta-lognormal estimation, shaded areas (or error bars for recruitment) indicate the 95% confidence intervals. Unweighted indicates that both models have equal weights in the ensemble.</w:t>
      </w:r>
    </w:p>
    <w:p w14:paraId="2495B218" w14:textId="77777777" w:rsidR="00C91950" w:rsidRPr="00DC5A3D" w:rsidRDefault="00C91950" w:rsidP="00C91950">
      <w:pPr>
        <w:adjustRightInd w:val="0"/>
        <w:snapToGrid w:val="0"/>
        <w:spacing w:after="0" w:line="240" w:lineRule="auto"/>
        <w:jc w:val="center"/>
        <w:rPr>
          <w:rFonts w:ascii="Times New Roman" w:hAnsi="Times New Roman" w:cs="Times New Roman"/>
          <w:lang w:val="en-AU" w:eastAsia="ko-KR"/>
        </w:rPr>
      </w:pPr>
      <w:r w:rsidRPr="00DC5A3D">
        <w:rPr>
          <w:rFonts w:ascii="Times New Roman" w:hAnsi="Times New Roman" w:cs="Times New Roman"/>
          <w:noProof/>
          <w:lang w:val="en-AU" w:eastAsia="ko-KR"/>
        </w:rPr>
        <w:lastRenderedPageBreak/>
        <w:drawing>
          <wp:inline distT="0" distB="0" distL="0" distR="0" wp14:anchorId="1F324BE0" wp14:editId="679591EF">
            <wp:extent cx="3154018" cy="3154018"/>
            <wp:effectExtent l="0" t="0" r="8890" b="8890"/>
            <wp:docPr id="42442" name="Picture 42442"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Picture 2068" descr="グラフ, 折れ線グラフ&#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59089" cy="3159089"/>
                    </a:xfrm>
                    <a:prstGeom prst="rect">
                      <a:avLst/>
                    </a:prstGeom>
                    <a:noFill/>
                    <a:ln>
                      <a:noFill/>
                    </a:ln>
                  </pic:spPr>
                </pic:pic>
              </a:graphicData>
            </a:graphic>
          </wp:inline>
        </w:drawing>
      </w:r>
    </w:p>
    <w:p w14:paraId="1DDE0E66" w14:textId="77777777" w:rsidR="00C91950" w:rsidRPr="00DC5A3D" w:rsidRDefault="00C91950" w:rsidP="00C91950">
      <w:pPr>
        <w:adjustRightInd w:val="0"/>
        <w:snapToGrid w:val="0"/>
        <w:spacing w:after="0" w:line="240" w:lineRule="auto"/>
        <w:jc w:val="both"/>
        <w:rPr>
          <w:rFonts w:ascii="Times New Roman" w:hAnsi="Times New Roman" w:cs="Times New Roman"/>
          <w:noProof/>
          <w:lang w:val="en-AU"/>
        </w:rPr>
      </w:pPr>
      <w:r w:rsidRPr="00DC5A3D">
        <w:rPr>
          <w:rFonts w:ascii="Times New Roman" w:hAnsi="Times New Roman" w:cs="Times New Roman"/>
          <w:b/>
          <w:bCs/>
          <w:lang w:val="en-AU"/>
        </w:rPr>
        <w:t>Figure PBUM-2</w:t>
      </w:r>
      <w:r w:rsidRPr="00DC5A3D">
        <w:rPr>
          <w:rFonts w:ascii="Times New Roman" w:hAnsi="Times New Roman" w:cs="Times New Roman"/>
          <w:lang w:val="en-AU"/>
        </w:rPr>
        <w:t>.</w:t>
      </w:r>
      <w:r w:rsidRPr="00DC5A3D">
        <w:rPr>
          <w:rFonts w:ascii="Times New Roman" w:hAnsi="Times New Roman" w:cs="Times New Roman"/>
          <w:noProof/>
          <w:lang w:val="en-AU"/>
        </w:rPr>
        <w:t xml:space="preserve"> Kobe plot of the time series of estimates of relative fishing mortality (average of age 1-10) and relative spawning stock biomass of Pacific blue marlin (</w:t>
      </w:r>
      <w:r w:rsidRPr="00DC5A3D">
        <w:rPr>
          <w:rFonts w:ascii="Times New Roman" w:hAnsi="Times New Roman" w:cs="Times New Roman"/>
          <w:i/>
          <w:noProof/>
          <w:lang w:val="en-AU"/>
        </w:rPr>
        <w:t>Makaira nigricans</w:t>
      </w:r>
      <w:r w:rsidRPr="00DC5A3D">
        <w:rPr>
          <w:rFonts w:ascii="Times New Roman" w:hAnsi="Times New Roman" w:cs="Times New Roman"/>
          <w:noProof/>
          <w:lang w:val="en-AU"/>
        </w:rPr>
        <w:t>) during 1971-2019. The white circle denotes the delta-lognormal multivariate estimate of the combined models in 2019, blue dots indicate the final year stock status of the old growth model with the 10,000 multivariate draws, and red dots indicate the final year stock status of the new growth model with the 10,000 multivariate draws.</w:t>
      </w:r>
    </w:p>
    <w:p w14:paraId="6ADB2410" w14:textId="77777777" w:rsidR="00C91950" w:rsidRPr="00DC5A3D" w:rsidRDefault="00C91950" w:rsidP="00C91950">
      <w:pPr>
        <w:adjustRightInd w:val="0"/>
        <w:snapToGrid w:val="0"/>
        <w:spacing w:after="0" w:line="240" w:lineRule="auto"/>
        <w:jc w:val="both"/>
        <w:rPr>
          <w:rFonts w:ascii="Times New Roman" w:hAnsi="Times New Roman" w:cs="Times New Roman"/>
          <w:noProof/>
          <w:lang w:val="en-AU"/>
        </w:rPr>
      </w:pPr>
    </w:p>
    <w:p w14:paraId="74035ED0" w14:textId="77777777" w:rsidR="00C91950" w:rsidRPr="00DC5A3D" w:rsidRDefault="00C91950" w:rsidP="00C91950">
      <w:pPr>
        <w:adjustRightInd w:val="0"/>
        <w:snapToGrid w:val="0"/>
        <w:spacing w:after="0" w:line="240" w:lineRule="auto"/>
        <w:jc w:val="center"/>
        <w:rPr>
          <w:rFonts w:ascii="Times New Roman" w:hAnsi="Times New Roman" w:cs="Times New Roman"/>
          <w:lang w:val="en-AU" w:eastAsia="ko-KR"/>
        </w:rPr>
      </w:pPr>
      <w:r w:rsidRPr="00DC5A3D">
        <w:rPr>
          <w:rFonts w:ascii="Times New Roman" w:hAnsi="Times New Roman" w:cs="Times New Roman"/>
          <w:noProof/>
          <w:lang w:val="en-AU" w:eastAsia="ko-KR"/>
        </w:rPr>
        <w:drawing>
          <wp:inline distT="0" distB="0" distL="0" distR="0" wp14:anchorId="700C7B8D" wp14:editId="29ECC87C">
            <wp:extent cx="3721608" cy="2788920"/>
            <wp:effectExtent l="0" t="0" r="0" b="0"/>
            <wp:docPr id="42443" name="Picture 42443" descr="グラフ, 折れ線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グラフ, 折れ線グラフ, ヒストグラム&#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1608" cy="2788920"/>
                    </a:xfrm>
                    <a:prstGeom prst="rect">
                      <a:avLst/>
                    </a:prstGeom>
                  </pic:spPr>
                </pic:pic>
              </a:graphicData>
            </a:graphic>
          </wp:inline>
        </w:drawing>
      </w:r>
    </w:p>
    <w:p w14:paraId="40594C12" w14:textId="77777777" w:rsidR="00C91950" w:rsidRPr="00DC5A3D" w:rsidRDefault="00C91950" w:rsidP="00C91950">
      <w:pPr>
        <w:adjustRightInd w:val="0"/>
        <w:snapToGrid w:val="0"/>
        <w:spacing w:after="0" w:line="240" w:lineRule="auto"/>
        <w:jc w:val="both"/>
        <w:rPr>
          <w:rFonts w:ascii="Times New Roman" w:hAnsi="Times New Roman" w:cs="Times New Roman"/>
          <w:lang w:val="en-AU"/>
        </w:rPr>
      </w:pPr>
      <w:r w:rsidRPr="00DC5A3D">
        <w:rPr>
          <w:rFonts w:ascii="Times New Roman" w:hAnsi="Times New Roman" w:cs="Times New Roman"/>
          <w:b/>
          <w:lang w:val="en-AU"/>
        </w:rPr>
        <w:t>Figure PBUM-3</w:t>
      </w:r>
      <w:r w:rsidRPr="00DC5A3D">
        <w:rPr>
          <w:rFonts w:ascii="Times New Roman" w:hAnsi="Times New Roman" w:cs="Times New Roman"/>
          <w:bCs/>
          <w:lang w:val="en-AU"/>
        </w:rPr>
        <w:t>.</w:t>
      </w:r>
      <w:r w:rsidRPr="00DC5A3D">
        <w:rPr>
          <w:rFonts w:ascii="Times New Roman" w:hAnsi="Times New Roman" w:cs="Times New Roman"/>
          <w:lang w:val="en-AU"/>
        </w:rPr>
        <w:t xml:space="preserve"> Historical and projected trajectories of spawning biomass and total catch from the Pacific blue marlin combined models based upon the four F scenarios: projected spawning biomass, dotted line indicates SSB</w:t>
      </w:r>
      <w:r w:rsidRPr="00DC5A3D">
        <w:rPr>
          <w:rFonts w:ascii="Times New Roman" w:hAnsi="Times New Roman" w:cs="Times New Roman"/>
          <w:vertAlign w:val="subscript"/>
          <w:lang w:val="en-AU"/>
        </w:rPr>
        <w:t>MSY</w:t>
      </w:r>
      <w:r w:rsidRPr="00DC5A3D">
        <w:rPr>
          <w:rFonts w:ascii="Times New Roman" w:hAnsi="Times New Roman" w:cs="Times New Roman"/>
          <w:lang w:val="en-AU"/>
        </w:rPr>
        <w:t>, shading indicates 95% confidence intervals (top); projected instantaneous fishing mortality (ages 1-10 year</w:t>
      </w:r>
      <w:r w:rsidRPr="00DC5A3D">
        <w:rPr>
          <w:rFonts w:ascii="Times New Roman" w:hAnsi="Times New Roman" w:cs="Times New Roman"/>
          <w:vertAlign w:val="superscript"/>
          <w:lang w:val="en-AU"/>
        </w:rPr>
        <w:t>-1</w:t>
      </w:r>
      <w:r w:rsidRPr="00DC5A3D">
        <w:rPr>
          <w:rFonts w:ascii="Times New Roman" w:hAnsi="Times New Roman" w:cs="Times New Roman"/>
          <w:lang w:val="en-AU"/>
        </w:rPr>
        <w:t>), dotted line indicates F</w:t>
      </w:r>
      <w:r w:rsidRPr="00DC5A3D">
        <w:rPr>
          <w:rFonts w:ascii="Times New Roman" w:hAnsi="Times New Roman" w:cs="Times New Roman"/>
          <w:vertAlign w:val="subscript"/>
          <w:lang w:val="en-AU"/>
        </w:rPr>
        <w:t>MSY</w:t>
      </w:r>
      <w:r w:rsidRPr="00DC5A3D">
        <w:rPr>
          <w:rFonts w:ascii="Times New Roman" w:hAnsi="Times New Roman" w:cs="Times New Roman"/>
          <w:lang w:val="en-AU"/>
        </w:rPr>
        <w:t>, shading indicates 95% confidence intervals (center); and projected catch (mt. bottom). Green indicates scenario 1, F</w:t>
      </w:r>
      <w:r w:rsidRPr="00DC5A3D">
        <w:rPr>
          <w:rFonts w:ascii="Times New Roman" w:hAnsi="Times New Roman" w:cs="Times New Roman"/>
          <w:vertAlign w:val="subscript"/>
          <w:lang w:val="en-AU"/>
        </w:rPr>
        <w:t>2003-2005;</w:t>
      </w:r>
      <w:r w:rsidRPr="00DC5A3D">
        <w:rPr>
          <w:rFonts w:ascii="Times New Roman" w:hAnsi="Times New Roman" w:cs="Times New Roman"/>
          <w:lang w:val="en-AU"/>
        </w:rPr>
        <w:t xml:space="preserve"> red indicates scenario 2, F</w:t>
      </w:r>
      <w:r w:rsidRPr="00DC5A3D">
        <w:rPr>
          <w:rFonts w:ascii="Times New Roman" w:hAnsi="Times New Roman" w:cs="Times New Roman"/>
          <w:vertAlign w:val="subscript"/>
          <w:lang w:val="en-AU"/>
        </w:rPr>
        <w:t>MSY</w:t>
      </w:r>
      <w:r w:rsidRPr="00DC5A3D">
        <w:rPr>
          <w:rFonts w:ascii="Times New Roman" w:hAnsi="Times New Roman" w:cs="Times New Roman"/>
          <w:lang w:val="en-AU"/>
        </w:rPr>
        <w:t>; yellow indicates scenario 3, F</w:t>
      </w:r>
      <w:r w:rsidRPr="00DC5A3D">
        <w:rPr>
          <w:rFonts w:ascii="Times New Roman" w:hAnsi="Times New Roman" w:cs="Times New Roman"/>
          <w:vertAlign w:val="subscript"/>
          <w:lang w:val="en-AU"/>
        </w:rPr>
        <w:t>2016-2018</w:t>
      </w:r>
      <w:r w:rsidRPr="00DC5A3D">
        <w:rPr>
          <w:rFonts w:ascii="Times New Roman" w:hAnsi="Times New Roman" w:cs="Times New Roman"/>
          <w:lang w:val="en-AU"/>
        </w:rPr>
        <w:t>; and blue indicates scenario 4, F</w:t>
      </w:r>
      <w:r w:rsidRPr="00DC5A3D">
        <w:rPr>
          <w:rFonts w:ascii="Times New Roman" w:hAnsi="Times New Roman" w:cs="Times New Roman"/>
          <w:vertAlign w:val="subscript"/>
          <w:lang w:val="en-AU"/>
        </w:rPr>
        <w:t>30%</w:t>
      </w:r>
      <w:r w:rsidRPr="00DC5A3D">
        <w:rPr>
          <w:rFonts w:ascii="Times New Roman" w:hAnsi="Times New Roman" w:cs="Times New Roman"/>
          <w:lang w:val="en-AU"/>
        </w:rPr>
        <w:t>. The list of projection scenarios can be found in Table 3.</w:t>
      </w:r>
    </w:p>
    <w:p w14:paraId="258A1EFF" w14:textId="5E06BCEA" w:rsidR="00266E25" w:rsidRPr="00B32B1F" w:rsidRDefault="00266E25" w:rsidP="00B32B1F">
      <w:pPr>
        <w:pStyle w:val="Heading1"/>
        <w:adjustRightInd w:val="0"/>
        <w:snapToGrid w:val="0"/>
        <w:spacing w:before="0" w:line="240" w:lineRule="auto"/>
        <w:rPr>
          <w:rFonts w:ascii="Times New Roman" w:hAnsi="Times New Roman" w:cs="Times New Roman"/>
          <w:b/>
          <w:bCs/>
          <w:sz w:val="28"/>
          <w:szCs w:val="28"/>
        </w:rPr>
      </w:pPr>
      <w:bookmarkStart w:id="1" w:name="_Toc95983377"/>
      <w:r w:rsidRPr="00DC5A3D">
        <w:rPr>
          <w:rFonts w:ascii="Times New Roman" w:hAnsi="Times New Roman" w:cs="Times New Roman"/>
          <w:b/>
          <w:bCs/>
          <w:sz w:val="28"/>
          <w:szCs w:val="28"/>
        </w:rPr>
        <w:lastRenderedPageBreak/>
        <w:t>SC</w:t>
      </w:r>
      <w:r w:rsidR="00C33065" w:rsidRPr="00DC5A3D">
        <w:rPr>
          <w:rFonts w:ascii="Times New Roman" w:hAnsi="Times New Roman" w:cs="Times New Roman"/>
          <w:b/>
          <w:bCs/>
          <w:sz w:val="28"/>
          <w:szCs w:val="28"/>
        </w:rPr>
        <w:t>1</w:t>
      </w:r>
      <w:r w:rsidR="00B32B1F" w:rsidRPr="00DC5A3D">
        <w:rPr>
          <w:rFonts w:ascii="Times New Roman" w:hAnsi="Times New Roman" w:cs="Times New Roman"/>
          <w:b/>
          <w:bCs/>
          <w:sz w:val="28"/>
          <w:szCs w:val="28"/>
        </w:rPr>
        <w:t>3</w:t>
      </w:r>
      <w:r w:rsidR="00DC5A3D" w:rsidRPr="00DC5A3D">
        <w:rPr>
          <w:rFonts w:ascii="Times New Roman" w:hAnsi="Times New Roman" w:cs="Times New Roman"/>
          <w:b/>
          <w:bCs/>
          <w:sz w:val="28"/>
          <w:szCs w:val="28"/>
        </w:rPr>
        <w:t>-</w:t>
      </w:r>
      <w:r w:rsidR="00C33065" w:rsidRPr="00DC5A3D">
        <w:rPr>
          <w:rFonts w:ascii="Times New Roman" w:hAnsi="Times New Roman" w:cs="Times New Roman"/>
          <w:b/>
          <w:bCs/>
          <w:sz w:val="28"/>
          <w:szCs w:val="28"/>
        </w:rPr>
        <w:t>201</w:t>
      </w:r>
      <w:r w:rsidR="00B32B1F" w:rsidRPr="00DC5A3D">
        <w:rPr>
          <w:rFonts w:ascii="Times New Roman" w:hAnsi="Times New Roman" w:cs="Times New Roman"/>
          <w:b/>
          <w:bCs/>
          <w:sz w:val="28"/>
          <w:szCs w:val="28"/>
        </w:rPr>
        <w:t>7</w:t>
      </w:r>
      <w:r w:rsidR="00C33065" w:rsidRPr="00DC5A3D">
        <w:rPr>
          <w:rFonts w:ascii="Times New Roman" w:hAnsi="Times New Roman" w:cs="Times New Roman"/>
          <w:b/>
          <w:bCs/>
          <w:sz w:val="28"/>
          <w:szCs w:val="28"/>
        </w:rPr>
        <w:t xml:space="preserve"> – SC</w:t>
      </w:r>
      <w:r w:rsidRPr="00DC5A3D">
        <w:rPr>
          <w:rFonts w:ascii="Times New Roman" w:hAnsi="Times New Roman" w:cs="Times New Roman"/>
          <w:b/>
          <w:bCs/>
          <w:sz w:val="28"/>
          <w:szCs w:val="28"/>
        </w:rPr>
        <w:t>1</w:t>
      </w:r>
      <w:r w:rsidR="0019465C" w:rsidRPr="00DC5A3D">
        <w:rPr>
          <w:rFonts w:ascii="Times New Roman" w:hAnsi="Times New Roman" w:cs="Times New Roman"/>
          <w:b/>
          <w:bCs/>
          <w:sz w:val="28"/>
          <w:szCs w:val="28"/>
        </w:rPr>
        <w:t>6</w:t>
      </w:r>
      <w:r w:rsidR="00DC5A3D" w:rsidRPr="00DC5A3D">
        <w:rPr>
          <w:rFonts w:ascii="Times New Roman" w:hAnsi="Times New Roman" w:cs="Times New Roman"/>
          <w:b/>
          <w:bCs/>
          <w:sz w:val="28"/>
          <w:szCs w:val="28"/>
        </w:rPr>
        <w:t>-</w:t>
      </w:r>
      <w:r w:rsidRPr="00DC5A3D">
        <w:rPr>
          <w:rFonts w:ascii="Times New Roman" w:hAnsi="Times New Roman" w:cs="Times New Roman"/>
          <w:b/>
          <w:bCs/>
          <w:sz w:val="28"/>
          <w:szCs w:val="28"/>
        </w:rPr>
        <w:t>20</w:t>
      </w:r>
      <w:r w:rsidR="0019465C" w:rsidRPr="00DC5A3D">
        <w:rPr>
          <w:rFonts w:ascii="Times New Roman" w:hAnsi="Times New Roman" w:cs="Times New Roman"/>
          <w:b/>
          <w:bCs/>
          <w:sz w:val="28"/>
          <w:szCs w:val="28"/>
        </w:rPr>
        <w:t xml:space="preserve">20 </w:t>
      </w:r>
      <w:r w:rsidR="00C33065" w:rsidRPr="00DC5A3D">
        <w:rPr>
          <w:rFonts w:ascii="Times New Roman" w:hAnsi="Times New Roman" w:cs="Times New Roman"/>
          <w:b/>
          <w:bCs/>
          <w:sz w:val="28"/>
          <w:szCs w:val="28"/>
        </w:rPr>
        <w:t>(NO STOCK ASSESSMENT</w:t>
      </w:r>
      <w:r w:rsidR="0012789F" w:rsidRPr="00DC5A3D">
        <w:rPr>
          <w:rFonts w:ascii="Times New Roman" w:hAnsi="Times New Roman" w:cs="Times New Roman"/>
          <w:b/>
          <w:bCs/>
          <w:sz w:val="28"/>
          <w:szCs w:val="28"/>
        </w:rPr>
        <w:t>S</w:t>
      </w:r>
      <w:r w:rsidR="00C33065" w:rsidRPr="00DC5A3D">
        <w:rPr>
          <w:rFonts w:ascii="Times New Roman" w:hAnsi="Times New Roman" w:cs="Times New Roman"/>
          <w:b/>
          <w:bCs/>
          <w:sz w:val="28"/>
          <w:szCs w:val="28"/>
        </w:rPr>
        <w:t>)</w:t>
      </w:r>
      <w:bookmarkEnd w:id="1"/>
      <w:r w:rsidR="00C33065" w:rsidRPr="00B32B1F">
        <w:rPr>
          <w:rFonts w:ascii="Times New Roman" w:hAnsi="Times New Roman" w:cs="Times New Roman"/>
          <w:b/>
          <w:bCs/>
          <w:sz w:val="28"/>
          <w:szCs w:val="28"/>
        </w:rPr>
        <w:t xml:space="preserve"> </w:t>
      </w:r>
    </w:p>
    <w:p w14:paraId="26C2D4B6" w14:textId="0CB69605" w:rsidR="00266E25" w:rsidRPr="00DC5A3D" w:rsidRDefault="00266E25" w:rsidP="00B32B1F">
      <w:pPr>
        <w:pStyle w:val="ListParagraph"/>
        <w:kinsoku w:val="0"/>
        <w:overflowPunct w:val="0"/>
        <w:autoSpaceDE w:val="0"/>
        <w:autoSpaceDN w:val="0"/>
        <w:adjustRightInd w:val="0"/>
        <w:snapToGrid w:val="0"/>
        <w:contextualSpacing w:val="0"/>
        <w:rPr>
          <w:rFonts w:ascii="Times New Roman" w:hAnsi="Times New Roman"/>
        </w:rPr>
      </w:pPr>
    </w:p>
    <w:p w14:paraId="53A5F257" w14:textId="32C6E52A" w:rsidR="0019465C" w:rsidRPr="00DC5A3D" w:rsidRDefault="0019465C" w:rsidP="00183926">
      <w:pPr>
        <w:pStyle w:val="ListParagraph"/>
        <w:numPr>
          <w:ilvl w:val="0"/>
          <w:numId w:val="33"/>
        </w:numPr>
        <w:kinsoku w:val="0"/>
        <w:overflowPunct w:val="0"/>
        <w:autoSpaceDE w:val="0"/>
        <w:autoSpaceDN w:val="0"/>
        <w:adjustRightInd w:val="0"/>
        <w:snapToGrid w:val="0"/>
        <w:ind w:left="0" w:firstLine="0"/>
        <w:contextualSpacing w:val="0"/>
        <w:rPr>
          <w:rFonts w:ascii="Times New Roman" w:hAnsi="Times New Roman"/>
        </w:rPr>
      </w:pPr>
      <w:r w:rsidRPr="00DC5A3D">
        <w:rPr>
          <w:rFonts w:ascii="Times New Roman" w:hAnsi="Times New Roman"/>
        </w:rPr>
        <w:t>There was no stock assessment for Pacific blue marlin in 2020. This was not discussed at SC17 due to its streamlined agenda and discussion were conducted virtually due to the impacts of COVID-19 pandemic. Therefore, the stock status descriptions and management advice from SC12 are still current for Pacific blue marlin.</w:t>
      </w:r>
    </w:p>
    <w:p w14:paraId="311DAC28" w14:textId="77777777" w:rsidR="0019465C" w:rsidRPr="00183926" w:rsidRDefault="0019465C" w:rsidP="00B32B1F">
      <w:pPr>
        <w:pStyle w:val="ListParagraph"/>
        <w:kinsoku w:val="0"/>
        <w:overflowPunct w:val="0"/>
        <w:autoSpaceDE w:val="0"/>
        <w:autoSpaceDN w:val="0"/>
        <w:adjustRightInd w:val="0"/>
        <w:snapToGrid w:val="0"/>
        <w:contextualSpacing w:val="0"/>
        <w:rPr>
          <w:rFonts w:ascii="Times New Roman" w:hAnsi="Times New Roman"/>
        </w:rPr>
      </w:pPr>
    </w:p>
    <w:p w14:paraId="1B670277" w14:textId="77777777" w:rsidR="00266E25" w:rsidRPr="00183926" w:rsidRDefault="00266E25" w:rsidP="00B32B1F">
      <w:pPr>
        <w:pStyle w:val="ListParagraph"/>
        <w:numPr>
          <w:ilvl w:val="0"/>
          <w:numId w:val="24"/>
        </w:numPr>
        <w:adjustRightInd w:val="0"/>
        <w:snapToGrid w:val="0"/>
        <w:ind w:left="0" w:firstLine="0"/>
        <w:contextualSpacing w:val="0"/>
        <w:jc w:val="left"/>
        <w:rPr>
          <w:rFonts w:ascii="Times New Roman" w:hAnsi="Times New Roman"/>
          <w:b/>
          <w:spacing w:val="-4"/>
        </w:rPr>
      </w:pPr>
      <w:r w:rsidRPr="00183926">
        <w:rPr>
          <w:rFonts w:ascii="Times New Roman" w:hAnsi="Times New Roman"/>
          <w:b/>
          <w:spacing w:val="-4"/>
        </w:rPr>
        <w:t>Stock Status and trends</w:t>
      </w:r>
    </w:p>
    <w:p w14:paraId="59D6597C" w14:textId="77777777" w:rsidR="00266E25" w:rsidRPr="00183926" w:rsidRDefault="00266E25" w:rsidP="00B32B1F">
      <w:pPr>
        <w:pStyle w:val="BodyText"/>
        <w:adjustRightInd w:val="0"/>
        <w:snapToGrid w:val="0"/>
        <w:rPr>
          <w:rFonts w:cs="Times New Roman"/>
          <w:b/>
          <w:spacing w:val="-4"/>
        </w:rPr>
      </w:pPr>
    </w:p>
    <w:p w14:paraId="0F33C41D" w14:textId="77777777" w:rsidR="00266E25" w:rsidRPr="00183926" w:rsidRDefault="00266E25" w:rsidP="00183926">
      <w:pPr>
        <w:pStyle w:val="ListParagraph"/>
        <w:numPr>
          <w:ilvl w:val="0"/>
          <w:numId w:val="33"/>
        </w:numPr>
        <w:kinsoku w:val="0"/>
        <w:overflowPunct w:val="0"/>
        <w:autoSpaceDE w:val="0"/>
        <w:autoSpaceDN w:val="0"/>
        <w:adjustRightInd w:val="0"/>
        <w:snapToGrid w:val="0"/>
        <w:ind w:left="0" w:firstLine="0"/>
        <w:contextualSpacing w:val="0"/>
        <w:rPr>
          <w:rFonts w:ascii="Times New Roman" w:hAnsi="Times New Roman"/>
          <w:spacing w:val="-4"/>
        </w:rPr>
      </w:pPr>
      <w:r w:rsidRPr="00183926">
        <w:rPr>
          <w:rFonts w:ascii="Times New Roman" w:hAnsi="Times New Roman"/>
          <w:spacing w:val="-4"/>
        </w:rPr>
        <w:t xml:space="preserve">SC15 noted that no stock assessments were conducted for Pacific blue marlin in 2019. Therefore, the stock status descriptions from SC12 are still current for Pacific blue marlin. </w:t>
      </w:r>
      <w:bookmarkStart w:id="2" w:name="_Hlk23849502"/>
      <w:r w:rsidRPr="00183926">
        <w:rPr>
          <w:rFonts w:ascii="Times New Roman" w:hAnsi="Times New Roman"/>
          <w:spacing w:val="-4"/>
        </w:rPr>
        <w:t xml:space="preserve">For further information on the stock status and trends from SC12, please see </w:t>
      </w:r>
      <w:hyperlink r:id="rId12" w:history="1">
        <w:r w:rsidRPr="00183926">
          <w:rPr>
            <w:rStyle w:val="Hyperlink"/>
            <w:rFonts w:ascii="Times New Roman" w:hAnsi="Times New Roman"/>
            <w:spacing w:val="-4"/>
          </w:rPr>
          <w:t>https://www.wcpfc.int/node/27769</w:t>
        </w:r>
      </w:hyperlink>
      <w:r w:rsidRPr="00183926">
        <w:rPr>
          <w:rFonts w:ascii="Times New Roman" w:hAnsi="Times New Roman"/>
          <w:color w:val="0000FF"/>
          <w:spacing w:val="-4"/>
        </w:rPr>
        <w:t xml:space="preserve">. </w:t>
      </w:r>
      <w:bookmarkEnd w:id="2"/>
      <w:r w:rsidRPr="00183926">
        <w:rPr>
          <w:rFonts w:ascii="Times New Roman" w:hAnsi="Times New Roman"/>
          <w:spacing w:val="-4"/>
        </w:rPr>
        <w:t xml:space="preserve">Updated information on catches was not compiled for and reviewed by SC15. </w:t>
      </w:r>
    </w:p>
    <w:p w14:paraId="272A1622" w14:textId="77777777" w:rsidR="00266E25" w:rsidRPr="00183926" w:rsidRDefault="00266E25" w:rsidP="00B32B1F">
      <w:pPr>
        <w:pStyle w:val="BodyText"/>
        <w:adjustRightInd w:val="0"/>
        <w:snapToGrid w:val="0"/>
        <w:jc w:val="both"/>
        <w:rPr>
          <w:rFonts w:cs="Times New Roman"/>
          <w:b/>
          <w:spacing w:val="-4"/>
        </w:rPr>
      </w:pPr>
    </w:p>
    <w:p w14:paraId="149FCAE1" w14:textId="77777777" w:rsidR="00266E25" w:rsidRPr="00183926" w:rsidRDefault="00266E25" w:rsidP="00B32B1F">
      <w:pPr>
        <w:pStyle w:val="ListParagraph"/>
        <w:numPr>
          <w:ilvl w:val="0"/>
          <w:numId w:val="24"/>
        </w:numPr>
        <w:adjustRightInd w:val="0"/>
        <w:snapToGrid w:val="0"/>
        <w:ind w:left="0" w:firstLine="0"/>
        <w:contextualSpacing w:val="0"/>
        <w:rPr>
          <w:rFonts w:ascii="Times New Roman" w:hAnsi="Times New Roman"/>
          <w:b/>
          <w:spacing w:val="-4"/>
        </w:rPr>
      </w:pPr>
      <w:r w:rsidRPr="00183926">
        <w:rPr>
          <w:rFonts w:ascii="Times New Roman" w:hAnsi="Times New Roman"/>
          <w:b/>
          <w:spacing w:val="-4"/>
        </w:rPr>
        <w:t>Management Advice and implications</w:t>
      </w:r>
    </w:p>
    <w:p w14:paraId="5136D9E0" w14:textId="77777777" w:rsidR="00266E25" w:rsidRPr="00183926" w:rsidRDefault="00266E25" w:rsidP="00B32B1F">
      <w:pPr>
        <w:pStyle w:val="BodyText"/>
        <w:adjustRightInd w:val="0"/>
        <w:snapToGrid w:val="0"/>
        <w:jc w:val="both"/>
        <w:rPr>
          <w:rFonts w:cs="Times New Roman"/>
          <w:b/>
          <w:bCs/>
          <w:spacing w:val="-4"/>
        </w:rPr>
      </w:pPr>
    </w:p>
    <w:p w14:paraId="405152CC" w14:textId="77777777" w:rsidR="00266E25" w:rsidRPr="00183926" w:rsidRDefault="00266E25" w:rsidP="00183926">
      <w:pPr>
        <w:pStyle w:val="ListParagraph"/>
        <w:numPr>
          <w:ilvl w:val="0"/>
          <w:numId w:val="33"/>
        </w:numPr>
        <w:kinsoku w:val="0"/>
        <w:overflowPunct w:val="0"/>
        <w:autoSpaceDE w:val="0"/>
        <w:autoSpaceDN w:val="0"/>
        <w:adjustRightInd w:val="0"/>
        <w:snapToGrid w:val="0"/>
        <w:ind w:left="0" w:firstLine="0"/>
        <w:contextualSpacing w:val="0"/>
        <w:rPr>
          <w:rFonts w:ascii="Times New Roman" w:hAnsi="Times New Roman"/>
          <w:spacing w:val="-4"/>
        </w:rPr>
      </w:pPr>
      <w:r w:rsidRPr="00183926">
        <w:rPr>
          <w:rFonts w:ascii="Times New Roman" w:hAnsi="Times New Roman"/>
          <w:spacing w:val="-4"/>
        </w:rPr>
        <w:t xml:space="preserve">SC15 noted that no management advice has been provided since SC12 for Pacific blue marlin. Therefore, previous advice should be maintained, pending a new assessment or other new information. </w:t>
      </w:r>
      <w:bookmarkStart w:id="3" w:name="_Hlk23837984"/>
      <w:r w:rsidRPr="00183926">
        <w:rPr>
          <w:rFonts w:ascii="Times New Roman" w:hAnsi="Times New Roman"/>
          <w:spacing w:val="-4"/>
          <w:lang w:val="en-AU"/>
        </w:rPr>
        <w:t xml:space="preserve">For further information on the management advice and implications from SC12, please see </w:t>
      </w:r>
      <w:hyperlink r:id="rId13" w:history="1">
        <w:r w:rsidRPr="00183926">
          <w:rPr>
            <w:rStyle w:val="Hyperlink"/>
            <w:rFonts w:ascii="Times New Roman" w:hAnsi="Times New Roman"/>
            <w:spacing w:val="-4"/>
          </w:rPr>
          <w:t>https://www.wcpfc.int/node/27769</w:t>
        </w:r>
      </w:hyperlink>
      <w:bookmarkEnd w:id="3"/>
    </w:p>
    <w:p w14:paraId="30B3963B" w14:textId="2A772E48" w:rsidR="00266E25" w:rsidRPr="00183926" w:rsidRDefault="00266E25" w:rsidP="00B32B1F">
      <w:pPr>
        <w:pStyle w:val="Heading1"/>
        <w:adjustRightInd w:val="0"/>
        <w:snapToGrid w:val="0"/>
        <w:spacing w:before="0" w:line="240" w:lineRule="auto"/>
        <w:rPr>
          <w:rFonts w:ascii="Times New Roman" w:hAnsi="Times New Roman" w:cs="Times New Roman"/>
          <w:spacing w:val="-4"/>
          <w:sz w:val="22"/>
          <w:szCs w:val="22"/>
        </w:rPr>
      </w:pPr>
    </w:p>
    <w:p w14:paraId="3937411F" w14:textId="77777777" w:rsidR="00B32B1F" w:rsidRPr="00183926" w:rsidRDefault="00B32B1F" w:rsidP="00B32B1F">
      <w:pPr>
        <w:adjustRightInd w:val="0"/>
        <w:snapToGrid w:val="0"/>
        <w:spacing w:after="0" w:line="240" w:lineRule="auto"/>
        <w:rPr>
          <w:rFonts w:ascii="Times New Roman" w:hAnsi="Times New Roman" w:cs="Times New Roman"/>
          <w:spacing w:val="-4"/>
        </w:rPr>
      </w:pPr>
    </w:p>
    <w:p w14:paraId="2E186700" w14:textId="7C7FF9F8" w:rsidR="0086258F" w:rsidRPr="00B32B1F" w:rsidRDefault="0086258F" w:rsidP="00B32B1F">
      <w:pPr>
        <w:pStyle w:val="Heading1"/>
        <w:adjustRightInd w:val="0"/>
        <w:snapToGrid w:val="0"/>
        <w:spacing w:before="0" w:line="240" w:lineRule="auto"/>
        <w:rPr>
          <w:rFonts w:ascii="Times New Roman" w:hAnsi="Times New Roman" w:cs="Times New Roman"/>
          <w:b/>
          <w:bCs/>
          <w:spacing w:val="-4"/>
          <w:sz w:val="28"/>
          <w:szCs w:val="28"/>
        </w:rPr>
      </w:pPr>
      <w:bookmarkStart w:id="4" w:name="_Toc95983378"/>
      <w:r w:rsidRPr="00B32B1F">
        <w:rPr>
          <w:rFonts w:ascii="Times New Roman" w:hAnsi="Times New Roman" w:cs="Times New Roman"/>
          <w:b/>
          <w:bCs/>
          <w:spacing w:val="-4"/>
          <w:sz w:val="28"/>
          <w:szCs w:val="28"/>
        </w:rPr>
        <w:t>SC1</w:t>
      </w:r>
      <w:r w:rsidR="00B32B1F" w:rsidRPr="00B32B1F">
        <w:rPr>
          <w:rFonts w:ascii="Times New Roman" w:hAnsi="Times New Roman" w:cs="Times New Roman"/>
          <w:b/>
          <w:bCs/>
          <w:spacing w:val="-4"/>
          <w:sz w:val="28"/>
          <w:szCs w:val="28"/>
        </w:rPr>
        <w:t>2</w:t>
      </w:r>
      <w:r w:rsidR="00DC5A3D">
        <w:rPr>
          <w:rFonts w:ascii="Times New Roman" w:hAnsi="Times New Roman" w:cs="Times New Roman"/>
          <w:b/>
          <w:bCs/>
          <w:spacing w:val="-4"/>
          <w:sz w:val="28"/>
          <w:szCs w:val="28"/>
        </w:rPr>
        <w:t>-</w:t>
      </w:r>
      <w:r w:rsidRPr="00B32B1F">
        <w:rPr>
          <w:rFonts w:ascii="Times New Roman" w:hAnsi="Times New Roman" w:cs="Times New Roman"/>
          <w:b/>
          <w:bCs/>
          <w:spacing w:val="-4"/>
          <w:sz w:val="28"/>
          <w:szCs w:val="28"/>
        </w:rPr>
        <w:t>201</w:t>
      </w:r>
      <w:r w:rsidR="00B32B1F" w:rsidRPr="00B32B1F">
        <w:rPr>
          <w:rFonts w:ascii="Times New Roman" w:hAnsi="Times New Roman" w:cs="Times New Roman"/>
          <w:b/>
          <w:bCs/>
          <w:spacing w:val="-4"/>
          <w:sz w:val="28"/>
          <w:szCs w:val="28"/>
        </w:rPr>
        <w:t>6</w:t>
      </w:r>
      <w:r w:rsidR="00601C1F" w:rsidRPr="00B32B1F">
        <w:rPr>
          <w:rFonts w:ascii="Times New Roman" w:hAnsi="Times New Roman" w:cs="Times New Roman"/>
          <w:b/>
          <w:bCs/>
          <w:spacing w:val="-4"/>
          <w:sz w:val="28"/>
          <w:szCs w:val="28"/>
        </w:rPr>
        <w:t xml:space="preserve"> (</w:t>
      </w:r>
      <w:r w:rsidR="00B32B1F" w:rsidRPr="00B32B1F">
        <w:rPr>
          <w:rFonts w:ascii="Times New Roman" w:hAnsi="Times New Roman" w:cs="Times New Roman"/>
          <w:b/>
          <w:bCs/>
          <w:spacing w:val="-4"/>
          <w:sz w:val="28"/>
          <w:szCs w:val="28"/>
        </w:rPr>
        <w:t>STOCK ASSESSMENT CONDUCTED)</w:t>
      </w:r>
      <w:bookmarkEnd w:id="4"/>
    </w:p>
    <w:p w14:paraId="7934437D" w14:textId="77777777" w:rsidR="0086258F" w:rsidRPr="00183926" w:rsidRDefault="0086258F" w:rsidP="00B32B1F">
      <w:pPr>
        <w:adjustRightInd w:val="0"/>
        <w:snapToGrid w:val="0"/>
        <w:spacing w:after="0" w:line="240" w:lineRule="auto"/>
        <w:rPr>
          <w:rFonts w:ascii="Times New Roman" w:hAnsi="Times New Roman" w:cs="Times New Roman"/>
          <w:spacing w:val="-4"/>
        </w:rPr>
      </w:pPr>
    </w:p>
    <w:p w14:paraId="64591B7A" w14:textId="385F2849" w:rsidR="00B32B1F" w:rsidRPr="00183926" w:rsidRDefault="00B32B1F" w:rsidP="00B32B1F">
      <w:pPr>
        <w:pStyle w:val="Heading7"/>
        <w:numPr>
          <w:ilvl w:val="0"/>
          <w:numId w:val="25"/>
        </w:numPr>
        <w:adjustRightInd w:val="0"/>
        <w:snapToGrid w:val="0"/>
        <w:spacing w:before="0" w:line="240" w:lineRule="auto"/>
        <w:ind w:left="0" w:firstLine="0"/>
        <w:rPr>
          <w:rFonts w:ascii="Times New Roman" w:hAnsi="Times New Roman" w:cs="Times New Roman"/>
          <w:b/>
          <w:bCs/>
          <w:i w:val="0"/>
          <w:iCs w:val="0"/>
          <w:color w:val="auto"/>
          <w:spacing w:val="-4"/>
          <w:lang w:eastAsia="ko-KR"/>
        </w:rPr>
      </w:pPr>
      <w:r w:rsidRPr="00183926">
        <w:rPr>
          <w:rFonts w:ascii="Times New Roman" w:hAnsi="Times New Roman" w:cs="Times New Roman"/>
          <w:b/>
          <w:bCs/>
          <w:i w:val="0"/>
          <w:iCs w:val="0"/>
          <w:color w:val="auto"/>
          <w:spacing w:val="-4"/>
        </w:rPr>
        <w:t>S</w:t>
      </w:r>
      <w:r w:rsidRPr="00183926">
        <w:rPr>
          <w:rFonts w:ascii="Times New Roman" w:hAnsi="Times New Roman" w:cs="Times New Roman"/>
          <w:b/>
          <w:bCs/>
          <w:i w:val="0"/>
          <w:iCs w:val="0"/>
          <w:color w:val="auto"/>
          <w:spacing w:val="-4"/>
          <w:lang w:eastAsia="ko-KR"/>
        </w:rPr>
        <w:t>tock s</w:t>
      </w:r>
      <w:r w:rsidRPr="00183926">
        <w:rPr>
          <w:rFonts w:ascii="Times New Roman" w:hAnsi="Times New Roman" w:cs="Times New Roman"/>
          <w:b/>
          <w:bCs/>
          <w:i w:val="0"/>
          <w:iCs w:val="0"/>
          <w:color w:val="auto"/>
          <w:spacing w:val="-4"/>
        </w:rPr>
        <w:t>tatus and trends</w:t>
      </w:r>
    </w:p>
    <w:p w14:paraId="497FF295" w14:textId="77777777" w:rsidR="00B32B1F" w:rsidRPr="00183926" w:rsidRDefault="00B32B1F" w:rsidP="00B32B1F">
      <w:pPr>
        <w:adjustRightInd w:val="0"/>
        <w:snapToGrid w:val="0"/>
        <w:spacing w:after="0" w:line="240" w:lineRule="auto"/>
        <w:rPr>
          <w:rFonts w:ascii="Times New Roman" w:hAnsi="Times New Roman" w:cs="Times New Roman"/>
          <w:spacing w:val="-4"/>
          <w:lang w:val="en-NZ" w:eastAsia="ko-KR"/>
        </w:rPr>
      </w:pPr>
    </w:p>
    <w:p w14:paraId="4C8A211C" w14:textId="77777777" w:rsidR="00B32B1F" w:rsidRPr="00C91950" w:rsidRDefault="00B32B1F" w:rsidP="00C91950">
      <w:pPr>
        <w:pStyle w:val="WCPFC"/>
        <w:numPr>
          <w:ilvl w:val="0"/>
          <w:numId w:val="26"/>
        </w:numPr>
        <w:adjustRightInd w:val="0"/>
        <w:spacing w:after="0"/>
        <w:rPr>
          <w:rFonts w:cs="Times New Roman"/>
          <w:bCs/>
          <w:spacing w:val="-4"/>
        </w:rPr>
      </w:pPr>
      <w:r w:rsidRPr="00C91950">
        <w:rPr>
          <w:rFonts w:cs="Times New Roman"/>
          <w:bCs/>
          <w:spacing w:val="-4"/>
        </w:rPr>
        <w:t xml:space="preserve">SC12 noted the stock status for Pacific blue marlin provided by ISC in </w:t>
      </w:r>
      <w:r w:rsidRPr="00C91950">
        <w:rPr>
          <w:rFonts w:cs="Times New Roman"/>
          <w:bCs/>
          <w:spacing w:val="-4"/>
          <w:lang w:eastAsia="ko-KR"/>
        </w:rPr>
        <w:t>SC12-</w:t>
      </w:r>
      <w:r w:rsidRPr="00C91950">
        <w:rPr>
          <w:rFonts w:cs="Times New Roman"/>
          <w:bCs/>
          <w:spacing w:val="-4"/>
        </w:rPr>
        <w:t xml:space="preserve">GN-IP-02 and </w:t>
      </w:r>
      <w:r w:rsidRPr="00C91950">
        <w:rPr>
          <w:rFonts w:cs="Times New Roman"/>
          <w:bCs/>
          <w:spacing w:val="-4"/>
          <w:lang w:eastAsia="ko-KR"/>
        </w:rPr>
        <w:t>SC12-</w:t>
      </w:r>
      <w:r w:rsidRPr="00C91950">
        <w:rPr>
          <w:rFonts w:cs="Times New Roman"/>
          <w:bCs/>
          <w:spacing w:val="-4"/>
        </w:rPr>
        <w:t>SA-WP-12:</w:t>
      </w:r>
    </w:p>
    <w:p w14:paraId="2989ED41" w14:textId="77777777" w:rsidR="00B32B1F" w:rsidRPr="00B32B1F" w:rsidRDefault="00B32B1F" w:rsidP="00B32B1F">
      <w:pPr>
        <w:pStyle w:val="WCPFC"/>
        <w:numPr>
          <w:ilvl w:val="0"/>
          <w:numId w:val="0"/>
        </w:numPr>
        <w:adjustRightInd w:val="0"/>
        <w:spacing w:after="0"/>
        <w:ind w:left="720"/>
        <w:rPr>
          <w:rFonts w:cs="Times New Roman"/>
          <w:spacing w:val="-4"/>
        </w:rPr>
      </w:pPr>
      <w:r w:rsidRPr="00B32B1F">
        <w:rPr>
          <w:rFonts w:cs="Times New Roman"/>
          <w:spacing w:val="-4"/>
        </w:rPr>
        <w:t xml:space="preserve">Estimates of total BUM stock biomass show a long term decline. Population biomass (age-1 and older) averaged roughly 130,965 t in 1971-1975, the first 5 years of the assessment time frame, and has declined by approximately 40% to 78,082 t in 2014 (Figure 7-11). Female spawning biomass was estimated to be 24,809 t in 2014, or about 25% above SSBMSY (Table 7-3 and Table 7-4). Fishing mortality on the stock (average F, ages 2 and older) averaged roughly F = 0.28 during 2012-2014, or about 12% below FMSY. The estimated spawning potential ratio of the stock (SPR, the predicted spawning output at the current F as a fraction of unfished spawning output) is currently SPR2012-2014 = 21%. Annual recruitment averaged about 897,000 recruits during 2008-2014, and no long-term trend in recruitment was apparent. Overall, the time series of spawning stock biomass and recruitment estimates indicate a long-term decline in spawning stock biomass and suggest a fluctuating pattern without trend for recruitment (Figure 7-11). </w:t>
      </w:r>
    </w:p>
    <w:p w14:paraId="2B5FAC2F" w14:textId="77777777" w:rsidR="00B32B1F" w:rsidRPr="00B32B1F" w:rsidRDefault="00B32B1F" w:rsidP="00B32B1F">
      <w:pPr>
        <w:widowControl w:val="0"/>
        <w:adjustRightInd w:val="0"/>
        <w:snapToGrid w:val="0"/>
        <w:spacing w:after="0" w:line="240" w:lineRule="auto"/>
        <w:ind w:left="540" w:right="121"/>
        <w:rPr>
          <w:rFonts w:ascii="Times New Roman" w:eastAsia="Times New Roman" w:hAnsi="Times New Roman" w:cs="Times New Roman"/>
          <w:spacing w:val="-4"/>
          <w:sz w:val="24"/>
          <w:szCs w:val="24"/>
        </w:rPr>
      </w:pPr>
    </w:p>
    <w:p w14:paraId="105D4B30" w14:textId="77777777" w:rsidR="00B32B1F" w:rsidRPr="00B32B1F" w:rsidRDefault="00B32B1F" w:rsidP="00B32B1F">
      <w:pPr>
        <w:adjustRightInd w:val="0"/>
        <w:snapToGrid w:val="0"/>
        <w:spacing w:after="0" w:line="240" w:lineRule="auto"/>
        <w:ind w:right="30"/>
        <w:jc w:val="both"/>
        <w:rPr>
          <w:rFonts w:ascii="Times New Roman" w:eastAsia="Times New Roman" w:hAnsi="Times New Roman" w:cs="Times New Roman"/>
          <w:spacing w:val="-4"/>
        </w:rPr>
      </w:pPr>
      <w:r w:rsidRPr="00B32B1F">
        <w:rPr>
          <w:rFonts w:ascii="Times New Roman" w:hAnsi="Times New Roman" w:cs="Times New Roman"/>
          <w:b/>
          <w:spacing w:val="-4"/>
        </w:rPr>
        <w:t>Table 7-3.</w:t>
      </w:r>
      <w:r w:rsidRPr="00B32B1F">
        <w:rPr>
          <w:rFonts w:ascii="Times New Roman" w:hAnsi="Times New Roman" w:cs="Times New Roman"/>
          <w:spacing w:val="-4"/>
        </w:rPr>
        <w:t xml:space="preserve"> Reported catch (t) used in the stock assessment along with annual estimates of population biomass (age-1 and older, t), female spawning</w:t>
      </w:r>
      <w:r w:rsidRPr="00B32B1F">
        <w:rPr>
          <w:rFonts w:ascii="Times New Roman" w:hAnsi="Times New Roman" w:cs="Times New Roman"/>
          <w:spacing w:val="-4"/>
          <w:w w:val="99"/>
        </w:rPr>
        <w:t xml:space="preserve"> </w:t>
      </w:r>
      <w:r w:rsidRPr="00B32B1F">
        <w:rPr>
          <w:rFonts w:ascii="Times New Roman" w:hAnsi="Times New Roman" w:cs="Times New Roman"/>
          <w:spacing w:val="-4"/>
          <w:position w:val="1"/>
        </w:rPr>
        <w:t>biomass (t), relative female spawning biomass (SSB/SSB</w:t>
      </w:r>
      <w:r w:rsidRPr="00B32B1F">
        <w:rPr>
          <w:rFonts w:ascii="Times New Roman" w:hAnsi="Times New Roman" w:cs="Times New Roman"/>
          <w:spacing w:val="-4"/>
        </w:rPr>
        <w:t>MSY</w:t>
      </w:r>
      <w:r w:rsidRPr="00B32B1F">
        <w:rPr>
          <w:rFonts w:ascii="Times New Roman" w:hAnsi="Times New Roman" w:cs="Times New Roman"/>
          <w:spacing w:val="-4"/>
          <w:position w:val="1"/>
        </w:rPr>
        <w:t>), recruitment (thousands of age-0 fish), fishing mortality (average F, ages-2 and older),</w:t>
      </w:r>
      <w:r w:rsidRPr="00B32B1F">
        <w:rPr>
          <w:rFonts w:ascii="Times New Roman" w:hAnsi="Times New Roman" w:cs="Times New Roman"/>
          <w:spacing w:val="-4"/>
          <w:w w:val="99"/>
          <w:position w:val="1"/>
        </w:rPr>
        <w:t xml:space="preserve"> </w:t>
      </w:r>
      <w:r w:rsidRPr="00B32B1F">
        <w:rPr>
          <w:rFonts w:ascii="Times New Roman" w:hAnsi="Times New Roman" w:cs="Times New Roman"/>
          <w:spacing w:val="-4"/>
          <w:position w:val="1"/>
        </w:rPr>
        <w:t>relative fishing mortality (F/F</w:t>
      </w:r>
      <w:r w:rsidRPr="00B32B1F">
        <w:rPr>
          <w:rFonts w:ascii="Times New Roman" w:hAnsi="Times New Roman" w:cs="Times New Roman"/>
          <w:spacing w:val="-4"/>
        </w:rPr>
        <w:t>MSY</w:t>
      </w:r>
      <w:r w:rsidRPr="00B32B1F">
        <w:rPr>
          <w:rFonts w:ascii="Times New Roman" w:hAnsi="Times New Roman" w:cs="Times New Roman"/>
          <w:spacing w:val="-4"/>
          <w:position w:val="1"/>
        </w:rPr>
        <w:t>), and spawning potential ratio of Pacific blue marlin.</w:t>
      </w:r>
    </w:p>
    <w:p w14:paraId="661A282F" w14:textId="77777777" w:rsidR="00B32B1F" w:rsidRPr="00662464" w:rsidRDefault="00B32B1F" w:rsidP="00B32B1F">
      <w:pPr>
        <w:adjustRightInd w:val="0"/>
        <w:snapToGrid w:val="0"/>
        <w:spacing w:after="0" w:line="240" w:lineRule="auto"/>
        <w:ind w:left="440"/>
        <w:rPr>
          <w:rFonts w:ascii="Times New Roman" w:eastAsia="Times New Roman" w:hAnsi="Times New Roman" w:cs="Times New Roman"/>
          <w:bCs/>
          <w:sz w:val="3"/>
          <w:szCs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09"/>
        <w:gridCol w:w="649"/>
        <w:gridCol w:w="656"/>
        <w:gridCol w:w="632"/>
        <w:gridCol w:w="683"/>
        <w:gridCol w:w="683"/>
        <w:gridCol w:w="683"/>
        <w:gridCol w:w="683"/>
        <w:gridCol w:w="789"/>
        <w:gridCol w:w="694"/>
        <w:gridCol w:w="789"/>
      </w:tblGrid>
      <w:tr w:rsidR="00B32B1F" w:rsidRPr="00B32B1F" w14:paraId="073097E9" w14:textId="77777777" w:rsidTr="00B32B1F">
        <w:tc>
          <w:tcPr>
            <w:tcW w:w="1288" w:type="pct"/>
            <w:vAlign w:val="center"/>
          </w:tcPr>
          <w:p w14:paraId="14847250" w14:textId="77777777" w:rsidR="00B32B1F" w:rsidRPr="00B32B1F" w:rsidRDefault="00B32B1F" w:rsidP="00B32B1F">
            <w:pPr>
              <w:pStyle w:val="TableParagraph"/>
              <w:adjustRightInd w:val="0"/>
              <w:snapToGrid w:val="0"/>
              <w:ind w:right="108"/>
              <w:jc w:val="center"/>
              <w:rPr>
                <w:rFonts w:ascii="Times New Roman" w:eastAsia="Calibri" w:hAnsi="Times New Roman" w:cs="Times New Roman"/>
                <w:b/>
                <w:sz w:val="20"/>
                <w:szCs w:val="20"/>
              </w:rPr>
            </w:pPr>
            <w:r w:rsidRPr="00B32B1F">
              <w:rPr>
                <w:rFonts w:ascii="Times New Roman" w:hAnsi="Times New Roman" w:cs="Times New Roman"/>
                <w:b/>
                <w:sz w:val="20"/>
                <w:szCs w:val="20"/>
              </w:rPr>
              <w:t>Year</w:t>
            </w:r>
          </w:p>
        </w:tc>
        <w:tc>
          <w:tcPr>
            <w:tcW w:w="347" w:type="pct"/>
            <w:vAlign w:val="center"/>
          </w:tcPr>
          <w:p w14:paraId="3822155E" w14:textId="77777777" w:rsidR="00B32B1F" w:rsidRPr="00B32B1F" w:rsidRDefault="00B32B1F" w:rsidP="00B32B1F">
            <w:pPr>
              <w:pStyle w:val="TableParagraph"/>
              <w:adjustRightInd w:val="0"/>
              <w:snapToGrid w:val="0"/>
              <w:ind w:left="58"/>
              <w:jc w:val="center"/>
              <w:rPr>
                <w:rFonts w:ascii="Times New Roman" w:eastAsia="Calibri" w:hAnsi="Times New Roman" w:cs="Times New Roman"/>
                <w:b/>
                <w:sz w:val="20"/>
                <w:szCs w:val="20"/>
              </w:rPr>
            </w:pPr>
            <w:r w:rsidRPr="00B32B1F">
              <w:rPr>
                <w:rFonts w:ascii="Times New Roman" w:hAnsi="Times New Roman" w:cs="Times New Roman"/>
                <w:b/>
                <w:sz w:val="20"/>
                <w:szCs w:val="20"/>
              </w:rPr>
              <w:t>2008</w:t>
            </w:r>
          </w:p>
        </w:tc>
        <w:tc>
          <w:tcPr>
            <w:tcW w:w="351" w:type="pct"/>
            <w:vAlign w:val="center"/>
          </w:tcPr>
          <w:p w14:paraId="0E9A9ABB" w14:textId="77777777" w:rsidR="00B32B1F" w:rsidRPr="00B32B1F" w:rsidRDefault="00B32B1F" w:rsidP="00B32B1F">
            <w:pPr>
              <w:pStyle w:val="TableParagraph"/>
              <w:adjustRightInd w:val="0"/>
              <w:snapToGrid w:val="0"/>
              <w:ind w:left="64"/>
              <w:jc w:val="center"/>
              <w:rPr>
                <w:rFonts w:ascii="Times New Roman" w:eastAsia="Calibri" w:hAnsi="Times New Roman" w:cs="Times New Roman"/>
                <w:b/>
                <w:sz w:val="20"/>
                <w:szCs w:val="20"/>
              </w:rPr>
            </w:pPr>
            <w:r w:rsidRPr="00B32B1F">
              <w:rPr>
                <w:rFonts w:ascii="Times New Roman" w:hAnsi="Times New Roman" w:cs="Times New Roman"/>
                <w:b/>
                <w:sz w:val="20"/>
                <w:szCs w:val="20"/>
              </w:rPr>
              <w:t>2009</w:t>
            </w:r>
          </w:p>
        </w:tc>
        <w:tc>
          <w:tcPr>
            <w:tcW w:w="338" w:type="pct"/>
            <w:vAlign w:val="center"/>
          </w:tcPr>
          <w:p w14:paraId="5C2EBAC5" w14:textId="77777777" w:rsidR="00B32B1F" w:rsidRPr="00B32B1F" w:rsidRDefault="00B32B1F" w:rsidP="00B32B1F">
            <w:pPr>
              <w:pStyle w:val="TableParagraph"/>
              <w:adjustRightInd w:val="0"/>
              <w:snapToGrid w:val="0"/>
              <w:ind w:left="41"/>
              <w:jc w:val="center"/>
              <w:rPr>
                <w:rFonts w:ascii="Times New Roman" w:eastAsia="Calibri" w:hAnsi="Times New Roman" w:cs="Times New Roman"/>
                <w:b/>
                <w:sz w:val="20"/>
                <w:szCs w:val="20"/>
              </w:rPr>
            </w:pPr>
            <w:r w:rsidRPr="00B32B1F">
              <w:rPr>
                <w:rFonts w:ascii="Times New Roman" w:hAnsi="Times New Roman" w:cs="Times New Roman"/>
                <w:b/>
                <w:sz w:val="20"/>
                <w:szCs w:val="20"/>
              </w:rPr>
              <w:t>2010</w:t>
            </w:r>
          </w:p>
        </w:tc>
        <w:tc>
          <w:tcPr>
            <w:tcW w:w="365" w:type="pct"/>
            <w:vAlign w:val="center"/>
          </w:tcPr>
          <w:p w14:paraId="07BFF24F" w14:textId="77777777" w:rsidR="00B32B1F" w:rsidRPr="00B32B1F" w:rsidRDefault="00B32B1F" w:rsidP="00B32B1F">
            <w:pPr>
              <w:pStyle w:val="TableParagraph"/>
              <w:adjustRightInd w:val="0"/>
              <w:snapToGrid w:val="0"/>
              <w:ind w:left="90"/>
              <w:jc w:val="center"/>
              <w:rPr>
                <w:rFonts w:ascii="Times New Roman" w:eastAsia="Calibri" w:hAnsi="Times New Roman" w:cs="Times New Roman"/>
                <w:b/>
                <w:sz w:val="20"/>
                <w:szCs w:val="20"/>
              </w:rPr>
            </w:pPr>
            <w:r w:rsidRPr="00B32B1F">
              <w:rPr>
                <w:rFonts w:ascii="Times New Roman" w:hAnsi="Times New Roman" w:cs="Times New Roman"/>
                <w:b/>
                <w:sz w:val="20"/>
                <w:szCs w:val="20"/>
              </w:rPr>
              <w:t>2011</w:t>
            </w:r>
          </w:p>
        </w:tc>
        <w:tc>
          <w:tcPr>
            <w:tcW w:w="365" w:type="pct"/>
            <w:vAlign w:val="center"/>
          </w:tcPr>
          <w:p w14:paraId="69BF72E6" w14:textId="77777777" w:rsidR="00B32B1F" w:rsidRPr="00B32B1F" w:rsidRDefault="00B32B1F" w:rsidP="00B32B1F">
            <w:pPr>
              <w:pStyle w:val="TableParagraph"/>
              <w:adjustRightInd w:val="0"/>
              <w:snapToGrid w:val="0"/>
              <w:ind w:left="90"/>
              <w:jc w:val="center"/>
              <w:rPr>
                <w:rFonts w:ascii="Times New Roman" w:eastAsia="Calibri" w:hAnsi="Times New Roman" w:cs="Times New Roman"/>
                <w:b/>
                <w:sz w:val="20"/>
                <w:szCs w:val="20"/>
              </w:rPr>
            </w:pPr>
            <w:r w:rsidRPr="00B32B1F">
              <w:rPr>
                <w:rFonts w:ascii="Times New Roman" w:hAnsi="Times New Roman" w:cs="Times New Roman"/>
                <w:b/>
                <w:sz w:val="20"/>
                <w:szCs w:val="20"/>
              </w:rPr>
              <w:t>2012</w:t>
            </w:r>
          </w:p>
        </w:tc>
        <w:tc>
          <w:tcPr>
            <w:tcW w:w="365" w:type="pct"/>
            <w:vAlign w:val="center"/>
          </w:tcPr>
          <w:p w14:paraId="70A7D637" w14:textId="77777777" w:rsidR="00B32B1F" w:rsidRPr="00B32B1F" w:rsidRDefault="00B32B1F" w:rsidP="00B32B1F">
            <w:pPr>
              <w:pStyle w:val="TableParagraph"/>
              <w:adjustRightInd w:val="0"/>
              <w:snapToGrid w:val="0"/>
              <w:ind w:left="90"/>
              <w:jc w:val="center"/>
              <w:rPr>
                <w:rFonts w:ascii="Times New Roman" w:eastAsia="Calibri" w:hAnsi="Times New Roman" w:cs="Times New Roman"/>
                <w:b/>
                <w:sz w:val="20"/>
                <w:szCs w:val="20"/>
              </w:rPr>
            </w:pPr>
            <w:r w:rsidRPr="00B32B1F">
              <w:rPr>
                <w:rFonts w:ascii="Times New Roman" w:hAnsi="Times New Roman" w:cs="Times New Roman"/>
                <w:b/>
                <w:sz w:val="20"/>
                <w:szCs w:val="20"/>
              </w:rPr>
              <w:t>2013</w:t>
            </w:r>
          </w:p>
        </w:tc>
        <w:tc>
          <w:tcPr>
            <w:tcW w:w="365" w:type="pct"/>
            <w:vAlign w:val="center"/>
          </w:tcPr>
          <w:p w14:paraId="71D1F510" w14:textId="77777777" w:rsidR="00B32B1F" w:rsidRPr="00B32B1F" w:rsidRDefault="00B32B1F" w:rsidP="00B32B1F">
            <w:pPr>
              <w:pStyle w:val="TableParagraph"/>
              <w:adjustRightInd w:val="0"/>
              <w:snapToGrid w:val="0"/>
              <w:ind w:left="90"/>
              <w:jc w:val="center"/>
              <w:rPr>
                <w:rFonts w:ascii="Times New Roman" w:eastAsia="Calibri" w:hAnsi="Times New Roman" w:cs="Times New Roman"/>
                <w:b/>
                <w:sz w:val="20"/>
                <w:szCs w:val="20"/>
              </w:rPr>
            </w:pPr>
            <w:r w:rsidRPr="00B32B1F">
              <w:rPr>
                <w:rFonts w:ascii="Times New Roman" w:hAnsi="Times New Roman" w:cs="Times New Roman"/>
                <w:b/>
                <w:sz w:val="20"/>
                <w:szCs w:val="20"/>
              </w:rPr>
              <w:t>2014</w:t>
            </w:r>
          </w:p>
        </w:tc>
        <w:tc>
          <w:tcPr>
            <w:tcW w:w="422" w:type="pct"/>
            <w:vAlign w:val="center"/>
          </w:tcPr>
          <w:p w14:paraId="1EB35509" w14:textId="77777777" w:rsidR="00B32B1F" w:rsidRPr="00B32B1F" w:rsidRDefault="00B32B1F" w:rsidP="00B32B1F">
            <w:pPr>
              <w:pStyle w:val="TableParagraph"/>
              <w:adjustRightInd w:val="0"/>
              <w:snapToGrid w:val="0"/>
              <w:ind w:left="90"/>
              <w:jc w:val="center"/>
              <w:rPr>
                <w:rFonts w:ascii="Times New Roman" w:eastAsia="Calibri" w:hAnsi="Times New Roman" w:cs="Times New Roman"/>
                <w:b/>
                <w:sz w:val="20"/>
                <w:szCs w:val="20"/>
              </w:rPr>
            </w:pPr>
            <w:r w:rsidRPr="00B32B1F">
              <w:rPr>
                <w:rFonts w:ascii="Times New Roman" w:hAnsi="Times New Roman" w:cs="Times New Roman"/>
                <w:b/>
                <w:sz w:val="20"/>
                <w:szCs w:val="20"/>
              </w:rPr>
              <w:t>Mean</w:t>
            </w:r>
            <w:r w:rsidRPr="00B32B1F">
              <w:rPr>
                <w:rFonts w:ascii="Times New Roman" w:hAnsi="Times New Roman" w:cs="Times New Roman"/>
                <w:b/>
                <w:sz w:val="20"/>
                <w:szCs w:val="20"/>
                <w:vertAlign w:val="superscript"/>
              </w:rPr>
              <w:t>1</w:t>
            </w:r>
          </w:p>
        </w:tc>
        <w:tc>
          <w:tcPr>
            <w:tcW w:w="371" w:type="pct"/>
            <w:vAlign w:val="center"/>
          </w:tcPr>
          <w:p w14:paraId="60D1F53D" w14:textId="77777777" w:rsidR="00B32B1F" w:rsidRPr="00B32B1F" w:rsidRDefault="00B32B1F" w:rsidP="00B32B1F">
            <w:pPr>
              <w:pStyle w:val="TableParagraph"/>
              <w:adjustRightInd w:val="0"/>
              <w:snapToGrid w:val="0"/>
              <w:ind w:left="100"/>
              <w:jc w:val="center"/>
              <w:rPr>
                <w:rFonts w:ascii="Times New Roman" w:eastAsia="Calibri" w:hAnsi="Times New Roman" w:cs="Times New Roman"/>
                <w:b/>
                <w:sz w:val="20"/>
                <w:szCs w:val="20"/>
              </w:rPr>
            </w:pPr>
            <w:r w:rsidRPr="00B32B1F">
              <w:rPr>
                <w:rFonts w:ascii="Times New Roman" w:hAnsi="Times New Roman" w:cs="Times New Roman"/>
                <w:b/>
                <w:sz w:val="20"/>
                <w:szCs w:val="20"/>
              </w:rPr>
              <w:t>Min</w:t>
            </w:r>
            <w:r w:rsidRPr="00B32B1F">
              <w:rPr>
                <w:rFonts w:ascii="Times New Roman" w:hAnsi="Times New Roman" w:cs="Times New Roman"/>
                <w:b/>
                <w:sz w:val="20"/>
                <w:szCs w:val="20"/>
                <w:vertAlign w:val="superscript"/>
              </w:rPr>
              <w:t>1</w:t>
            </w:r>
          </w:p>
        </w:tc>
        <w:tc>
          <w:tcPr>
            <w:tcW w:w="422" w:type="pct"/>
            <w:vAlign w:val="center"/>
          </w:tcPr>
          <w:p w14:paraId="71B9FD20" w14:textId="77777777" w:rsidR="00B32B1F" w:rsidRPr="00B32B1F" w:rsidRDefault="00B32B1F" w:rsidP="00B32B1F">
            <w:pPr>
              <w:pStyle w:val="TableParagraph"/>
              <w:adjustRightInd w:val="0"/>
              <w:snapToGrid w:val="0"/>
              <w:ind w:left="90"/>
              <w:jc w:val="center"/>
              <w:rPr>
                <w:rFonts w:ascii="Times New Roman" w:eastAsia="Calibri" w:hAnsi="Times New Roman" w:cs="Times New Roman"/>
                <w:b/>
                <w:sz w:val="20"/>
                <w:szCs w:val="20"/>
              </w:rPr>
            </w:pPr>
            <w:r w:rsidRPr="00B32B1F">
              <w:rPr>
                <w:rFonts w:ascii="Times New Roman" w:hAnsi="Times New Roman" w:cs="Times New Roman"/>
                <w:b/>
                <w:sz w:val="20"/>
                <w:szCs w:val="20"/>
              </w:rPr>
              <w:t>Max</w:t>
            </w:r>
            <w:r w:rsidRPr="00B32B1F">
              <w:rPr>
                <w:rFonts w:ascii="Times New Roman" w:hAnsi="Times New Roman" w:cs="Times New Roman"/>
                <w:b/>
                <w:sz w:val="20"/>
                <w:szCs w:val="20"/>
                <w:vertAlign w:val="superscript"/>
              </w:rPr>
              <w:t>1</w:t>
            </w:r>
          </w:p>
        </w:tc>
      </w:tr>
      <w:tr w:rsidR="00B32B1F" w:rsidRPr="00B32B1F" w14:paraId="048F4BEB" w14:textId="77777777" w:rsidTr="00B32B1F">
        <w:tc>
          <w:tcPr>
            <w:tcW w:w="1288" w:type="pct"/>
          </w:tcPr>
          <w:p w14:paraId="6E406CAE" w14:textId="77777777" w:rsidR="00B32B1F" w:rsidRPr="00B32B1F" w:rsidRDefault="00B32B1F" w:rsidP="00B32B1F">
            <w:pPr>
              <w:pStyle w:val="TableParagraph"/>
              <w:adjustRightInd w:val="0"/>
              <w:snapToGrid w:val="0"/>
              <w:ind w:left="107"/>
              <w:rPr>
                <w:rFonts w:ascii="Times New Roman" w:eastAsia="Calibri" w:hAnsi="Times New Roman" w:cs="Times New Roman"/>
                <w:sz w:val="20"/>
                <w:szCs w:val="20"/>
              </w:rPr>
            </w:pPr>
            <w:r w:rsidRPr="00B32B1F">
              <w:rPr>
                <w:rFonts w:ascii="Times New Roman" w:hAnsi="Times New Roman" w:cs="Times New Roman"/>
                <w:sz w:val="20"/>
                <w:szCs w:val="20"/>
              </w:rPr>
              <w:t>Reported</w:t>
            </w:r>
            <w:r w:rsidRPr="00B32B1F">
              <w:rPr>
                <w:rFonts w:ascii="Times New Roman" w:hAnsi="Times New Roman" w:cs="Times New Roman"/>
                <w:spacing w:val="-8"/>
                <w:sz w:val="20"/>
                <w:szCs w:val="20"/>
              </w:rPr>
              <w:t xml:space="preserve"> </w:t>
            </w:r>
            <w:r w:rsidRPr="00B32B1F">
              <w:rPr>
                <w:rFonts w:ascii="Times New Roman" w:hAnsi="Times New Roman" w:cs="Times New Roman"/>
                <w:sz w:val="20"/>
                <w:szCs w:val="20"/>
              </w:rPr>
              <w:t>Catch</w:t>
            </w:r>
          </w:p>
        </w:tc>
        <w:tc>
          <w:tcPr>
            <w:tcW w:w="347" w:type="pct"/>
          </w:tcPr>
          <w:p w14:paraId="38964167" w14:textId="77777777" w:rsidR="00B32B1F" w:rsidRPr="00B32B1F" w:rsidRDefault="00B32B1F" w:rsidP="00B32B1F">
            <w:pPr>
              <w:pStyle w:val="TableParagraph"/>
              <w:adjustRightInd w:val="0"/>
              <w:snapToGrid w:val="0"/>
              <w:ind w:left="58"/>
              <w:jc w:val="right"/>
              <w:rPr>
                <w:rFonts w:ascii="Times New Roman" w:eastAsia="Calibri" w:hAnsi="Times New Roman" w:cs="Times New Roman"/>
                <w:sz w:val="20"/>
                <w:szCs w:val="20"/>
              </w:rPr>
            </w:pPr>
            <w:r w:rsidRPr="00B32B1F">
              <w:rPr>
                <w:rFonts w:ascii="Times New Roman" w:hAnsi="Times New Roman" w:cs="Times New Roman"/>
                <w:sz w:val="20"/>
                <w:szCs w:val="20"/>
              </w:rPr>
              <w:t>17,828</w:t>
            </w:r>
          </w:p>
        </w:tc>
        <w:tc>
          <w:tcPr>
            <w:tcW w:w="351" w:type="pct"/>
          </w:tcPr>
          <w:p w14:paraId="7757DF5C" w14:textId="77777777" w:rsidR="00B32B1F" w:rsidRPr="00B32B1F" w:rsidRDefault="00B32B1F" w:rsidP="00B32B1F">
            <w:pPr>
              <w:pStyle w:val="TableParagraph"/>
              <w:adjustRightInd w:val="0"/>
              <w:snapToGrid w:val="0"/>
              <w:ind w:left="64"/>
              <w:jc w:val="right"/>
              <w:rPr>
                <w:rFonts w:ascii="Times New Roman" w:eastAsia="Calibri" w:hAnsi="Times New Roman" w:cs="Times New Roman"/>
                <w:sz w:val="20"/>
                <w:szCs w:val="20"/>
              </w:rPr>
            </w:pPr>
            <w:r w:rsidRPr="00B32B1F">
              <w:rPr>
                <w:rFonts w:ascii="Times New Roman" w:hAnsi="Times New Roman" w:cs="Times New Roman"/>
                <w:sz w:val="20"/>
                <w:szCs w:val="20"/>
              </w:rPr>
              <w:t>18,282</w:t>
            </w:r>
          </w:p>
        </w:tc>
        <w:tc>
          <w:tcPr>
            <w:tcW w:w="338" w:type="pct"/>
          </w:tcPr>
          <w:p w14:paraId="0120CF8D" w14:textId="77777777" w:rsidR="00B32B1F" w:rsidRPr="00B32B1F" w:rsidRDefault="00B32B1F" w:rsidP="00B32B1F">
            <w:pPr>
              <w:pStyle w:val="TableParagraph"/>
              <w:adjustRightInd w:val="0"/>
              <w:snapToGrid w:val="0"/>
              <w:ind w:left="41"/>
              <w:jc w:val="right"/>
              <w:rPr>
                <w:rFonts w:ascii="Times New Roman" w:eastAsia="Calibri" w:hAnsi="Times New Roman" w:cs="Times New Roman"/>
                <w:sz w:val="20"/>
                <w:szCs w:val="20"/>
              </w:rPr>
            </w:pPr>
            <w:r w:rsidRPr="00B32B1F">
              <w:rPr>
                <w:rFonts w:ascii="Times New Roman" w:hAnsi="Times New Roman" w:cs="Times New Roman"/>
                <w:sz w:val="20"/>
                <w:szCs w:val="20"/>
              </w:rPr>
              <w:t>20,086</w:t>
            </w:r>
          </w:p>
        </w:tc>
        <w:tc>
          <w:tcPr>
            <w:tcW w:w="365" w:type="pct"/>
          </w:tcPr>
          <w:p w14:paraId="62C702E7"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18,165</w:t>
            </w:r>
          </w:p>
        </w:tc>
        <w:tc>
          <w:tcPr>
            <w:tcW w:w="365" w:type="pct"/>
          </w:tcPr>
          <w:p w14:paraId="07C737FB"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19,407</w:t>
            </w:r>
          </w:p>
        </w:tc>
        <w:tc>
          <w:tcPr>
            <w:tcW w:w="365" w:type="pct"/>
          </w:tcPr>
          <w:p w14:paraId="00BB51E2"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20,727</w:t>
            </w:r>
          </w:p>
        </w:tc>
        <w:tc>
          <w:tcPr>
            <w:tcW w:w="365" w:type="pct"/>
          </w:tcPr>
          <w:p w14:paraId="2D40F955"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20,356</w:t>
            </w:r>
          </w:p>
        </w:tc>
        <w:tc>
          <w:tcPr>
            <w:tcW w:w="422" w:type="pct"/>
          </w:tcPr>
          <w:p w14:paraId="30AA0E7E"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18,232</w:t>
            </w:r>
          </w:p>
        </w:tc>
        <w:tc>
          <w:tcPr>
            <w:tcW w:w="371" w:type="pct"/>
          </w:tcPr>
          <w:p w14:paraId="06FACA3C" w14:textId="77777777" w:rsidR="00B32B1F" w:rsidRPr="00B32B1F" w:rsidRDefault="00B32B1F" w:rsidP="00B32B1F">
            <w:pPr>
              <w:pStyle w:val="TableParagraph"/>
              <w:adjustRightInd w:val="0"/>
              <w:snapToGrid w:val="0"/>
              <w:ind w:left="100"/>
              <w:jc w:val="right"/>
              <w:rPr>
                <w:rFonts w:ascii="Times New Roman" w:eastAsia="Calibri" w:hAnsi="Times New Roman" w:cs="Times New Roman"/>
                <w:sz w:val="20"/>
                <w:szCs w:val="20"/>
              </w:rPr>
            </w:pPr>
            <w:r w:rsidRPr="00B32B1F">
              <w:rPr>
                <w:rFonts w:ascii="Times New Roman" w:hAnsi="Times New Roman" w:cs="Times New Roman"/>
                <w:sz w:val="20"/>
                <w:szCs w:val="20"/>
              </w:rPr>
              <w:t>9,160</w:t>
            </w:r>
          </w:p>
        </w:tc>
        <w:tc>
          <w:tcPr>
            <w:tcW w:w="422" w:type="pct"/>
          </w:tcPr>
          <w:p w14:paraId="5E2D2272"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25,589</w:t>
            </w:r>
          </w:p>
        </w:tc>
      </w:tr>
      <w:tr w:rsidR="00B32B1F" w:rsidRPr="00B32B1F" w14:paraId="6BE8C908" w14:textId="77777777" w:rsidTr="00B32B1F">
        <w:tc>
          <w:tcPr>
            <w:tcW w:w="1288" w:type="pct"/>
          </w:tcPr>
          <w:p w14:paraId="08601FBC" w14:textId="77777777" w:rsidR="00B32B1F" w:rsidRPr="00B32B1F" w:rsidRDefault="00B32B1F" w:rsidP="00B32B1F">
            <w:pPr>
              <w:pStyle w:val="TableParagraph"/>
              <w:adjustRightInd w:val="0"/>
              <w:snapToGrid w:val="0"/>
              <w:ind w:left="107"/>
              <w:rPr>
                <w:rFonts w:ascii="Times New Roman" w:eastAsia="Calibri" w:hAnsi="Times New Roman" w:cs="Times New Roman"/>
                <w:sz w:val="20"/>
                <w:szCs w:val="20"/>
              </w:rPr>
            </w:pPr>
            <w:r w:rsidRPr="00B32B1F">
              <w:rPr>
                <w:rFonts w:ascii="Times New Roman" w:hAnsi="Times New Roman" w:cs="Times New Roman"/>
                <w:sz w:val="20"/>
                <w:szCs w:val="20"/>
              </w:rPr>
              <w:t>Population</w:t>
            </w:r>
            <w:r w:rsidRPr="00B32B1F">
              <w:rPr>
                <w:rFonts w:ascii="Times New Roman" w:hAnsi="Times New Roman" w:cs="Times New Roman"/>
                <w:spacing w:val="-8"/>
                <w:sz w:val="20"/>
                <w:szCs w:val="20"/>
              </w:rPr>
              <w:t xml:space="preserve"> </w:t>
            </w:r>
            <w:r w:rsidRPr="00B32B1F">
              <w:rPr>
                <w:rFonts w:ascii="Times New Roman" w:hAnsi="Times New Roman" w:cs="Times New Roman"/>
                <w:sz w:val="20"/>
                <w:szCs w:val="20"/>
              </w:rPr>
              <w:t>Biomass</w:t>
            </w:r>
          </w:p>
        </w:tc>
        <w:tc>
          <w:tcPr>
            <w:tcW w:w="347" w:type="pct"/>
          </w:tcPr>
          <w:p w14:paraId="6AAE2CF6" w14:textId="77777777" w:rsidR="00B32B1F" w:rsidRPr="00B32B1F" w:rsidRDefault="00B32B1F" w:rsidP="00B32B1F">
            <w:pPr>
              <w:pStyle w:val="TableParagraph"/>
              <w:adjustRightInd w:val="0"/>
              <w:snapToGrid w:val="0"/>
              <w:ind w:left="58"/>
              <w:jc w:val="right"/>
              <w:rPr>
                <w:rFonts w:ascii="Times New Roman" w:eastAsia="Calibri" w:hAnsi="Times New Roman" w:cs="Times New Roman"/>
                <w:sz w:val="20"/>
                <w:szCs w:val="20"/>
              </w:rPr>
            </w:pPr>
            <w:r w:rsidRPr="00B32B1F">
              <w:rPr>
                <w:rFonts w:ascii="Times New Roman" w:hAnsi="Times New Roman" w:cs="Times New Roman"/>
                <w:sz w:val="20"/>
                <w:szCs w:val="20"/>
              </w:rPr>
              <w:t>71,768</w:t>
            </w:r>
          </w:p>
        </w:tc>
        <w:tc>
          <w:tcPr>
            <w:tcW w:w="351" w:type="pct"/>
          </w:tcPr>
          <w:p w14:paraId="36FFC604" w14:textId="77777777" w:rsidR="00B32B1F" w:rsidRPr="00B32B1F" w:rsidRDefault="00B32B1F" w:rsidP="00B32B1F">
            <w:pPr>
              <w:pStyle w:val="TableParagraph"/>
              <w:adjustRightInd w:val="0"/>
              <w:snapToGrid w:val="0"/>
              <w:ind w:left="64"/>
              <w:jc w:val="right"/>
              <w:rPr>
                <w:rFonts w:ascii="Times New Roman" w:eastAsia="Calibri" w:hAnsi="Times New Roman" w:cs="Times New Roman"/>
                <w:sz w:val="20"/>
                <w:szCs w:val="20"/>
              </w:rPr>
            </w:pPr>
            <w:r w:rsidRPr="00B32B1F">
              <w:rPr>
                <w:rFonts w:ascii="Times New Roman" w:hAnsi="Times New Roman" w:cs="Times New Roman"/>
                <w:sz w:val="20"/>
                <w:szCs w:val="20"/>
              </w:rPr>
              <w:t>69,720</w:t>
            </w:r>
          </w:p>
        </w:tc>
        <w:tc>
          <w:tcPr>
            <w:tcW w:w="338" w:type="pct"/>
          </w:tcPr>
          <w:p w14:paraId="0D5C4978" w14:textId="77777777" w:rsidR="00B32B1F" w:rsidRPr="00B32B1F" w:rsidRDefault="00B32B1F" w:rsidP="00B32B1F">
            <w:pPr>
              <w:pStyle w:val="TableParagraph"/>
              <w:adjustRightInd w:val="0"/>
              <w:snapToGrid w:val="0"/>
              <w:ind w:left="41"/>
              <w:jc w:val="right"/>
              <w:rPr>
                <w:rFonts w:ascii="Times New Roman" w:eastAsia="Calibri" w:hAnsi="Times New Roman" w:cs="Times New Roman"/>
                <w:sz w:val="20"/>
                <w:szCs w:val="20"/>
              </w:rPr>
            </w:pPr>
            <w:r w:rsidRPr="00B32B1F">
              <w:rPr>
                <w:rFonts w:ascii="Times New Roman" w:hAnsi="Times New Roman" w:cs="Times New Roman"/>
                <w:sz w:val="20"/>
                <w:szCs w:val="20"/>
              </w:rPr>
              <w:t>72,696</w:t>
            </w:r>
          </w:p>
        </w:tc>
        <w:tc>
          <w:tcPr>
            <w:tcW w:w="365" w:type="pct"/>
          </w:tcPr>
          <w:p w14:paraId="287B350C"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72,995</w:t>
            </w:r>
          </w:p>
        </w:tc>
        <w:tc>
          <w:tcPr>
            <w:tcW w:w="365" w:type="pct"/>
          </w:tcPr>
          <w:p w14:paraId="19AEC688"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76,697</w:t>
            </w:r>
          </w:p>
        </w:tc>
        <w:tc>
          <w:tcPr>
            <w:tcW w:w="365" w:type="pct"/>
          </w:tcPr>
          <w:p w14:paraId="61031995"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78,761</w:t>
            </w:r>
          </w:p>
        </w:tc>
        <w:tc>
          <w:tcPr>
            <w:tcW w:w="365" w:type="pct"/>
          </w:tcPr>
          <w:p w14:paraId="4EF96296"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78,082</w:t>
            </w:r>
          </w:p>
        </w:tc>
        <w:tc>
          <w:tcPr>
            <w:tcW w:w="422" w:type="pct"/>
          </w:tcPr>
          <w:p w14:paraId="5047FF30"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101,149</w:t>
            </w:r>
          </w:p>
        </w:tc>
        <w:tc>
          <w:tcPr>
            <w:tcW w:w="371" w:type="pct"/>
          </w:tcPr>
          <w:p w14:paraId="7515C773" w14:textId="77777777" w:rsidR="00B32B1F" w:rsidRPr="00B32B1F" w:rsidRDefault="00B32B1F" w:rsidP="00B32B1F">
            <w:pPr>
              <w:pStyle w:val="TableParagraph"/>
              <w:adjustRightInd w:val="0"/>
              <w:snapToGrid w:val="0"/>
              <w:ind w:left="100"/>
              <w:jc w:val="right"/>
              <w:rPr>
                <w:rFonts w:ascii="Times New Roman" w:eastAsia="Calibri" w:hAnsi="Times New Roman" w:cs="Times New Roman"/>
                <w:sz w:val="20"/>
                <w:szCs w:val="20"/>
              </w:rPr>
            </w:pPr>
            <w:r w:rsidRPr="00B32B1F">
              <w:rPr>
                <w:rFonts w:ascii="Times New Roman" w:hAnsi="Times New Roman" w:cs="Times New Roman"/>
                <w:sz w:val="20"/>
                <w:szCs w:val="20"/>
              </w:rPr>
              <w:t>69,720</w:t>
            </w:r>
          </w:p>
        </w:tc>
        <w:tc>
          <w:tcPr>
            <w:tcW w:w="422" w:type="pct"/>
          </w:tcPr>
          <w:p w14:paraId="5F918002"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135,623</w:t>
            </w:r>
          </w:p>
        </w:tc>
      </w:tr>
      <w:tr w:rsidR="00B32B1F" w:rsidRPr="00B32B1F" w14:paraId="7992F9B1" w14:textId="77777777" w:rsidTr="00B32B1F">
        <w:tc>
          <w:tcPr>
            <w:tcW w:w="1288" w:type="pct"/>
          </w:tcPr>
          <w:p w14:paraId="5C751EDB" w14:textId="77777777" w:rsidR="00B32B1F" w:rsidRPr="00B32B1F" w:rsidRDefault="00B32B1F" w:rsidP="00B32B1F">
            <w:pPr>
              <w:pStyle w:val="TableParagraph"/>
              <w:adjustRightInd w:val="0"/>
              <w:snapToGrid w:val="0"/>
              <w:ind w:left="107"/>
              <w:rPr>
                <w:rFonts w:ascii="Times New Roman" w:eastAsia="Calibri" w:hAnsi="Times New Roman" w:cs="Times New Roman"/>
                <w:sz w:val="20"/>
                <w:szCs w:val="20"/>
              </w:rPr>
            </w:pPr>
            <w:r w:rsidRPr="00B32B1F">
              <w:rPr>
                <w:rFonts w:ascii="Times New Roman" w:hAnsi="Times New Roman" w:cs="Times New Roman"/>
                <w:sz w:val="20"/>
                <w:szCs w:val="20"/>
              </w:rPr>
              <w:t>Spawning</w:t>
            </w:r>
            <w:r w:rsidRPr="00B32B1F">
              <w:rPr>
                <w:rFonts w:ascii="Times New Roman" w:hAnsi="Times New Roman" w:cs="Times New Roman"/>
                <w:spacing w:val="-9"/>
                <w:sz w:val="20"/>
                <w:szCs w:val="20"/>
              </w:rPr>
              <w:t xml:space="preserve"> </w:t>
            </w:r>
            <w:r w:rsidRPr="00B32B1F">
              <w:rPr>
                <w:rFonts w:ascii="Times New Roman" w:hAnsi="Times New Roman" w:cs="Times New Roman"/>
                <w:sz w:val="20"/>
                <w:szCs w:val="20"/>
              </w:rPr>
              <w:t>Biomass</w:t>
            </w:r>
          </w:p>
        </w:tc>
        <w:tc>
          <w:tcPr>
            <w:tcW w:w="347" w:type="pct"/>
          </w:tcPr>
          <w:p w14:paraId="142DA794" w14:textId="77777777" w:rsidR="00B32B1F" w:rsidRPr="00B32B1F" w:rsidRDefault="00B32B1F" w:rsidP="00B32B1F">
            <w:pPr>
              <w:pStyle w:val="TableParagraph"/>
              <w:adjustRightInd w:val="0"/>
              <w:snapToGrid w:val="0"/>
              <w:ind w:left="58"/>
              <w:jc w:val="right"/>
              <w:rPr>
                <w:rFonts w:ascii="Times New Roman" w:eastAsia="Calibri" w:hAnsi="Times New Roman" w:cs="Times New Roman"/>
                <w:sz w:val="20"/>
                <w:szCs w:val="20"/>
              </w:rPr>
            </w:pPr>
            <w:r w:rsidRPr="00B32B1F">
              <w:rPr>
                <w:rFonts w:ascii="Times New Roman" w:hAnsi="Times New Roman" w:cs="Times New Roman"/>
                <w:sz w:val="20"/>
                <w:szCs w:val="20"/>
              </w:rPr>
              <w:t>22,706</w:t>
            </w:r>
          </w:p>
        </w:tc>
        <w:tc>
          <w:tcPr>
            <w:tcW w:w="351" w:type="pct"/>
          </w:tcPr>
          <w:p w14:paraId="3682A172" w14:textId="77777777" w:rsidR="00B32B1F" w:rsidRPr="00B32B1F" w:rsidRDefault="00B32B1F" w:rsidP="00B32B1F">
            <w:pPr>
              <w:pStyle w:val="TableParagraph"/>
              <w:adjustRightInd w:val="0"/>
              <w:snapToGrid w:val="0"/>
              <w:ind w:left="64"/>
              <w:jc w:val="right"/>
              <w:rPr>
                <w:rFonts w:ascii="Times New Roman" w:eastAsia="Calibri" w:hAnsi="Times New Roman" w:cs="Times New Roman"/>
                <w:sz w:val="20"/>
                <w:szCs w:val="20"/>
              </w:rPr>
            </w:pPr>
            <w:r w:rsidRPr="00B32B1F">
              <w:rPr>
                <w:rFonts w:ascii="Times New Roman" w:hAnsi="Times New Roman" w:cs="Times New Roman"/>
                <w:sz w:val="20"/>
                <w:szCs w:val="20"/>
              </w:rPr>
              <w:t>23,065</w:t>
            </w:r>
          </w:p>
        </w:tc>
        <w:tc>
          <w:tcPr>
            <w:tcW w:w="338" w:type="pct"/>
          </w:tcPr>
          <w:p w14:paraId="4C787398" w14:textId="77777777" w:rsidR="00B32B1F" w:rsidRPr="00B32B1F" w:rsidRDefault="00B32B1F" w:rsidP="00B32B1F">
            <w:pPr>
              <w:pStyle w:val="TableParagraph"/>
              <w:adjustRightInd w:val="0"/>
              <w:snapToGrid w:val="0"/>
              <w:ind w:left="41"/>
              <w:jc w:val="right"/>
              <w:rPr>
                <w:rFonts w:ascii="Times New Roman" w:eastAsia="Calibri" w:hAnsi="Times New Roman" w:cs="Times New Roman"/>
                <w:sz w:val="20"/>
                <w:szCs w:val="20"/>
              </w:rPr>
            </w:pPr>
            <w:r w:rsidRPr="00B32B1F">
              <w:rPr>
                <w:rFonts w:ascii="Times New Roman" w:hAnsi="Times New Roman" w:cs="Times New Roman"/>
                <w:sz w:val="20"/>
                <w:szCs w:val="20"/>
              </w:rPr>
              <w:t>22,392</w:t>
            </w:r>
          </w:p>
        </w:tc>
        <w:tc>
          <w:tcPr>
            <w:tcW w:w="365" w:type="pct"/>
          </w:tcPr>
          <w:p w14:paraId="43F77E9C"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23,182</w:t>
            </w:r>
          </w:p>
        </w:tc>
        <w:tc>
          <w:tcPr>
            <w:tcW w:w="365" w:type="pct"/>
          </w:tcPr>
          <w:p w14:paraId="08C11233"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23,432</w:t>
            </w:r>
          </w:p>
        </w:tc>
        <w:tc>
          <w:tcPr>
            <w:tcW w:w="365" w:type="pct"/>
          </w:tcPr>
          <w:p w14:paraId="71E3D4BD"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24,771</w:t>
            </w:r>
          </w:p>
        </w:tc>
        <w:tc>
          <w:tcPr>
            <w:tcW w:w="365" w:type="pct"/>
          </w:tcPr>
          <w:p w14:paraId="4C6548ED"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24,809</w:t>
            </w:r>
          </w:p>
        </w:tc>
        <w:tc>
          <w:tcPr>
            <w:tcW w:w="422" w:type="pct"/>
          </w:tcPr>
          <w:p w14:paraId="64AB8616"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41,717</w:t>
            </w:r>
          </w:p>
        </w:tc>
        <w:tc>
          <w:tcPr>
            <w:tcW w:w="371" w:type="pct"/>
          </w:tcPr>
          <w:p w14:paraId="2343D99A" w14:textId="77777777" w:rsidR="00B32B1F" w:rsidRPr="00B32B1F" w:rsidRDefault="00B32B1F" w:rsidP="00B32B1F">
            <w:pPr>
              <w:pStyle w:val="TableParagraph"/>
              <w:adjustRightInd w:val="0"/>
              <w:snapToGrid w:val="0"/>
              <w:ind w:left="100"/>
              <w:jc w:val="right"/>
              <w:rPr>
                <w:rFonts w:ascii="Times New Roman" w:eastAsia="Calibri" w:hAnsi="Times New Roman" w:cs="Times New Roman"/>
                <w:sz w:val="20"/>
                <w:szCs w:val="20"/>
              </w:rPr>
            </w:pPr>
            <w:r w:rsidRPr="00B32B1F">
              <w:rPr>
                <w:rFonts w:ascii="Times New Roman" w:hAnsi="Times New Roman" w:cs="Times New Roman"/>
                <w:sz w:val="20"/>
                <w:szCs w:val="20"/>
              </w:rPr>
              <w:t>20,972</w:t>
            </w:r>
          </w:p>
        </w:tc>
        <w:tc>
          <w:tcPr>
            <w:tcW w:w="422" w:type="pct"/>
          </w:tcPr>
          <w:p w14:paraId="7CFFBA17"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71,807</w:t>
            </w:r>
          </w:p>
        </w:tc>
      </w:tr>
      <w:tr w:rsidR="00B32B1F" w:rsidRPr="00B32B1F" w14:paraId="20C7F80A" w14:textId="77777777" w:rsidTr="00B32B1F">
        <w:tc>
          <w:tcPr>
            <w:tcW w:w="1288" w:type="pct"/>
          </w:tcPr>
          <w:p w14:paraId="1681E687" w14:textId="77777777" w:rsidR="00B32B1F" w:rsidRPr="00B32B1F" w:rsidRDefault="00B32B1F" w:rsidP="00B32B1F">
            <w:pPr>
              <w:pStyle w:val="TableParagraph"/>
              <w:adjustRightInd w:val="0"/>
              <w:snapToGrid w:val="0"/>
              <w:ind w:left="107"/>
              <w:rPr>
                <w:rFonts w:ascii="Times New Roman" w:eastAsia="Calibri" w:hAnsi="Times New Roman" w:cs="Times New Roman"/>
                <w:sz w:val="20"/>
                <w:szCs w:val="20"/>
              </w:rPr>
            </w:pPr>
            <w:r w:rsidRPr="00B32B1F">
              <w:rPr>
                <w:rFonts w:ascii="Times New Roman" w:hAnsi="Times New Roman" w:cs="Times New Roman"/>
                <w:sz w:val="20"/>
                <w:szCs w:val="20"/>
              </w:rPr>
              <w:t>Relative Spawning</w:t>
            </w:r>
            <w:r w:rsidRPr="00B32B1F">
              <w:rPr>
                <w:rFonts w:ascii="Times New Roman" w:hAnsi="Times New Roman" w:cs="Times New Roman"/>
                <w:spacing w:val="-10"/>
                <w:sz w:val="20"/>
                <w:szCs w:val="20"/>
              </w:rPr>
              <w:t xml:space="preserve"> </w:t>
            </w:r>
            <w:r w:rsidRPr="00B32B1F">
              <w:rPr>
                <w:rFonts w:ascii="Times New Roman" w:hAnsi="Times New Roman" w:cs="Times New Roman"/>
                <w:sz w:val="20"/>
                <w:szCs w:val="20"/>
              </w:rPr>
              <w:t>Biomass</w:t>
            </w:r>
          </w:p>
        </w:tc>
        <w:tc>
          <w:tcPr>
            <w:tcW w:w="347" w:type="pct"/>
          </w:tcPr>
          <w:p w14:paraId="107579D3" w14:textId="77777777" w:rsidR="00B32B1F" w:rsidRPr="00B32B1F" w:rsidRDefault="00B32B1F" w:rsidP="00B32B1F">
            <w:pPr>
              <w:pStyle w:val="TableParagraph"/>
              <w:adjustRightInd w:val="0"/>
              <w:snapToGrid w:val="0"/>
              <w:ind w:left="58"/>
              <w:jc w:val="right"/>
              <w:rPr>
                <w:rFonts w:ascii="Times New Roman" w:eastAsia="Calibri" w:hAnsi="Times New Roman" w:cs="Times New Roman"/>
                <w:sz w:val="20"/>
                <w:szCs w:val="20"/>
              </w:rPr>
            </w:pPr>
            <w:r w:rsidRPr="00B32B1F">
              <w:rPr>
                <w:rFonts w:ascii="Times New Roman" w:hAnsi="Times New Roman" w:cs="Times New Roman"/>
                <w:sz w:val="20"/>
                <w:szCs w:val="20"/>
              </w:rPr>
              <w:t>1.14</w:t>
            </w:r>
          </w:p>
        </w:tc>
        <w:tc>
          <w:tcPr>
            <w:tcW w:w="351" w:type="pct"/>
          </w:tcPr>
          <w:p w14:paraId="05CF50A6" w14:textId="77777777" w:rsidR="00B32B1F" w:rsidRPr="00B32B1F" w:rsidRDefault="00B32B1F" w:rsidP="00B32B1F">
            <w:pPr>
              <w:pStyle w:val="TableParagraph"/>
              <w:adjustRightInd w:val="0"/>
              <w:snapToGrid w:val="0"/>
              <w:ind w:left="64"/>
              <w:jc w:val="right"/>
              <w:rPr>
                <w:rFonts w:ascii="Times New Roman" w:eastAsia="Calibri" w:hAnsi="Times New Roman" w:cs="Times New Roman"/>
                <w:sz w:val="20"/>
                <w:szCs w:val="20"/>
              </w:rPr>
            </w:pPr>
            <w:r w:rsidRPr="00B32B1F">
              <w:rPr>
                <w:rFonts w:ascii="Times New Roman" w:hAnsi="Times New Roman" w:cs="Times New Roman"/>
                <w:sz w:val="20"/>
                <w:szCs w:val="20"/>
              </w:rPr>
              <w:t>1.16</w:t>
            </w:r>
          </w:p>
        </w:tc>
        <w:tc>
          <w:tcPr>
            <w:tcW w:w="338" w:type="pct"/>
          </w:tcPr>
          <w:p w14:paraId="7D559E3B" w14:textId="77777777" w:rsidR="00B32B1F" w:rsidRPr="00B32B1F" w:rsidRDefault="00B32B1F" w:rsidP="00B32B1F">
            <w:pPr>
              <w:pStyle w:val="TableParagraph"/>
              <w:adjustRightInd w:val="0"/>
              <w:snapToGrid w:val="0"/>
              <w:ind w:left="41"/>
              <w:jc w:val="right"/>
              <w:rPr>
                <w:rFonts w:ascii="Times New Roman" w:eastAsia="Calibri" w:hAnsi="Times New Roman" w:cs="Times New Roman"/>
                <w:sz w:val="20"/>
                <w:szCs w:val="20"/>
              </w:rPr>
            </w:pPr>
            <w:r w:rsidRPr="00B32B1F">
              <w:rPr>
                <w:rFonts w:ascii="Times New Roman" w:hAnsi="Times New Roman" w:cs="Times New Roman"/>
                <w:sz w:val="20"/>
                <w:szCs w:val="20"/>
              </w:rPr>
              <w:t>1.13</w:t>
            </w:r>
          </w:p>
        </w:tc>
        <w:tc>
          <w:tcPr>
            <w:tcW w:w="365" w:type="pct"/>
          </w:tcPr>
          <w:p w14:paraId="58A44AE6"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1.17</w:t>
            </w:r>
          </w:p>
        </w:tc>
        <w:tc>
          <w:tcPr>
            <w:tcW w:w="365" w:type="pct"/>
          </w:tcPr>
          <w:p w14:paraId="31DA30FF"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1.18</w:t>
            </w:r>
          </w:p>
        </w:tc>
        <w:tc>
          <w:tcPr>
            <w:tcW w:w="365" w:type="pct"/>
          </w:tcPr>
          <w:p w14:paraId="1A967F81"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1.25</w:t>
            </w:r>
          </w:p>
        </w:tc>
        <w:tc>
          <w:tcPr>
            <w:tcW w:w="365" w:type="pct"/>
          </w:tcPr>
          <w:p w14:paraId="1AA63BAD"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1.25</w:t>
            </w:r>
          </w:p>
        </w:tc>
        <w:tc>
          <w:tcPr>
            <w:tcW w:w="422" w:type="pct"/>
          </w:tcPr>
          <w:p w14:paraId="764C1E15"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2.10</w:t>
            </w:r>
          </w:p>
        </w:tc>
        <w:tc>
          <w:tcPr>
            <w:tcW w:w="371" w:type="pct"/>
          </w:tcPr>
          <w:p w14:paraId="612AFB58" w14:textId="77777777" w:rsidR="00B32B1F" w:rsidRPr="00B32B1F" w:rsidRDefault="00B32B1F" w:rsidP="00B32B1F">
            <w:pPr>
              <w:pStyle w:val="TableParagraph"/>
              <w:adjustRightInd w:val="0"/>
              <w:snapToGrid w:val="0"/>
              <w:ind w:left="100"/>
              <w:jc w:val="right"/>
              <w:rPr>
                <w:rFonts w:ascii="Times New Roman" w:eastAsia="Calibri" w:hAnsi="Times New Roman" w:cs="Times New Roman"/>
                <w:sz w:val="20"/>
                <w:szCs w:val="20"/>
              </w:rPr>
            </w:pPr>
            <w:r w:rsidRPr="00B32B1F">
              <w:rPr>
                <w:rFonts w:ascii="Times New Roman" w:hAnsi="Times New Roman" w:cs="Times New Roman"/>
                <w:sz w:val="20"/>
                <w:szCs w:val="20"/>
              </w:rPr>
              <w:t>1.06</w:t>
            </w:r>
          </w:p>
        </w:tc>
        <w:tc>
          <w:tcPr>
            <w:tcW w:w="422" w:type="pct"/>
          </w:tcPr>
          <w:p w14:paraId="48F95894"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3.62</w:t>
            </w:r>
          </w:p>
        </w:tc>
      </w:tr>
      <w:tr w:rsidR="00B32B1F" w:rsidRPr="00B32B1F" w14:paraId="4BC531E6" w14:textId="77777777" w:rsidTr="00B32B1F">
        <w:tc>
          <w:tcPr>
            <w:tcW w:w="1288" w:type="pct"/>
          </w:tcPr>
          <w:p w14:paraId="32835C0B" w14:textId="77777777" w:rsidR="00B32B1F" w:rsidRPr="00B32B1F" w:rsidRDefault="00B32B1F" w:rsidP="00B32B1F">
            <w:pPr>
              <w:pStyle w:val="TableParagraph"/>
              <w:adjustRightInd w:val="0"/>
              <w:snapToGrid w:val="0"/>
              <w:ind w:left="107"/>
              <w:rPr>
                <w:rFonts w:ascii="Times New Roman" w:eastAsia="Calibri" w:hAnsi="Times New Roman" w:cs="Times New Roman"/>
                <w:sz w:val="20"/>
                <w:szCs w:val="20"/>
              </w:rPr>
            </w:pPr>
            <w:r w:rsidRPr="00B32B1F">
              <w:rPr>
                <w:rFonts w:ascii="Times New Roman" w:hAnsi="Times New Roman" w:cs="Times New Roman"/>
                <w:sz w:val="20"/>
                <w:szCs w:val="20"/>
              </w:rPr>
              <w:lastRenderedPageBreak/>
              <w:t>Recruitment (age</w:t>
            </w:r>
            <w:r w:rsidRPr="00B32B1F">
              <w:rPr>
                <w:rFonts w:ascii="Times New Roman" w:hAnsi="Times New Roman" w:cs="Times New Roman"/>
                <w:spacing w:val="-10"/>
                <w:sz w:val="20"/>
                <w:szCs w:val="20"/>
              </w:rPr>
              <w:t xml:space="preserve"> </w:t>
            </w:r>
            <w:r w:rsidRPr="00B32B1F">
              <w:rPr>
                <w:rFonts w:ascii="Times New Roman" w:hAnsi="Times New Roman" w:cs="Times New Roman"/>
                <w:sz w:val="20"/>
                <w:szCs w:val="20"/>
              </w:rPr>
              <w:t>0)</w:t>
            </w:r>
          </w:p>
        </w:tc>
        <w:tc>
          <w:tcPr>
            <w:tcW w:w="347" w:type="pct"/>
          </w:tcPr>
          <w:p w14:paraId="746EE59D" w14:textId="77777777" w:rsidR="00B32B1F" w:rsidRPr="00B32B1F" w:rsidRDefault="00B32B1F" w:rsidP="00B32B1F">
            <w:pPr>
              <w:pStyle w:val="TableParagraph"/>
              <w:adjustRightInd w:val="0"/>
              <w:snapToGrid w:val="0"/>
              <w:ind w:left="58"/>
              <w:jc w:val="right"/>
              <w:rPr>
                <w:rFonts w:ascii="Times New Roman" w:eastAsia="Calibri" w:hAnsi="Times New Roman" w:cs="Times New Roman"/>
                <w:sz w:val="20"/>
                <w:szCs w:val="20"/>
              </w:rPr>
            </w:pPr>
            <w:r w:rsidRPr="00B32B1F">
              <w:rPr>
                <w:rFonts w:ascii="Times New Roman" w:hAnsi="Times New Roman" w:cs="Times New Roman"/>
                <w:sz w:val="20"/>
                <w:szCs w:val="20"/>
              </w:rPr>
              <w:t>687</w:t>
            </w:r>
          </w:p>
        </w:tc>
        <w:tc>
          <w:tcPr>
            <w:tcW w:w="351" w:type="pct"/>
          </w:tcPr>
          <w:p w14:paraId="5D6BAD26" w14:textId="77777777" w:rsidR="00B32B1F" w:rsidRPr="00B32B1F" w:rsidRDefault="00B32B1F" w:rsidP="00B32B1F">
            <w:pPr>
              <w:pStyle w:val="TableParagraph"/>
              <w:adjustRightInd w:val="0"/>
              <w:snapToGrid w:val="0"/>
              <w:ind w:left="64"/>
              <w:jc w:val="right"/>
              <w:rPr>
                <w:rFonts w:ascii="Times New Roman" w:eastAsia="Calibri" w:hAnsi="Times New Roman" w:cs="Times New Roman"/>
                <w:sz w:val="20"/>
                <w:szCs w:val="20"/>
              </w:rPr>
            </w:pPr>
            <w:r w:rsidRPr="00B32B1F">
              <w:rPr>
                <w:rFonts w:ascii="Times New Roman" w:hAnsi="Times New Roman" w:cs="Times New Roman"/>
                <w:sz w:val="20"/>
                <w:szCs w:val="20"/>
              </w:rPr>
              <w:t>1031</w:t>
            </w:r>
          </w:p>
        </w:tc>
        <w:tc>
          <w:tcPr>
            <w:tcW w:w="338" w:type="pct"/>
          </w:tcPr>
          <w:p w14:paraId="06DE610D" w14:textId="77777777" w:rsidR="00B32B1F" w:rsidRPr="00B32B1F" w:rsidRDefault="00B32B1F" w:rsidP="00B32B1F">
            <w:pPr>
              <w:pStyle w:val="TableParagraph"/>
              <w:adjustRightInd w:val="0"/>
              <w:snapToGrid w:val="0"/>
              <w:ind w:left="41"/>
              <w:jc w:val="right"/>
              <w:rPr>
                <w:rFonts w:ascii="Times New Roman" w:eastAsia="Calibri" w:hAnsi="Times New Roman" w:cs="Times New Roman"/>
                <w:sz w:val="20"/>
                <w:szCs w:val="20"/>
              </w:rPr>
            </w:pPr>
            <w:r w:rsidRPr="00B32B1F">
              <w:rPr>
                <w:rFonts w:ascii="Times New Roman" w:hAnsi="Times New Roman" w:cs="Times New Roman"/>
                <w:sz w:val="20"/>
                <w:szCs w:val="20"/>
              </w:rPr>
              <w:t>702</w:t>
            </w:r>
          </w:p>
        </w:tc>
        <w:tc>
          <w:tcPr>
            <w:tcW w:w="365" w:type="pct"/>
          </w:tcPr>
          <w:p w14:paraId="1C3DE5D3"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1061</w:t>
            </w:r>
          </w:p>
        </w:tc>
        <w:tc>
          <w:tcPr>
            <w:tcW w:w="365" w:type="pct"/>
          </w:tcPr>
          <w:p w14:paraId="0DA688AD"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763</w:t>
            </w:r>
          </w:p>
        </w:tc>
        <w:tc>
          <w:tcPr>
            <w:tcW w:w="365" w:type="pct"/>
          </w:tcPr>
          <w:p w14:paraId="48D61117"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909</w:t>
            </w:r>
          </w:p>
        </w:tc>
        <w:tc>
          <w:tcPr>
            <w:tcW w:w="365" w:type="pct"/>
          </w:tcPr>
          <w:p w14:paraId="575A7AB1"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839</w:t>
            </w:r>
          </w:p>
        </w:tc>
        <w:tc>
          <w:tcPr>
            <w:tcW w:w="422" w:type="pct"/>
          </w:tcPr>
          <w:p w14:paraId="4521C240"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897</w:t>
            </w:r>
          </w:p>
        </w:tc>
        <w:tc>
          <w:tcPr>
            <w:tcW w:w="371" w:type="pct"/>
          </w:tcPr>
          <w:p w14:paraId="3B25E4F2" w14:textId="77777777" w:rsidR="00B32B1F" w:rsidRPr="00B32B1F" w:rsidRDefault="00B32B1F" w:rsidP="00B32B1F">
            <w:pPr>
              <w:pStyle w:val="TableParagraph"/>
              <w:adjustRightInd w:val="0"/>
              <w:snapToGrid w:val="0"/>
              <w:ind w:left="100"/>
              <w:jc w:val="right"/>
              <w:rPr>
                <w:rFonts w:ascii="Times New Roman" w:eastAsia="Calibri" w:hAnsi="Times New Roman" w:cs="Times New Roman"/>
                <w:sz w:val="20"/>
                <w:szCs w:val="20"/>
              </w:rPr>
            </w:pPr>
            <w:r w:rsidRPr="00B32B1F">
              <w:rPr>
                <w:rFonts w:ascii="Times New Roman" w:hAnsi="Times New Roman" w:cs="Times New Roman"/>
                <w:sz w:val="20"/>
                <w:szCs w:val="20"/>
              </w:rPr>
              <w:t>589</w:t>
            </w:r>
          </w:p>
        </w:tc>
        <w:tc>
          <w:tcPr>
            <w:tcW w:w="422" w:type="pct"/>
          </w:tcPr>
          <w:p w14:paraId="37CCEDA2"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1181</w:t>
            </w:r>
          </w:p>
        </w:tc>
      </w:tr>
      <w:tr w:rsidR="00B32B1F" w:rsidRPr="00B32B1F" w14:paraId="54AD5122" w14:textId="77777777" w:rsidTr="00B32B1F">
        <w:tc>
          <w:tcPr>
            <w:tcW w:w="1288" w:type="pct"/>
          </w:tcPr>
          <w:p w14:paraId="67181A6C" w14:textId="77777777" w:rsidR="00B32B1F" w:rsidRPr="00B32B1F" w:rsidRDefault="00B32B1F" w:rsidP="00B32B1F">
            <w:pPr>
              <w:pStyle w:val="TableParagraph"/>
              <w:adjustRightInd w:val="0"/>
              <w:snapToGrid w:val="0"/>
              <w:ind w:left="107"/>
              <w:rPr>
                <w:rFonts w:ascii="Times New Roman" w:eastAsia="Calibri" w:hAnsi="Times New Roman" w:cs="Times New Roman"/>
                <w:sz w:val="20"/>
                <w:szCs w:val="20"/>
              </w:rPr>
            </w:pPr>
            <w:r w:rsidRPr="00B32B1F">
              <w:rPr>
                <w:rFonts w:ascii="Times New Roman" w:hAnsi="Times New Roman" w:cs="Times New Roman"/>
                <w:sz w:val="20"/>
                <w:szCs w:val="20"/>
              </w:rPr>
              <w:t>Fishing</w:t>
            </w:r>
            <w:r w:rsidRPr="00B32B1F">
              <w:rPr>
                <w:rFonts w:ascii="Times New Roman" w:hAnsi="Times New Roman" w:cs="Times New Roman"/>
                <w:spacing w:val="-9"/>
                <w:sz w:val="20"/>
                <w:szCs w:val="20"/>
              </w:rPr>
              <w:t xml:space="preserve"> </w:t>
            </w:r>
            <w:r w:rsidRPr="00B32B1F">
              <w:rPr>
                <w:rFonts w:ascii="Times New Roman" w:hAnsi="Times New Roman" w:cs="Times New Roman"/>
                <w:sz w:val="20"/>
                <w:szCs w:val="20"/>
              </w:rPr>
              <w:t>Mortality</w:t>
            </w:r>
          </w:p>
        </w:tc>
        <w:tc>
          <w:tcPr>
            <w:tcW w:w="347" w:type="pct"/>
          </w:tcPr>
          <w:p w14:paraId="22BA8138" w14:textId="77777777" w:rsidR="00B32B1F" w:rsidRPr="00B32B1F" w:rsidRDefault="00B32B1F" w:rsidP="00B32B1F">
            <w:pPr>
              <w:pStyle w:val="TableParagraph"/>
              <w:adjustRightInd w:val="0"/>
              <w:snapToGrid w:val="0"/>
              <w:ind w:left="58"/>
              <w:jc w:val="right"/>
              <w:rPr>
                <w:rFonts w:ascii="Times New Roman" w:eastAsia="Calibri" w:hAnsi="Times New Roman" w:cs="Times New Roman"/>
                <w:sz w:val="20"/>
                <w:szCs w:val="20"/>
              </w:rPr>
            </w:pPr>
            <w:r w:rsidRPr="00B32B1F">
              <w:rPr>
                <w:rFonts w:ascii="Times New Roman" w:hAnsi="Times New Roman" w:cs="Times New Roman"/>
                <w:sz w:val="20"/>
                <w:szCs w:val="20"/>
              </w:rPr>
              <w:t>0.27</w:t>
            </w:r>
          </w:p>
        </w:tc>
        <w:tc>
          <w:tcPr>
            <w:tcW w:w="351" w:type="pct"/>
          </w:tcPr>
          <w:p w14:paraId="67FC0EF8" w14:textId="77777777" w:rsidR="00B32B1F" w:rsidRPr="00B32B1F" w:rsidRDefault="00B32B1F" w:rsidP="00B32B1F">
            <w:pPr>
              <w:pStyle w:val="TableParagraph"/>
              <w:adjustRightInd w:val="0"/>
              <w:snapToGrid w:val="0"/>
              <w:ind w:left="64"/>
              <w:jc w:val="right"/>
              <w:rPr>
                <w:rFonts w:ascii="Times New Roman" w:eastAsia="Calibri" w:hAnsi="Times New Roman" w:cs="Times New Roman"/>
                <w:sz w:val="20"/>
                <w:szCs w:val="20"/>
              </w:rPr>
            </w:pPr>
            <w:r w:rsidRPr="00B32B1F">
              <w:rPr>
                <w:rFonts w:ascii="Times New Roman" w:hAnsi="Times New Roman" w:cs="Times New Roman"/>
                <w:sz w:val="20"/>
                <w:szCs w:val="20"/>
              </w:rPr>
              <w:t>0.29</w:t>
            </w:r>
          </w:p>
        </w:tc>
        <w:tc>
          <w:tcPr>
            <w:tcW w:w="338" w:type="pct"/>
          </w:tcPr>
          <w:p w14:paraId="4BD720D3" w14:textId="77777777" w:rsidR="00B32B1F" w:rsidRPr="00B32B1F" w:rsidRDefault="00B32B1F" w:rsidP="00B32B1F">
            <w:pPr>
              <w:pStyle w:val="TableParagraph"/>
              <w:adjustRightInd w:val="0"/>
              <w:snapToGrid w:val="0"/>
              <w:ind w:left="41"/>
              <w:jc w:val="right"/>
              <w:rPr>
                <w:rFonts w:ascii="Times New Roman" w:eastAsia="Calibri" w:hAnsi="Times New Roman" w:cs="Times New Roman"/>
                <w:sz w:val="20"/>
                <w:szCs w:val="20"/>
              </w:rPr>
            </w:pPr>
            <w:r w:rsidRPr="00B32B1F">
              <w:rPr>
                <w:rFonts w:ascii="Times New Roman" w:hAnsi="Times New Roman" w:cs="Times New Roman"/>
                <w:sz w:val="20"/>
                <w:szCs w:val="20"/>
              </w:rPr>
              <w:t>0.30</w:t>
            </w:r>
          </w:p>
        </w:tc>
        <w:tc>
          <w:tcPr>
            <w:tcW w:w="365" w:type="pct"/>
          </w:tcPr>
          <w:p w14:paraId="17132B9A"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0.26</w:t>
            </w:r>
          </w:p>
        </w:tc>
        <w:tc>
          <w:tcPr>
            <w:tcW w:w="365" w:type="pct"/>
          </w:tcPr>
          <w:p w14:paraId="557C6A77"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0.27</w:t>
            </w:r>
          </w:p>
        </w:tc>
        <w:tc>
          <w:tcPr>
            <w:tcW w:w="365" w:type="pct"/>
          </w:tcPr>
          <w:p w14:paraId="210D47ED"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0.28</w:t>
            </w:r>
          </w:p>
        </w:tc>
        <w:tc>
          <w:tcPr>
            <w:tcW w:w="365" w:type="pct"/>
          </w:tcPr>
          <w:p w14:paraId="158D09C5"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0.28</w:t>
            </w:r>
          </w:p>
        </w:tc>
        <w:tc>
          <w:tcPr>
            <w:tcW w:w="422" w:type="pct"/>
          </w:tcPr>
          <w:p w14:paraId="5EBC86A8"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0.22</w:t>
            </w:r>
          </w:p>
        </w:tc>
        <w:tc>
          <w:tcPr>
            <w:tcW w:w="371" w:type="pct"/>
          </w:tcPr>
          <w:p w14:paraId="0186CECD" w14:textId="77777777" w:rsidR="00B32B1F" w:rsidRPr="00B32B1F" w:rsidRDefault="00B32B1F" w:rsidP="00B32B1F">
            <w:pPr>
              <w:pStyle w:val="TableParagraph"/>
              <w:adjustRightInd w:val="0"/>
              <w:snapToGrid w:val="0"/>
              <w:ind w:left="100"/>
              <w:jc w:val="right"/>
              <w:rPr>
                <w:rFonts w:ascii="Times New Roman" w:eastAsia="Calibri" w:hAnsi="Times New Roman" w:cs="Times New Roman"/>
                <w:sz w:val="20"/>
                <w:szCs w:val="20"/>
              </w:rPr>
            </w:pPr>
            <w:r w:rsidRPr="00B32B1F">
              <w:rPr>
                <w:rFonts w:ascii="Times New Roman" w:hAnsi="Times New Roman" w:cs="Times New Roman"/>
                <w:sz w:val="20"/>
                <w:szCs w:val="20"/>
              </w:rPr>
              <w:t>0.09</w:t>
            </w:r>
          </w:p>
        </w:tc>
        <w:tc>
          <w:tcPr>
            <w:tcW w:w="422" w:type="pct"/>
          </w:tcPr>
          <w:p w14:paraId="2BB833F0"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0.38</w:t>
            </w:r>
          </w:p>
        </w:tc>
      </w:tr>
      <w:tr w:rsidR="00B32B1F" w:rsidRPr="00B32B1F" w14:paraId="7420072C" w14:textId="77777777" w:rsidTr="00B32B1F">
        <w:tc>
          <w:tcPr>
            <w:tcW w:w="1288" w:type="pct"/>
          </w:tcPr>
          <w:p w14:paraId="180E6D9E" w14:textId="77777777" w:rsidR="00B32B1F" w:rsidRPr="00B32B1F" w:rsidRDefault="00B32B1F" w:rsidP="00B32B1F">
            <w:pPr>
              <w:pStyle w:val="TableParagraph"/>
              <w:adjustRightInd w:val="0"/>
              <w:snapToGrid w:val="0"/>
              <w:ind w:left="107"/>
              <w:rPr>
                <w:rFonts w:ascii="Times New Roman" w:eastAsia="Calibri" w:hAnsi="Times New Roman" w:cs="Times New Roman"/>
                <w:sz w:val="20"/>
                <w:szCs w:val="20"/>
              </w:rPr>
            </w:pPr>
            <w:r w:rsidRPr="00B32B1F">
              <w:rPr>
                <w:rFonts w:ascii="Times New Roman" w:hAnsi="Times New Roman" w:cs="Times New Roman"/>
                <w:sz w:val="20"/>
                <w:szCs w:val="20"/>
              </w:rPr>
              <w:t>Relative Fishing</w:t>
            </w:r>
            <w:r w:rsidRPr="00B32B1F">
              <w:rPr>
                <w:rFonts w:ascii="Times New Roman" w:hAnsi="Times New Roman" w:cs="Times New Roman"/>
                <w:spacing w:val="-11"/>
                <w:sz w:val="20"/>
                <w:szCs w:val="20"/>
              </w:rPr>
              <w:t xml:space="preserve"> </w:t>
            </w:r>
            <w:r w:rsidRPr="00B32B1F">
              <w:rPr>
                <w:rFonts w:ascii="Times New Roman" w:hAnsi="Times New Roman" w:cs="Times New Roman"/>
                <w:sz w:val="20"/>
                <w:szCs w:val="20"/>
              </w:rPr>
              <w:t>Mortality</w:t>
            </w:r>
          </w:p>
        </w:tc>
        <w:tc>
          <w:tcPr>
            <w:tcW w:w="347" w:type="pct"/>
          </w:tcPr>
          <w:p w14:paraId="7C900389" w14:textId="77777777" w:rsidR="00B32B1F" w:rsidRPr="00B32B1F" w:rsidRDefault="00B32B1F" w:rsidP="00B32B1F">
            <w:pPr>
              <w:pStyle w:val="TableParagraph"/>
              <w:adjustRightInd w:val="0"/>
              <w:snapToGrid w:val="0"/>
              <w:ind w:left="58"/>
              <w:jc w:val="right"/>
              <w:rPr>
                <w:rFonts w:ascii="Times New Roman" w:eastAsia="Calibri" w:hAnsi="Times New Roman" w:cs="Times New Roman"/>
                <w:sz w:val="20"/>
                <w:szCs w:val="20"/>
              </w:rPr>
            </w:pPr>
            <w:r w:rsidRPr="00B32B1F">
              <w:rPr>
                <w:rFonts w:ascii="Times New Roman" w:hAnsi="Times New Roman" w:cs="Times New Roman"/>
                <w:sz w:val="20"/>
                <w:szCs w:val="20"/>
              </w:rPr>
              <w:t>0.82</w:t>
            </w:r>
          </w:p>
        </w:tc>
        <w:tc>
          <w:tcPr>
            <w:tcW w:w="351" w:type="pct"/>
          </w:tcPr>
          <w:p w14:paraId="3BE4A75D" w14:textId="77777777" w:rsidR="00B32B1F" w:rsidRPr="00B32B1F" w:rsidRDefault="00B32B1F" w:rsidP="00B32B1F">
            <w:pPr>
              <w:pStyle w:val="TableParagraph"/>
              <w:adjustRightInd w:val="0"/>
              <w:snapToGrid w:val="0"/>
              <w:ind w:left="64"/>
              <w:jc w:val="right"/>
              <w:rPr>
                <w:rFonts w:ascii="Times New Roman" w:eastAsia="Calibri" w:hAnsi="Times New Roman" w:cs="Times New Roman"/>
                <w:sz w:val="20"/>
                <w:szCs w:val="20"/>
              </w:rPr>
            </w:pPr>
            <w:r w:rsidRPr="00B32B1F">
              <w:rPr>
                <w:rFonts w:ascii="Times New Roman" w:hAnsi="Times New Roman" w:cs="Times New Roman"/>
                <w:sz w:val="20"/>
                <w:szCs w:val="20"/>
              </w:rPr>
              <w:t>0.88</w:t>
            </w:r>
          </w:p>
        </w:tc>
        <w:tc>
          <w:tcPr>
            <w:tcW w:w="338" w:type="pct"/>
          </w:tcPr>
          <w:p w14:paraId="4DF579B8" w14:textId="77777777" w:rsidR="00B32B1F" w:rsidRPr="00B32B1F" w:rsidRDefault="00B32B1F" w:rsidP="00B32B1F">
            <w:pPr>
              <w:pStyle w:val="TableParagraph"/>
              <w:adjustRightInd w:val="0"/>
              <w:snapToGrid w:val="0"/>
              <w:ind w:left="41"/>
              <w:jc w:val="right"/>
              <w:rPr>
                <w:rFonts w:ascii="Times New Roman" w:eastAsia="Calibri" w:hAnsi="Times New Roman" w:cs="Times New Roman"/>
                <w:sz w:val="20"/>
                <w:szCs w:val="20"/>
              </w:rPr>
            </w:pPr>
            <w:r w:rsidRPr="00B32B1F">
              <w:rPr>
                <w:rFonts w:ascii="Times New Roman" w:hAnsi="Times New Roman" w:cs="Times New Roman"/>
                <w:sz w:val="20"/>
                <w:szCs w:val="20"/>
              </w:rPr>
              <w:t>0.92</w:t>
            </w:r>
          </w:p>
        </w:tc>
        <w:tc>
          <w:tcPr>
            <w:tcW w:w="365" w:type="pct"/>
          </w:tcPr>
          <w:p w14:paraId="5D4B6700"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0.82</w:t>
            </w:r>
          </w:p>
        </w:tc>
        <w:tc>
          <w:tcPr>
            <w:tcW w:w="365" w:type="pct"/>
          </w:tcPr>
          <w:p w14:paraId="30BB5F11"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0.83</w:t>
            </w:r>
          </w:p>
        </w:tc>
        <w:tc>
          <w:tcPr>
            <w:tcW w:w="365" w:type="pct"/>
          </w:tcPr>
          <w:p w14:paraId="1F3AD084"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0.87</w:t>
            </w:r>
          </w:p>
        </w:tc>
        <w:tc>
          <w:tcPr>
            <w:tcW w:w="365" w:type="pct"/>
          </w:tcPr>
          <w:p w14:paraId="2E5E1A6A"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0.87</w:t>
            </w:r>
          </w:p>
        </w:tc>
        <w:tc>
          <w:tcPr>
            <w:tcW w:w="422" w:type="pct"/>
          </w:tcPr>
          <w:p w14:paraId="6B2832C4"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0.67</w:t>
            </w:r>
          </w:p>
        </w:tc>
        <w:tc>
          <w:tcPr>
            <w:tcW w:w="371" w:type="pct"/>
          </w:tcPr>
          <w:p w14:paraId="00307661" w14:textId="77777777" w:rsidR="00B32B1F" w:rsidRPr="00B32B1F" w:rsidRDefault="00B32B1F" w:rsidP="00B32B1F">
            <w:pPr>
              <w:pStyle w:val="TableParagraph"/>
              <w:adjustRightInd w:val="0"/>
              <w:snapToGrid w:val="0"/>
              <w:ind w:left="100"/>
              <w:jc w:val="right"/>
              <w:rPr>
                <w:rFonts w:ascii="Times New Roman" w:eastAsia="Calibri" w:hAnsi="Times New Roman" w:cs="Times New Roman"/>
                <w:sz w:val="20"/>
                <w:szCs w:val="20"/>
              </w:rPr>
            </w:pPr>
            <w:r w:rsidRPr="00B32B1F">
              <w:rPr>
                <w:rFonts w:ascii="Times New Roman" w:hAnsi="Times New Roman" w:cs="Times New Roman"/>
                <w:sz w:val="20"/>
                <w:szCs w:val="20"/>
              </w:rPr>
              <w:t>0.26</w:t>
            </w:r>
          </w:p>
        </w:tc>
        <w:tc>
          <w:tcPr>
            <w:tcW w:w="422" w:type="pct"/>
          </w:tcPr>
          <w:p w14:paraId="5E3A0D60" w14:textId="77777777" w:rsidR="00B32B1F" w:rsidRPr="00B32B1F" w:rsidRDefault="00B32B1F" w:rsidP="00B32B1F">
            <w:pPr>
              <w:pStyle w:val="TableParagraph"/>
              <w:adjustRightInd w:val="0"/>
              <w:snapToGrid w:val="0"/>
              <w:ind w:left="90"/>
              <w:jc w:val="right"/>
              <w:rPr>
                <w:rFonts w:ascii="Times New Roman" w:eastAsia="Calibri" w:hAnsi="Times New Roman" w:cs="Times New Roman"/>
                <w:sz w:val="20"/>
                <w:szCs w:val="20"/>
              </w:rPr>
            </w:pPr>
            <w:r w:rsidRPr="00B32B1F">
              <w:rPr>
                <w:rFonts w:ascii="Times New Roman" w:hAnsi="Times New Roman" w:cs="Times New Roman"/>
                <w:sz w:val="20"/>
                <w:szCs w:val="20"/>
              </w:rPr>
              <w:t>1.17</w:t>
            </w:r>
          </w:p>
        </w:tc>
      </w:tr>
      <w:tr w:rsidR="00B32B1F" w:rsidRPr="00B32B1F" w14:paraId="6CBEF688" w14:textId="77777777" w:rsidTr="00B32B1F">
        <w:tc>
          <w:tcPr>
            <w:tcW w:w="1288" w:type="pct"/>
          </w:tcPr>
          <w:p w14:paraId="0BC00F69" w14:textId="77777777" w:rsidR="00B32B1F" w:rsidRPr="00B32B1F" w:rsidRDefault="00B32B1F" w:rsidP="00B32B1F">
            <w:pPr>
              <w:pStyle w:val="TableParagraph"/>
              <w:adjustRightInd w:val="0"/>
              <w:snapToGrid w:val="0"/>
              <w:ind w:left="95"/>
              <w:rPr>
                <w:rFonts w:ascii="Times New Roman" w:eastAsia="Times New Roman" w:hAnsi="Times New Roman" w:cs="Times New Roman"/>
                <w:sz w:val="20"/>
                <w:szCs w:val="20"/>
              </w:rPr>
            </w:pPr>
            <w:r w:rsidRPr="00B32B1F">
              <w:rPr>
                <w:rFonts w:ascii="Times New Roman" w:eastAsia="Times New Roman" w:hAnsi="Times New Roman" w:cs="Times New Roman"/>
                <w:sz w:val="20"/>
                <w:szCs w:val="20"/>
              </w:rPr>
              <w:t>Spawning Potential Ratio</w:t>
            </w:r>
          </w:p>
        </w:tc>
        <w:tc>
          <w:tcPr>
            <w:tcW w:w="347" w:type="pct"/>
          </w:tcPr>
          <w:p w14:paraId="621BDC53" w14:textId="77777777" w:rsidR="00B32B1F" w:rsidRPr="00B32B1F" w:rsidRDefault="00B32B1F" w:rsidP="00B32B1F">
            <w:pPr>
              <w:adjustRightInd w:val="0"/>
              <w:snapToGrid w:val="0"/>
              <w:spacing w:after="0" w:line="240" w:lineRule="auto"/>
              <w:ind w:left="58"/>
              <w:jc w:val="right"/>
              <w:rPr>
                <w:rFonts w:ascii="Times New Roman" w:hAnsi="Times New Roman" w:cs="Times New Roman"/>
                <w:sz w:val="20"/>
                <w:szCs w:val="20"/>
              </w:rPr>
            </w:pPr>
            <w:r w:rsidRPr="00B32B1F">
              <w:rPr>
                <w:rFonts w:ascii="Times New Roman" w:hAnsi="Times New Roman" w:cs="Times New Roman"/>
                <w:sz w:val="20"/>
                <w:szCs w:val="20"/>
              </w:rPr>
              <w:t>22%</w:t>
            </w:r>
          </w:p>
        </w:tc>
        <w:tc>
          <w:tcPr>
            <w:tcW w:w="351" w:type="pct"/>
          </w:tcPr>
          <w:p w14:paraId="61E04A4C" w14:textId="77777777" w:rsidR="00B32B1F" w:rsidRPr="00B32B1F" w:rsidRDefault="00B32B1F" w:rsidP="00B32B1F">
            <w:pPr>
              <w:adjustRightInd w:val="0"/>
              <w:snapToGrid w:val="0"/>
              <w:spacing w:after="0" w:line="240" w:lineRule="auto"/>
              <w:ind w:left="64"/>
              <w:jc w:val="right"/>
              <w:rPr>
                <w:rFonts w:ascii="Times New Roman" w:hAnsi="Times New Roman" w:cs="Times New Roman"/>
                <w:sz w:val="20"/>
                <w:szCs w:val="20"/>
              </w:rPr>
            </w:pPr>
            <w:r w:rsidRPr="00B32B1F">
              <w:rPr>
                <w:rFonts w:ascii="Times New Roman" w:hAnsi="Times New Roman" w:cs="Times New Roman"/>
                <w:sz w:val="20"/>
                <w:szCs w:val="20"/>
              </w:rPr>
              <w:t>21%</w:t>
            </w:r>
          </w:p>
        </w:tc>
        <w:tc>
          <w:tcPr>
            <w:tcW w:w="338" w:type="pct"/>
          </w:tcPr>
          <w:p w14:paraId="748F1FE5" w14:textId="77777777" w:rsidR="00B32B1F" w:rsidRPr="00B32B1F" w:rsidRDefault="00B32B1F" w:rsidP="00B32B1F">
            <w:pPr>
              <w:adjustRightInd w:val="0"/>
              <w:snapToGrid w:val="0"/>
              <w:spacing w:after="0" w:line="240" w:lineRule="auto"/>
              <w:ind w:left="41"/>
              <w:jc w:val="right"/>
              <w:rPr>
                <w:rFonts w:ascii="Times New Roman" w:hAnsi="Times New Roman" w:cs="Times New Roman"/>
                <w:sz w:val="20"/>
                <w:szCs w:val="20"/>
              </w:rPr>
            </w:pPr>
            <w:r w:rsidRPr="00B32B1F">
              <w:rPr>
                <w:rFonts w:ascii="Times New Roman" w:hAnsi="Times New Roman" w:cs="Times New Roman"/>
                <w:sz w:val="20"/>
                <w:szCs w:val="20"/>
              </w:rPr>
              <w:t>20%</w:t>
            </w:r>
          </w:p>
        </w:tc>
        <w:tc>
          <w:tcPr>
            <w:tcW w:w="365" w:type="pct"/>
          </w:tcPr>
          <w:p w14:paraId="31C78FAD" w14:textId="77777777" w:rsidR="00B32B1F" w:rsidRPr="00B32B1F" w:rsidRDefault="00B32B1F" w:rsidP="00B32B1F">
            <w:pPr>
              <w:adjustRightInd w:val="0"/>
              <w:snapToGrid w:val="0"/>
              <w:spacing w:after="0" w:line="240" w:lineRule="auto"/>
              <w:ind w:left="90"/>
              <w:jc w:val="right"/>
              <w:rPr>
                <w:rFonts w:ascii="Times New Roman" w:hAnsi="Times New Roman" w:cs="Times New Roman"/>
                <w:sz w:val="20"/>
                <w:szCs w:val="20"/>
              </w:rPr>
            </w:pPr>
            <w:r w:rsidRPr="00B32B1F">
              <w:rPr>
                <w:rFonts w:ascii="Times New Roman" w:hAnsi="Times New Roman" w:cs="Times New Roman"/>
                <w:sz w:val="20"/>
                <w:szCs w:val="20"/>
              </w:rPr>
              <w:t>22%</w:t>
            </w:r>
          </w:p>
        </w:tc>
        <w:tc>
          <w:tcPr>
            <w:tcW w:w="365" w:type="pct"/>
          </w:tcPr>
          <w:p w14:paraId="4FDFA083" w14:textId="77777777" w:rsidR="00B32B1F" w:rsidRPr="00B32B1F" w:rsidRDefault="00B32B1F" w:rsidP="00B32B1F">
            <w:pPr>
              <w:adjustRightInd w:val="0"/>
              <w:snapToGrid w:val="0"/>
              <w:spacing w:after="0" w:line="240" w:lineRule="auto"/>
              <w:ind w:left="90"/>
              <w:jc w:val="right"/>
              <w:rPr>
                <w:rFonts w:ascii="Times New Roman" w:hAnsi="Times New Roman" w:cs="Times New Roman"/>
                <w:sz w:val="20"/>
                <w:szCs w:val="20"/>
              </w:rPr>
            </w:pPr>
            <w:r w:rsidRPr="00B32B1F">
              <w:rPr>
                <w:rFonts w:ascii="Times New Roman" w:hAnsi="Times New Roman" w:cs="Times New Roman"/>
                <w:sz w:val="20"/>
                <w:szCs w:val="20"/>
              </w:rPr>
              <w:t>22%</w:t>
            </w:r>
          </w:p>
        </w:tc>
        <w:tc>
          <w:tcPr>
            <w:tcW w:w="365" w:type="pct"/>
          </w:tcPr>
          <w:p w14:paraId="511D9210" w14:textId="77777777" w:rsidR="00B32B1F" w:rsidRPr="00B32B1F" w:rsidRDefault="00B32B1F" w:rsidP="00B32B1F">
            <w:pPr>
              <w:adjustRightInd w:val="0"/>
              <w:snapToGrid w:val="0"/>
              <w:spacing w:after="0" w:line="240" w:lineRule="auto"/>
              <w:ind w:left="90"/>
              <w:jc w:val="right"/>
              <w:rPr>
                <w:rFonts w:ascii="Times New Roman" w:hAnsi="Times New Roman" w:cs="Times New Roman"/>
                <w:sz w:val="20"/>
                <w:szCs w:val="20"/>
              </w:rPr>
            </w:pPr>
            <w:r w:rsidRPr="00B32B1F">
              <w:rPr>
                <w:rFonts w:ascii="Times New Roman" w:hAnsi="Times New Roman" w:cs="Times New Roman"/>
                <w:sz w:val="20"/>
                <w:szCs w:val="20"/>
              </w:rPr>
              <w:t>21%</w:t>
            </w:r>
          </w:p>
        </w:tc>
        <w:tc>
          <w:tcPr>
            <w:tcW w:w="365" w:type="pct"/>
          </w:tcPr>
          <w:p w14:paraId="76794CCC" w14:textId="77777777" w:rsidR="00B32B1F" w:rsidRPr="00B32B1F" w:rsidRDefault="00B32B1F" w:rsidP="00B32B1F">
            <w:pPr>
              <w:adjustRightInd w:val="0"/>
              <w:snapToGrid w:val="0"/>
              <w:spacing w:after="0" w:line="240" w:lineRule="auto"/>
              <w:ind w:left="90"/>
              <w:jc w:val="right"/>
              <w:rPr>
                <w:rFonts w:ascii="Times New Roman" w:hAnsi="Times New Roman" w:cs="Times New Roman"/>
                <w:sz w:val="20"/>
                <w:szCs w:val="20"/>
              </w:rPr>
            </w:pPr>
            <w:r w:rsidRPr="00B32B1F">
              <w:rPr>
                <w:rFonts w:ascii="Times New Roman" w:hAnsi="Times New Roman" w:cs="Times New Roman"/>
                <w:sz w:val="20"/>
                <w:szCs w:val="20"/>
              </w:rPr>
              <w:t>21%</w:t>
            </w:r>
          </w:p>
        </w:tc>
        <w:tc>
          <w:tcPr>
            <w:tcW w:w="422" w:type="pct"/>
          </w:tcPr>
          <w:p w14:paraId="268417E9" w14:textId="77777777" w:rsidR="00B32B1F" w:rsidRPr="00B32B1F" w:rsidRDefault="00B32B1F" w:rsidP="00B32B1F">
            <w:pPr>
              <w:adjustRightInd w:val="0"/>
              <w:snapToGrid w:val="0"/>
              <w:spacing w:after="0" w:line="240" w:lineRule="auto"/>
              <w:ind w:left="90"/>
              <w:jc w:val="right"/>
              <w:rPr>
                <w:rFonts w:ascii="Times New Roman" w:hAnsi="Times New Roman" w:cs="Times New Roman"/>
                <w:sz w:val="20"/>
                <w:szCs w:val="20"/>
              </w:rPr>
            </w:pPr>
            <w:r w:rsidRPr="00B32B1F">
              <w:rPr>
                <w:rFonts w:ascii="Times New Roman" w:hAnsi="Times New Roman" w:cs="Times New Roman"/>
                <w:sz w:val="20"/>
                <w:szCs w:val="20"/>
              </w:rPr>
              <w:t>31%</w:t>
            </w:r>
          </w:p>
        </w:tc>
        <w:tc>
          <w:tcPr>
            <w:tcW w:w="371" w:type="pct"/>
          </w:tcPr>
          <w:p w14:paraId="34960B67" w14:textId="77777777" w:rsidR="00B32B1F" w:rsidRPr="00B32B1F" w:rsidRDefault="00B32B1F" w:rsidP="00B32B1F">
            <w:pPr>
              <w:adjustRightInd w:val="0"/>
              <w:snapToGrid w:val="0"/>
              <w:spacing w:after="0" w:line="240" w:lineRule="auto"/>
              <w:ind w:left="100"/>
              <w:jc w:val="right"/>
              <w:rPr>
                <w:rFonts w:ascii="Times New Roman" w:hAnsi="Times New Roman" w:cs="Times New Roman"/>
                <w:sz w:val="20"/>
                <w:szCs w:val="20"/>
              </w:rPr>
            </w:pPr>
            <w:r w:rsidRPr="00B32B1F">
              <w:rPr>
                <w:rFonts w:ascii="Times New Roman" w:hAnsi="Times New Roman" w:cs="Times New Roman"/>
                <w:sz w:val="20"/>
                <w:szCs w:val="20"/>
              </w:rPr>
              <w:t>15%</w:t>
            </w:r>
          </w:p>
        </w:tc>
        <w:tc>
          <w:tcPr>
            <w:tcW w:w="422" w:type="pct"/>
          </w:tcPr>
          <w:p w14:paraId="7B404C60" w14:textId="77777777" w:rsidR="00B32B1F" w:rsidRPr="00B32B1F" w:rsidRDefault="00B32B1F" w:rsidP="00B32B1F">
            <w:pPr>
              <w:adjustRightInd w:val="0"/>
              <w:snapToGrid w:val="0"/>
              <w:spacing w:after="0" w:line="240" w:lineRule="auto"/>
              <w:ind w:left="90"/>
              <w:jc w:val="right"/>
              <w:rPr>
                <w:rFonts w:ascii="Times New Roman" w:hAnsi="Times New Roman" w:cs="Times New Roman"/>
                <w:sz w:val="20"/>
                <w:szCs w:val="20"/>
              </w:rPr>
            </w:pPr>
            <w:r w:rsidRPr="00B32B1F">
              <w:rPr>
                <w:rFonts w:ascii="Times New Roman" w:hAnsi="Times New Roman" w:cs="Times New Roman"/>
                <w:sz w:val="20"/>
                <w:szCs w:val="20"/>
              </w:rPr>
              <w:t>51%</w:t>
            </w:r>
          </w:p>
        </w:tc>
      </w:tr>
    </w:tbl>
    <w:p w14:paraId="7504C2C1" w14:textId="77777777" w:rsidR="00B32B1F" w:rsidRPr="001E2E9E" w:rsidRDefault="00B32B1F" w:rsidP="00B32B1F">
      <w:pPr>
        <w:adjustRightInd w:val="0"/>
        <w:snapToGrid w:val="0"/>
        <w:spacing w:after="0" w:line="240" w:lineRule="auto"/>
        <w:ind w:left="725"/>
      </w:pPr>
      <w:r w:rsidRPr="001E2E9E">
        <w:rPr>
          <w:rFonts w:ascii="Times New Roman" w:hAnsi="Times New Roman" w:cs="Times New Roman"/>
          <w:vertAlign w:val="superscript"/>
        </w:rPr>
        <w:t>1</w:t>
      </w:r>
      <w:r w:rsidRPr="001E2E9E">
        <w:rPr>
          <w:rFonts w:ascii="Times New Roman" w:hAnsi="Times New Roman" w:cs="Times New Roman"/>
        </w:rPr>
        <w:t xml:space="preserve"> During</w:t>
      </w:r>
      <w:r w:rsidRPr="001E2E9E">
        <w:rPr>
          <w:rFonts w:ascii="Times New Roman" w:hAnsi="Times New Roman" w:cs="Times New Roman"/>
          <w:spacing w:val="-2"/>
        </w:rPr>
        <w:t xml:space="preserve"> </w:t>
      </w:r>
      <w:r w:rsidRPr="001E2E9E">
        <w:rPr>
          <w:rFonts w:ascii="Times New Roman" w:hAnsi="Times New Roman" w:cs="Times New Roman"/>
        </w:rPr>
        <w:t>1971-2014</w:t>
      </w:r>
    </w:p>
    <w:p w14:paraId="50F969B6" w14:textId="77777777" w:rsidR="00B32B1F" w:rsidRPr="00662464" w:rsidRDefault="00B32B1F" w:rsidP="00B32B1F">
      <w:pPr>
        <w:adjustRightInd w:val="0"/>
        <w:snapToGrid w:val="0"/>
        <w:spacing w:after="0" w:line="240" w:lineRule="auto"/>
        <w:ind w:right="30"/>
        <w:jc w:val="both"/>
        <w:rPr>
          <w:rFonts w:ascii="Times New Roman" w:eastAsia="Times New Roman" w:hAnsi="Times New Roman" w:cs="Times New Roman"/>
        </w:rPr>
      </w:pPr>
      <w:r w:rsidRPr="00662464">
        <w:rPr>
          <w:rFonts w:ascii="Times New Roman" w:eastAsia="Times New Roman" w:hAnsi="Times New Roman" w:cs="Times New Roman"/>
          <w:b/>
          <w:bCs/>
        </w:rPr>
        <w:t>Table 7-4</w:t>
      </w:r>
      <w:r w:rsidRPr="00662464">
        <w:rPr>
          <w:rFonts w:ascii="Times New Roman" w:hAnsi="Times New Roman" w:cs="Times New Roman" w:hint="eastAsia"/>
          <w:bCs/>
          <w:lang w:eastAsia="ko-KR"/>
        </w:rPr>
        <w:t>.</w:t>
      </w:r>
      <w:r w:rsidRPr="00662464">
        <w:rPr>
          <w:rFonts w:ascii="Times New Roman" w:eastAsia="Times New Roman" w:hAnsi="Times New Roman" w:cs="Times New Roman"/>
          <w:bCs/>
        </w:rPr>
        <w:t xml:space="preserve"> Estimates of biological reference points along with estimates of fishing mortality (F),</w:t>
      </w:r>
      <w:r w:rsidRPr="00662464">
        <w:rPr>
          <w:rFonts w:ascii="Times New Roman" w:eastAsia="Times New Roman" w:hAnsi="Times New Roman" w:cs="Times New Roman"/>
          <w:bCs/>
          <w:spacing w:val="-18"/>
        </w:rPr>
        <w:t xml:space="preserve"> </w:t>
      </w:r>
      <w:r w:rsidRPr="00662464">
        <w:rPr>
          <w:rFonts w:ascii="Times New Roman" w:eastAsia="Times New Roman" w:hAnsi="Times New Roman" w:cs="Times New Roman"/>
          <w:bCs/>
        </w:rPr>
        <w:t>female</w:t>
      </w:r>
      <w:r w:rsidRPr="00662464">
        <w:rPr>
          <w:rFonts w:ascii="Times New Roman" w:eastAsia="Times New Roman" w:hAnsi="Times New Roman" w:cs="Times New Roman"/>
          <w:bCs/>
          <w:w w:val="99"/>
        </w:rPr>
        <w:t xml:space="preserve"> </w:t>
      </w:r>
      <w:r w:rsidRPr="00662464">
        <w:rPr>
          <w:rFonts w:ascii="Times New Roman" w:eastAsia="Times New Roman" w:hAnsi="Times New Roman" w:cs="Times New Roman"/>
          <w:bCs/>
        </w:rPr>
        <w:t>spawning</w:t>
      </w:r>
      <w:r w:rsidRPr="00662464">
        <w:rPr>
          <w:rFonts w:ascii="Times New Roman" w:eastAsia="Times New Roman" w:hAnsi="Times New Roman" w:cs="Times New Roman"/>
          <w:bCs/>
          <w:spacing w:val="-2"/>
        </w:rPr>
        <w:t xml:space="preserve"> </w:t>
      </w:r>
      <w:r w:rsidRPr="00662464">
        <w:rPr>
          <w:rFonts w:ascii="Times New Roman" w:eastAsia="Times New Roman" w:hAnsi="Times New Roman" w:cs="Times New Roman"/>
          <w:bCs/>
        </w:rPr>
        <w:t>stock</w:t>
      </w:r>
      <w:r w:rsidRPr="00662464">
        <w:rPr>
          <w:rFonts w:ascii="Times New Roman" w:eastAsia="Times New Roman" w:hAnsi="Times New Roman" w:cs="Times New Roman"/>
          <w:bCs/>
          <w:spacing w:val="-5"/>
        </w:rPr>
        <w:t xml:space="preserve"> </w:t>
      </w:r>
      <w:r w:rsidRPr="00662464">
        <w:rPr>
          <w:rFonts w:ascii="Times New Roman" w:eastAsia="Times New Roman" w:hAnsi="Times New Roman" w:cs="Times New Roman"/>
          <w:bCs/>
        </w:rPr>
        <w:t>biomass</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(SSB),</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recent</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average</w:t>
      </w:r>
      <w:r w:rsidRPr="00662464">
        <w:rPr>
          <w:rFonts w:ascii="Times New Roman" w:eastAsia="Times New Roman" w:hAnsi="Times New Roman" w:cs="Times New Roman"/>
          <w:bCs/>
          <w:spacing w:val="-4"/>
        </w:rPr>
        <w:t xml:space="preserve"> </w:t>
      </w:r>
      <w:r w:rsidRPr="00662464">
        <w:rPr>
          <w:rFonts w:ascii="Times New Roman" w:eastAsia="Times New Roman" w:hAnsi="Times New Roman" w:cs="Times New Roman"/>
          <w:bCs/>
        </w:rPr>
        <w:t>yield</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(C),</w:t>
      </w:r>
      <w:r w:rsidRPr="00662464">
        <w:rPr>
          <w:rFonts w:ascii="Times New Roman" w:eastAsia="Times New Roman" w:hAnsi="Times New Roman" w:cs="Times New Roman"/>
          <w:bCs/>
          <w:spacing w:val="-4"/>
        </w:rPr>
        <w:t xml:space="preserve"> </w:t>
      </w:r>
      <w:r w:rsidRPr="00662464">
        <w:rPr>
          <w:rFonts w:ascii="Times New Roman" w:eastAsia="Times New Roman" w:hAnsi="Times New Roman" w:cs="Times New Roman"/>
          <w:bCs/>
        </w:rPr>
        <w:t>and</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spawning</w:t>
      </w:r>
      <w:r w:rsidRPr="00662464">
        <w:rPr>
          <w:rFonts w:ascii="Times New Roman" w:eastAsia="Times New Roman" w:hAnsi="Times New Roman" w:cs="Times New Roman"/>
          <w:bCs/>
          <w:spacing w:val="-2"/>
        </w:rPr>
        <w:t xml:space="preserve"> </w:t>
      </w:r>
      <w:r w:rsidRPr="00662464">
        <w:rPr>
          <w:rFonts w:ascii="Times New Roman" w:eastAsia="Times New Roman" w:hAnsi="Times New Roman" w:cs="Times New Roman"/>
          <w:bCs/>
        </w:rPr>
        <w:t>potential</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ratio</w:t>
      </w:r>
      <w:r w:rsidRPr="00662464">
        <w:rPr>
          <w:rFonts w:ascii="Times New Roman" w:eastAsia="Times New Roman" w:hAnsi="Times New Roman" w:cs="Times New Roman"/>
          <w:bCs/>
          <w:spacing w:val="-4"/>
        </w:rPr>
        <w:t xml:space="preserve"> </w:t>
      </w:r>
      <w:r w:rsidRPr="00662464">
        <w:rPr>
          <w:rFonts w:ascii="Times New Roman" w:eastAsia="Times New Roman" w:hAnsi="Times New Roman" w:cs="Times New Roman"/>
          <w:bCs/>
        </w:rPr>
        <w:t>(SPR)</w:t>
      </w:r>
      <w:r w:rsidRPr="00662464">
        <w:rPr>
          <w:rFonts w:ascii="Times New Roman" w:eastAsia="Times New Roman" w:hAnsi="Times New Roman" w:cs="Times New Roman"/>
          <w:bCs/>
          <w:spacing w:val="-2"/>
        </w:rPr>
        <w:t xml:space="preserve"> </w:t>
      </w:r>
      <w:r w:rsidRPr="00662464">
        <w:rPr>
          <w:rFonts w:ascii="Times New Roman" w:eastAsia="Times New Roman" w:hAnsi="Times New Roman" w:cs="Times New Roman"/>
          <w:bCs/>
        </w:rPr>
        <w:t>of</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BUM,</w:t>
      </w:r>
      <w:r w:rsidRPr="00662464">
        <w:rPr>
          <w:rFonts w:ascii="Times New Roman" w:eastAsia="Times New Roman" w:hAnsi="Times New Roman" w:cs="Times New Roman"/>
          <w:bCs/>
          <w:spacing w:val="-3"/>
        </w:rPr>
        <w:t xml:space="preserve"> </w:t>
      </w:r>
      <w:r w:rsidRPr="00662464">
        <w:rPr>
          <w:rFonts w:ascii="Times New Roman" w:eastAsia="Times New Roman" w:hAnsi="Times New Roman" w:cs="Times New Roman"/>
          <w:bCs/>
        </w:rPr>
        <w:t>derived</w:t>
      </w:r>
      <w:r w:rsidRPr="00662464">
        <w:rPr>
          <w:rFonts w:ascii="Times New Roman" w:eastAsia="Times New Roman" w:hAnsi="Times New Roman" w:cs="Times New Roman"/>
          <w:bCs/>
          <w:w w:val="99"/>
        </w:rPr>
        <w:t xml:space="preserve"> </w:t>
      </w:r>
      <w:r w:rsidRPr="00662464">
        <w:rPr>
          <w:rFonts w:ascii="Times New Roman" w:eastAsia="Times New Roman" w:hAnsi="Times New Roman" w:cs="Times New Roman"/>
          <w:bCs/>
        </w:rPr>
        <w:t>from the base case model assessment model, where “MSY” and “20%” indicate reference points based</w:t>
      </w:r>
      <w:r w:rsidRPr="00662464">
        <w:rPr>
          <w:rFonts w:ascii="Times New Roman" w:eastAsia="Times New Roman" w:hAnsi="Times New Roman" w:cs="Times New Roman"/>
          <w:bCs/>
          <w:spacing w:val="-21"/>
        </w:rPr>
        <w:t xml:space="preserve"> </w:t>
      </w:r>
      <w:r w:rsidRPr="00662464">
        <w:rPr>
          <w:rFonts w:ascii="Times New Roman" w:eastAsia="Times New Roman" w:hAnsi="Times New Roman" w:cs="Times New Roman"/>
          <w:bCs/>
        </w:rPr>
        <w:t>on</w:t>
      </w:r>
      <w:r w:rsidRPr="00662464">
        <w:rPr>
          <w:rFonts w:ascii="Times New Roman" w:eastAsia="Times New Roman" w:hAnsi="Times New Roman" w:cs="Times New Roman"/>
          <w:bCs/>
          <w:w w:val="99"/>
        </w:rPr>
        <w:t xml:space="preserve"> </w:t>
      </w:r>
      <w:r w:rsidRPr="00662464">
        <w:rPr>
          <w:rFonts w:ascii="Times New Roman" w:eastAsia="Times New Roman" w:hAnsi="Times New Roman" w:cs="Times New Roman"/>
          <w:bCs/>
        </w:rPr>
        <w:t>maximum sustainable yield and a spawning potential ratio of 20%,</w:t>
      </w:r>
      <w:r w:rsidRPr="00662464">
        <w:rPr>
          <w:rFonts w:ascii="Times New Roman" w:eastAsia="Times New Roman" w:hAnsi="Times New Roman" w:cs="Times New Roman"/>
          <w:bCs/>
          <w:spacing w:val="-35"/>
        </w:rPr>
        <w:t xml:space="preserve"> </w:t>
      </w:r>
      <w:r w:rsidRPr="00662464">
        <w:rPr>
          <w:rFonts w:ascii="Times New Roman" w:eastAsia="Times New Roman" w:hAnsi="Times New Roman" w:cs="Times New Roman"/>
          <w:bCs/>
        </w:rPr>
        <w:t>respectively.</w:t>
      </w:r>
    </w:p>
    <w:tbl>
      <w:tblPr>
        <w:tblW w:w="0" w:type="auto"/>
        <w:tblInd w:w="540" w:type="dxa"/>
        <w:tblLayout w:type="fixed"/>
        <w:tblCellMar>
          <w:left w:w="0" w:type="dxa"/>
          <w:right w:w="0" w:type="dxa"/>
        </w:tblCellMar>
        <w:tblLook w:val="01E0" w:firstRow="1" w:lastRow="1" w:firstColumn="1" w:lastColumn="1" w:noHBand="0" w:noVBand="0"/>
      </w:tblPr>
      <w:tblGrid>
        <w:gridCol w:w="3351"/>
        <w:gridCol w:w="3272"/>
      </w:tblGrid>
      <w:tr w:rsidR="00B32B1F" w:rsidRPr="00662464" w14:paraId="51731F64"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7BC290A5" w14:textId="77777777" w:rsidR="00B32B1F" w:rsidRPr="00BB7C18" w:rsidRDefault="00B32B1F" w:rsidP="00B32B1F">
            <w:pPr>
              <w:pStyle w:val="TableParagraph"/>
              <w:adjustRightInd w:val="0"/>
              <w:snapToGrid w:val="0"/>
              <w:ind w:left="873"/>
              <w:rPr>
                <w:rFonts w:ascii="Times New Roman" w:eastAsia="Calibri" w:hAnsi="Times New Roman" w:cs="Times New Roman"/>
                <w:b/>
              </w:rPr>
            </w:pPr>
            <w:r w:rsidRPr="00BB7C18">
              <w:rPr>
                <w:rFonts w:ascii="Times New Roman" w:hAnsi="Times New Roman" w:cs="Times New Roman"/>
                <w:b/>
              </w:rPr>
              <w:t>Reference</w:t>
            </w:r>
            <w:r w:rsidRPr="00BB7C18">
              <w:rPr>
                <w:rFonts w:ascii="Times New Roman" w:hAnsi="Times New Roman" w:cs="Times New Roman"/>
                <w:b/>
                <w:spacing w:val="-7"/>
              </w:rPr>
              <w:t xml:space="preserve"> </w:t>
            </w:r>
            <w:r w:rsidRPr="00BB7C18">
              <w:rPr>
                <w:rFonts w:ascii="Times New Roman" w:hAnsi="Times New Roman" w:cs="Times New Roman"/>
                <w:b/>
              </w:rPr>
              <w:t>Point</w:t>
            </w:r>
          </w:p>
        </w:tc>
        <w:tc>
          <w:tcPr>
            <w:tcW w:w="3272" w:type="dxa"/>
            <w:tcBorders>
              <w:top w:val="single" w:sz="4" w:space="0" w:color="000000"/>
              <w:left w:val="single" w:sz="4" w:space="0" w:color="000000"/>
              <w:bottom w:val="single" w:sz="4" w:space="0" w:color="000000"/>
              <w:right w:val="single" w:sz="4" w:space="0" w:color="000000"/>
            </w:tcBorders>
          </w:tcPr>
          <w:p w14:paraId="72340A11" w14:textId="77777777" w:rsidR="00B32B1F" w:rsidRPr="00BB7C18" w:rsidRDefault="00B32B1F" w:rsidP="00B32B1F">
            <w:pPr>
              <w:pStyle w:val="TableParagraph"/>
              <w:adjustRightInd w:val="0"/>
              <w:snapToGrid w:val="0"/>
              <w:ind w:right="1"/>
              <w:jc w:val="center"/>
              <w:rPr>
                <w:rFonts w:ascii="Times New Roman" w:eastAsia="Calibri" w:hAnsi="Times New Roman" w:cs="Times New Roman"/>
                <w:b/>
              </w:rPr>
            </w:pPr>
            <w:r w:rsidRPr="00BB7C18">
              <w:rPr>
                <w:rFonts w:ascii="Times New Roman" w:hAnsi="Times New Roman" w:cs="Times New Roman"/>
                <w:b/>
              </w:rPr>
              <w:t>Estimate</w:t>
            </w:r>
          </w:p>
        </w:tc>
      </w:tr>
      <w:tr w:rsidR="00B32B1F" w:rsidRPr="00662464" w14:paraId="0A43ACD6"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48882ADA" w14:textId="77777777" w:rsidR="00B32B1F" w:rsidRPr="00662464" w:rsidRDefault="00B32B1F" w:rsidP="00B32B1F">
            <w:pPr>
              <w:pStyle w:val="TableParagraph"/>
              <w:adjustRightInd w:val="0"/>
              <w:snapToGrid w:val="0"/>
              <w:ind w:left="1048"/>
              <w:rPr>
                <w:rFonts w:ascii="Times New Roman" w:eastAsia="Calibri" w:hAnsi="Times New Roman" w:cs="Times New Roman"/>
              </w:rPr>
            </w:pPr>
            <w:r w:rsidRPr="00662464">
              <w:rPr>
                <w:rFonts w:ascii="Times New Roman" w:hAnsi="Times New Roman" w:cs="Times New Roman"/>
                <w:position w:val="2"/>
              </w:rPr>
              <w:t>F</w:t>
            </w:r>
            <w:r w:rsidRPr="00946AF4">
              <w:rPr>
                <w:rFonts w:ascii="Times New Roman" w:hAnsi="Times New Roman" w:cs="Times New Roman"/>
                <w:vertAlign w:val="subscript"/>
              </w:rPr>
              <w:t>MSY</w:t>
            </w:r>
            <w:r w:rsidRPr="00662464">
              <w:rPr>
                <w:rFonts w:ascii="Times New Roman" w:hAnsi="Times New Roman" w:cs="Times New Roman"/>
              </w:rPr>
              <w:t xml:space="preserve"> </w:t>
            </w:r>
            <w:r w:rsidRPr="00662464">
              <w:rPr>
                <w:rFonts w:ascii="Times New Roman" w:hAnsi="Times New Roman" w:cs="Times New Roman"/>
                <w:position w:val="2"/>
              </w:rPr>
              <w:t>(age</w:t>
            </w:r>
            <w:r w:rsidRPr="00662464">
              <w:rPr>
                <w:rFonts w:ascii="Times New Roman" w:hAnsi="Times New Roman" w:cs="Times New Roman"/>
                <w:spacing w:val="14"/>
                <w:position w:val="2"/>
              </w:rPr>
              <w:t xml:space="preserve"> </w:t>
            </w:r>
            <w:r w:rsidRPr="00662464">
              <w:rPr>
                <w:rFonts w:ascii="Times New Roman" w:hAnsi="Times New Roman" w:cs="Times New Roman"/>
                <w:position w:val="2"/>
              </w:rPr>
              <w:t>2+)</w:t>
            </w:r>
          </w:p>
        </w:tc>
        <w:tc>
          <w:tcPr>
            <w:tcW w:w="3272" w:type="dxa"/>
            <w:tcBorders>
              <w:top w:val="single" w:sz="4" w:space="0" w:color="000000"/>
              <w:left w:val="single" w:sz="4" w:space="0" w:color="000000"/>
              <w:bottom w:val="single" w:sz="4" w:space="0" w:color="000000"/>
              <w:right w:val="single" w:sz="4" w:space="0" w:color="000000"/>
            </w:tcBorders>
          </w:tcPr>
          <w:p w14:paraId="2AE0B9C6" w14:textId="77777777" w:rsidR="00B32B1F" w:rsidRPr="00662464" w:rsidRDefault="00B32B1F" w:rsidP="00B32B1F">
            <w:pPr>
              <w:pStyle w:val="TableParagraph"/>
              <w:adjustRightInd w:val="0"/>
              <w:snapToGrid w:val="0"/>
              <w:ind w:right="1"/>
              <w:jc w:val="center"/>
              <w:rPr>
                <w:rFonts w:ascii="Times New Roman" w:eastAsia="Calibri" w:hAnsi="Times New Roman" w:cs="Times New Roman"/>
              </w:rPr>
            </w:pPr>
            <w:r w:rsidRPr="00662464">
              <w:rPr>
                <w:rFonts w:ascii="Times New Roman" w:hAnsi="Times New Roman" w:cs="Times New Roman"/>
              </w:rPr>
              <w:t>0.32</w:t>
            </w:r>
          </w:p>
        </w:tc>
      </w:tr>
      <w:tr w:rsidR="00B32B1F" w:rsidRPr="00662464" w14:paraId="3A5683BC"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614A414B" w14:textId="77777777" w:rsidR="00B32B1F" w:rsidRPr="00662464" w:rsidRDefault="00B32B1F" w:rsidP="00B32B1F">
            <w:pPr>
              <w:pStyle w:val="TableParagraph"/>
              <w:adjustRightInd w:val="0"/>
              <w:snapToGrid w:val="0"/>
              <w:ind w:left="1055"/>
              <w:rPr>
                <w:rFonts w:ascii="Times New Roman" w:eastAsia="Calibri" w:hAnsi="Times New Roman" w:cs="Times New Roman"/>
              </w:rPr>
            </w:pPr>
            <w:r w:rsidRPr="00662464">
              <w:rPr>
                <w:rFonts w:ascii="Times New Roman" w:hAnsi="Times New Roman" w:cs="Times New Roman"/>
                <w:position w:val="2"/>
              </w:rPr>
              <w:t>F</w:t>
            </w:r>
            <w:r w:rsidRPr="00662464">
              <w:rPr>
                <w:rFonts w:ascii="Times New Roman" w:hAnsi="Times New Roman" w:cs="Times New Roman"/>
              </w:rPr>
              <w:t xml:space="preserve">20% </w:t>
            </w:r>
            <w:r w:rsidRPr="00662464">
              <w:rPr>
                <w:rFonts w:ascii="Times New Roman" w:hAnsi="Times New Roman" w:cs="Times New Roman"/>
                <w:position w:val="2"/>
              </w:rPr>
              <w:t>(age</w:t>
            </w:r>
            <w:r w:rsidRPr="00662464">
              <w:rPr>
                <w:rFonts w:ascii="Times New Roman" w:hAnsi="Times New Roman" w:cs="Times New Roman"/>
                <w:spacing w:val="-19"/>
                <w:position w:val="2"/>
              </w:rPr>
              <w:t xml:space="preserve"> </w:t>
            </w:r>
            <w:r w:rsidRPr="00662464">
              <w:rPr>
                <w:rFonts w:ascii="Times New Roman" w:hAnsi="Times New Roman" w:cs="Times New Roman"/>
                <w:position w:val="2"/>
              </w:rPr>
              <w:t>2+)</w:t>
            </w:r>
          </w:p>
        </w:tc>
        <w:tc>
          <w:tcPr>
            <w:tcW w:w="3272" w:type="dxa"/>
            <w:tcBorders>
              <w:top w:val="single" w:sz="4" w:space="0" w:color="000000"/>
              <w:left w:val="single" w:sz="4" w:space="0" w:color="000000"/>
              <w:bottom w:val="single" w:sz="4" w:space="0" w:color="000000"/>
              <w:right w:val="single" w:sz="4" w:space="0" w:color="000000"/>
            </w:tcBorders>
          </w:tcPr>
          <w:p w14:paraId="78B7B2E2" w14:textId="77777777" w:rsidR="00B32B1F" w:rsidRPr="00662464" w:rsidRDefault="00B32B1F" w:rsidP="00B32B1F">
            <w:pPr>
              <w:pStyle w:val="TableParagraph"/>
              <w:adjustRightInd w:val="0"/>
              <w:snapToGrid w:val="0"/>
              <w:ind w:right="1"/>
              <w:jc w:val="center"/>
              <w:rPr>
                <w:rFonts w:ascii="Times New Roman" w:eastAsia="Calibri" w:hAnsi="Times New Roman" w:cs="Times New Roman"/>
              </w:rPr>
            </w:pPr>
            <w:r w:rsidRPr="00662464">
              <w:rPr>
                <w:rFonts w:ascii="Times New Roman" w:hAnsi="Times New Roman" w:cs="Times New Roman"/>
              </w:rPr>
              <w:t>0.30</w:t>
            </w:r>
          </w:p>
        </w:tc>
      </w:tr>
      <w:tr w:rsidR="00B32B1F" w:rsidRPr="00662464" w14:paraId="28028C8A"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2408920C" w14:textId="77777777" w:rsidR="00B32B1F" w:rsidRPr="00662464" w:rsidRDefault="00B32B1F" w:rsidP="00B32B1F">
            <w:pPr>
              <w:pStyle w:val="TableParagraph"/>
              <w:adjustRightInd w:val="0"/>
              <w:snapToGrid w:val="0"/>
              <w:ind w:left="825"/>
              <w:rPr>
                <w:rFonts w:ascii="Times New Roman" w:eastAsia="Calibri" w:hAnsi="Times New Roman" w:cs="Times New Roman"/>
              </w:rPr>
            </w:pPr>
            <w:r w:rsidRPr="00662464">
              <w:rPr>
                <w:rFonts w:ascii="Times New Roman" w:hAnsi="Times New Roman" w:cs="Times New Roman"/>
                <w:position w:val="2"/>
              </w:rPr>
              <w:t>F</w:t>
            </w:r>
            <w:r w:rsidRPr="00662464">
              <w:rPr>
                <w:rFonts w:ascii="Times New Roman" w:hAnsi="Times New Roman" w:cs="Times New Roman"/>
              </w:rPr>
              <w:t xml:space="preserve">2012-2014 </w:t>
            </w:r>
            <w:r w:rsidRPr="00662464">
              <w:rPr>
                <w:rFonts w:ascii="Times New Roman" w:hAnsi="Times New Roman" w:cs="Times New Roman"/>
                <w:position w:val="2"/>
              </w:rPr>
              <w:t>(age</w:t>
            </w:r>
            <w:r w:rsidRPr="00662464">
              <w:rPr>
                <w:rFonts w:ascii="Times New Roman" w:hAnsi="Times New Roman" w:cs="Times New Roman"/>
                <w:spacing w:val="15"/>
                <w:position w:val="2"/>
              </w:rPr>
              <w:t xml:space="preserve"> </w:t>
            </w:r>
            <w:r w:rsidRPr="00662464">
              <w:rPr>
                <w:rFonts w:ascii="Times New Roman" w:hAnsi="Times New Roman" w:cs="Times New Roman"/>
                <w:position w:val="2"/>
              </w:rPr>
              <w:t>2+)</w:t>
            </w:r>
          </w:p>
        </w:tc>
        <w:tc>
          <w:tcPr>
            <w:tcW w:w="3272" w:type="dxa"/>
            <w:tcBorders>
              <w:top w:val="single" w:sz="4" w:space="0" w:color="000000"/>
              <w:left w:val="single" w:sz="4" w:space="0" w:color="000000"/>
              <w:bottom w:val="single" w:sz="4" w:space="0" w:color="000000"/>
              <w:right w:val="single" w:sz="4" w:space="0" w:color="000000"/>
            </w:tcBorders>
          </w:tcPr>
          <w:p w14:paraId="77D7AC86" w14:textId="77777777" w:rsidR="00B32B1F" w:rsidRPr="00662464" w:rsidRDefault="00B32B1F" w:rsidP="00B32B1F">
            <w:pPr>
              <w:pStyle w:val="TableParagraph"/>
              <w:adjustRightInd w:val="0"/>
              <w:snapToGrid w:val="0"/>
              <w:ind w:right="1"/>
              <w:jc w:val="center"/>
              <w:rPr>
                <w:rFonts w:ascii="Times New Roman" w:eastAsia="Calibri" w:hAnsi="Times New Roman" w:cs="Times New Roman"/>
              </w:rPr>
            </w:pPr>
            <w:r w:rsidRPr="00662464">
              <w:rPr>
                <w:rFonts w:ascii="Times New Roman" w:hAnsi="Times New Roman" w:cs="Times New Roman"/>
              </w:rPr>
              <w:t>0.28</w:t>
            </w:r>
          </w:p>
        </w:tc>
      </w:tr>
      <w:tr w:rsidR="00B32B1F" w:rsidRPr="00662464" w14:paraId="50ACDE25"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04D6475A"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position w:val="2"/>
              </w:rPr>
              <w:t>SSB</w:t>
            </w:r>
            <w:r w:rsidRPr="00662464">
              <w:rPr>
                <w:rFonts w:ascii="Times New Roman" w:hAnsi="Times New Roman" w:cs="Times New Roman"/>
              </w:rPr>
              <w:t>MSY</w:t>
            </w:r>
          </w:p>
        </w:tc>
        <w:tc>
          <w:tcPr>
            <w:tcW w:w="3272" w:type="dxa"/>
            <w:tcBorders>
              <w:top w:val="single" w:sz="4" w:space="0" w:color="000000"/>
              <w:left w:val="single" w:sz="4" w:space="0" w:color="000000"/>
              <w:bottom w:val="single" w:sz="4" w:space="0" w:color="000000"/>
              <w:right w:val="single" w:sz="4" w:space="0" w:color="000000"/>
            </w:tcBorders>
          </w:tcPr>
          <w:p w14:paraId="2B7C0A88"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rPr>
              <w:t>19,853</w:t>
            </w:r>
            <w:r w:rsidRPr="00662464">
              <w:rPr>
                <w:rFonts w:ascii="Times New Roman" w:hAnsi="Times New Roman" w:cs="Times New Roman"/>
                <w:spacing w:val="-3"/>
              </w:rPr>
              <w:t xml:space="preserve"> </w:t>
            </w:r>
            <w:r w:rsidRPr="00662464">
              <w:rPr>
                <w:rFonts w:ascii="Times New Roman" w:hAnsi="Times New Roman" w:cs="Times New Roman"/>
              </w:rPr>
              <w:t>mt</w:t>
            </w:r>
          </w:p>
        </w:tc>
      </w:tr>
      <w:tr w:rsidR="00B32B1F" w:rsidRPr="00662464" w14:paraId="6CE78843"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12D30A02"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position w:val="2"/>
              </w:rPr>
              <w:t>SSB</w:t>
            </w:r>
            <w:r w:rsidRPr="00662464">
              <w:rPr>
                <w:rFonts w:ascii="Times New Roman" w:hAnsi="Times New Roman" w:cs="Times New Roman"/>
              </w:rPr>
              <w:t>20%</w:t>
            </w:r>
          </w:p>
        </w:tc>
        <w:tc>
          <w:tcPr>
            <w:tcW w:w="3272" w:type="dxa"/>
            <w:tcBorders>
              <w:top w:val="single" w:sz="4" w:space="0" w:color="000000"/>
              <w:left w:val="single" w:sz="4" w:space="0" w:color="000000"/>
              <w:bottom w:val="single" w:sz="4" w:space="0" w:color="000000"/>
              <w:right w:val="single" w:sz="4" w:space="0" w:color="000000"/>
            </w:tcBorders>
          </w:tcPr>
          <w:p w14:paraId="4533BD07"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rPr>
              <w:t>22,727</w:t>
            </w:r>
            <w:r w:rsidRPr="00662464">
              <w:rPr>
                <w:rFonts w:ascii="Times New Roman" w:hAnsi="Times New Roman" w:cs="Times New Roman"/>
                <w:spacing w:val="-3"/>
              </w:rPr>
              <w:t xml:space="preserve"> </w:t>
            </w:r>
            <w:r w:rsidRPr="00662464">
              <w:rPr>
                <w:rFonts w:ascii="Times New Roman" w:hAnsi="Times New Roman" w:cs="Times New Roman"/>
              </w:rPr>
              <w:t>mt</w:t>
            </w:r>
          </w:p>
        </w:tc>
      </w:tr>
      <w:tr w:rsidR="00B32B1F" w:rsidRPr="00662464" w14:paraId="6B2EB51F"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09636090"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position w:val="2"/>
              </w:rPr>
              <w:t>SSB</w:t>
            </w:r>
            <w:r w:rsidRPr="00662464">
              <w:rPr>
                <w:rFonts w:ascii="Times New Roman" w:hAnsi="Times New Roman" w:cs="Times New Roman"/>
              </w:rPr>
              <w:t>2014</w:t>
            </w:r>
          </w:p>
        </w:tc>
        <w:tc>
          <w:tcPr>
            <w:tcW w:w="3272" w:type="dxa"/>
            <w:tcBorders>
              <w:top w:val="single" w:sz="4" w:space="0" w:color="000000"/>
              <w:left w:val="single" w:sz="4" w:space="0" w:color="000000"/>
              <w:bottom w:val="single" w:sz="4" w:space="0" w:color="000000"/>
              <w:right w:val="single" w:sz="4" w:space="0" w:color="000000"/>
            </w:tcBorders>
          </w:tcPr>
          <w:p w14:paraId="447C2F48"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rPr>
              <w:t>24,809</w:t>
            </w:r>
            <w:r w:rsidRPr="00662464">
              <w:rPr>
                <w:rFonts w:ascii="Times New Roman" w:hAnsi="Times New Roman" w:cs="Times New Roman"/>
                <w:spacing w:val="-3"/>
              </w:rPr>
              <w:t xml:space="preserve"> </w:t>
            </w:r>
            <w:r w:rsidRPr="00662464">
              <w:rPr>
                <w:rFonts w:ascii="Times New Roman" w:hAnsi="Times New Roman" w:cs="Times New Roman"/>
              </w:rPr>
              <w:t>mt</w:t>
            </w:r>
          </w:p>
        </w:tc>
      </w:tr>
      <w:tr w:rsidR="00B32B1F" w:rsidRPr="00662464" w14:paraId="62CA1175"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79E7498A"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rPr>
              <w:t>MSY</w:t>
            </w:r>
          </w:p>
        </w:tc>
        <w:tc>
          <w:tcPr>
            <w:tcW w:w="3272" w:type="dxa"/>
            <w:tcBorders>
              <w:top w:val="single" w:sz="4" w:space="0" w:color="000000"/>
              <w:left w:val="single" w:sz="4" w:space="0" w:color="000000"/>
              <w:bottom w:val="single" w:sz="4" w:space="0" w:color="000000"/>
              <w:right w:val="single" w:sz="4" w:space="0" w:color="000000"/>
            </w:tcBorders>
          </w:tcPr>
          <w:p w14:paraId="38FD26E6"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rPr>
              <w:t>19,901</w:t>
            </w:r>
            <w:r w:rsidRPr="00662464">
              <w:rPr>
                <w:rFonts w:ascii="Times New Roman" w:hAnsi="Times New Roman" w:cs="Times New Roman"/>
                <w:spacing w:val="-3"/>
              </w:rPr>
              <w:t xml:space="preserve"> </w:t>
            </w:r>
            <w:r w:rsidRPr="00662464">
              <w:rPr>
                <w:rFonts w:ascii="Times New Roman" w:hAnsi="Times New Roman" w:cs="Times New Roman"/>
              </w:rPr>
              <w:t>mt</w:t>
            </w:r>
          </w:p>
        </w:tc>
      </w:tr>
      <w:tr w:rsidR="00B32B1F" w:rsidRPr="00662464" w14:paraId="63737AEE"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7D0C8F6A" w14:textId="77777777" w:rsidR="00B32B1F" w:rsidRPr="00662464" w:rsidRDefault="00B32B1F" w:rsidP="00B32B1F">
            <w:pPr>
              <w:pStyle w:val="TableParagraph"/>
              <w:adjustRightInd w:val="0"/>
              <w:snapToGrid w:val="0"/>
              <w:ind w:left="1"/>
              <w:jc w:val="center"/>
              <w:rPr>
                <w:rFonts w:ascii="Times New Roman" w:eastAsia="Calibri" w:hAnsi="Times New Roman" w:cs="Times New Roman"/>
              </w:rPr>
            </w:pPr>
            <w:r w:rsidRPr="00662464">
              <w:rPr>
                <w:rFonts w:ascii="Times New Roman" w:hAnsi="Times New Roman" w:cs="Times New Roman"/>
                <w:position w:val="2"/>
              </w:rPr>
              <w:t>C</w:t>
            </w:r>
            <w:r w:rsidRPr="00662464">
              <w:rPr>
                <w:rFonts w:ascii="Times New Roman" w:hAnsi="Times New Roman" w:cs="Times New Roman"/>
              </w:rPr>
              <w:t>2012-2014</w:t>
            </w:r>
          </w:p>
        </w:tc>
        <w:tc>
          <w:tcPr>
            <w:tcW w:w="3272" w:type="dxa"/>
            <w:tcBorders>
              <w:top w:val="single" w:sz="4" w:space="0" w:color="000000"/>
              <w:left w:val="single" w:sz="4" w:space="0" w:color="000000"/>
              <w:bottom w:val="single" w:sz="4" w:space="0" w:color="000000"/>
              <w:right w:val="single" w:sz="4" w:space="0" w:color="000000"/>
            </w:tcBorders>
          </w:tcPr>
          <w:p w14:paraId="65E6D482"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rPr>
              <w:t>20,163</w:t>
            </w:r>
            <w:r w:rsidRPr="00662464">
              <w:rPr>
                <w:rFonts w:ascii="Times New Roman" w:hAnsi="Times New Roman" w:cs="Times New Roman"/>
                <w:spacing w:val="-3"/>
              </w:rPr>
              <w:t xml:space="preserve"> </w:t>
            </w:r>
            <w:r w:rsidRPr="00662464">
              <w:rPr>
                <w:rFonts w:ascii="Times New Roman" w:hAnsi="Times New Roman" w:cs="Times New Roman"/>
              </w:rPr>
              <w:t>mt</w:t>
            </w:r>
          </w:p>
        </w:tc>
      </w:tr>
      <w:tr w:rsidR="00B32B1F" w:rsidRPr="00662464" w14:paraId="6CC3DC95"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603FF864"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position w:val="2"/>
              </w:rPr>
              <w:t>SPR</w:t>
            </w:r>
            <w:r w:rsidRPr="00662464">
              <w:rPr>
                <w:rFonts w:ascii="Times New Roman" w:hAnsi="Times New Roman" w:cs="Times New Roman"/>
              </w:rPr>
              <w:t>MSY</w:t>
            </w:r>
          </w:p>
        </w:tc>
        <w:tc>
          <w:tcPr>
            <w:tcW w:w="3272" w:type="dxa"/>
            <w:tcBorders>
              <w:top w:val="single" w:sz="4" w:space="0" w:color="000000"/>
              <w:left w:val="single" w:sz="4" w:space="0" w:color="000000"/>
              <w:bottom w:val="single" w:sz="4" w:space="0" w:color="000000"/>
              <w:right w:val="single" w:sz="4" w:space="0" w:color="000000"/>
            </w:tcBorders>
          </w:tcPr>
          <w:p w14:paraId="1128FECE" w14:textId="77777777" w:rsidR="00B32B1F" w:rsidRPr="00662464" w:rsidRDefault="00B32B1F" w:rsidP="00B32B1F">
            <w:pPr>
              <w:pStyle w:val="TableParagraph"/>
              <w:adjustRightInd w:val="0"/>
              <w:snapToGrid w:val="0"/>
              <w:ind w:right="1"/>
              <w:jc w:val="center"/>
              <w:rPr>
                <w:rFonts w:ascii="Times New Roman" w:eastAsia="Calibri" w:hAnsi="Times New Roman" w:cs="Times New Roman"/>
              </w:rPr>
            </w:pPr>
            <w:r w:rsidRPr="00662464">
              <w:rPr>
                <w:rFonts w:ascii="Times New Roman" w:hAnsi="Times New Roman" w:cs="Times New Roman"/>
              </w:rPr>
              <w:t>0.18</w:t>
            </w:r>
          </w:p>
        </w:tc>
      </w:tr>
      <w:tr w:rsidR="00B32B1F" w:rsidRPr="00662464" w14:paraId="3CEFB097" w14:textId="77777777" w:rsidTr="00886FE7">
        <w:tc>
          <w:tcPr>
            <w:tcW w:w="3351" w:type="dxa"/>
            <w:tcBorders>
              <w:top w:val="single" w:sz="4" w:space="0" w:color="000000"/>
              <w:left w:val="single" w:sz="4" w:space="0" w:color="000000"/>
              <w:bottom w:val="single" w:sz="4" w:space="0" w:color="000000"/>
              <w:right w:val="single" w:sz="4" w:space="0" w:color="000000"/>
            </w:tcBorders>
          </w:tcPr>
          <w:p w14:paraId="30F21F5D" w14:textId="77777777" w:rsidR="00B32B1F" w:rsidRPr="00662464" w:rsidRDefault="00B32B1F" w:rsidP="00B32B1F">
            <w:pPr>
              <w:pStyle w:val="TableParagraph"/>
              <w:adjustRightInd w:val="0"/>
              <w:snapToGrid w:val="0"/>
              <w:jc w:val="center"/>
              <w:rPr>
                <w:rFonts w:ascii="Times New Roman" w:eastAsia="Calibri" w:hAnsi="Times New Roman" w:cs="Times New Roman"/>
              </w:rPr>
            </w:pPr>
            <w:r w:rsidRPr="00662464">
              <w:rPr>
                <w:rFonts w:ascii="Times New Roman" w:hAnsi="Times New Roman" w:cs="Times New Roman"/>
                <w:position w:val="2"/>
              </w:rPr>
              <w:t>SPR</w:t>
            </w:r>
            <w:r w:rsidRPr="00662464">
              <w:rPr>
                <w:rFonts w:ascii="Times New Roman" w:hAnsi="Times New Roman" w:cs="Times New Roman"/>
              </w:rPr>
              <w:t>2012-2014</w:t>
            </w:r>
          </w:p>
        </w:tc>
        <w:tc>
          <w:tcPr>
            <w:tcW w:w="3272" w:type="dxa"/>
            <w:tcBorders>
              <w:top w:val="single" w:sz="4" w:space="0" w:color="000000"/>
              <w:left w:val="single" w:sz="4" w:space="0" w:color="000000"/>
              <w:bottom w:val="single" w:sz="4" w:space="0" w:color="000000"/>
              <w:right w:val="single" w:sz="4" w:space="0" w:color="000000"/>
            </w:tcBorders>
          </w:tcPr>
          <w:p w14:paraId="53AA0787" w14:textId="77777777" w:rsidR="00B32B1F" w:rsidRPr="00662464" w:rsidRDefault="00B32B1F" w:rsidP="00B32B1F">
            <w:pPr>
              <w:pStyle w:val="TableParagraph"/>
              <w:adjustRightInd w:val="0"/>
              <w:snapToGrid w:val="0"/>
              <w:ind w:right="1"/>
              <w:jc w:val="center"/>
              <w:rPr>
                <w:rFonts w:ascii="Times New Roman" w:eastAsia="Calibri" w:hAnsi="Times New Roman" w:cs="Times New Roman"/>
              </w:rPr>
            </w:pPr>
            <w:r w:rsidRPr="00662464">
              <w:rPr>
                <w:rFonts w:ascii="Times New Roman" w:hAnsi="Times New Roman" w:cs="Times New Roman"/>
              </w:rPr>
              <w:t>0.21</w:t>
            </w:r>
          </w:p>
        </w:tc>
      </w:tr>
    </w:tbl>
    <w:p w14:paraId="525675EF" w14:textId="77777777" w:rsidR="00B32B1F" w:rsidRPr="00662464" w:rsidRDefault="00B32B1F" w:rsidP="00B32B1F">
      <w:pPr>
        <w:adjustRightInd w:val="0"/>
        <w:snapToGrid w:val="0"/>
        <w:spacing w:after="0" w:line="240" w:lineRule="auto"/>
        <w:ind w:left="540" w:right="790"/>
        <w:rPr>
          <w:rFonts w:ascii="Times New Roman" w:eastAsia="Times New Roman" w:hAnsi="Times New Roman" w:cs="Times New Roman"/>
          <w:sz w:val="20"/>
          <w:szCs w:val="20"/>
        </w:rPr>
      </w:pPr>
      <w:r w:rsidRPr="00662464">
        <w:rPr>
          <w:rFonts w:ascii="Times New Roman" w:hAnsi="Times New Roman" w:cs="Times New Roman"/>
          <w:sz w:val="20"/>
        </w:rPr>
        <w:t>Note: SSB values represent female spawning biomass</w:t>
      </w:r>
      <w:r w:rsidRPr="00662464">
        <w:rPr>
          <w:rFonts w:ascii="Times New Roman" w:hAnsi="Times New Roman" w:cs="Times New Roman"/>
          <w:spacing w:val="-21"/>
          <w:sz w:val="20"/>
        </w:rPr>
        <w:t xml:space="preserve"> </w:t>
      </w:r>
      <w:r w:rsidRPr="00662464">
        <w:rPr>
          <w:rFonts w:ascii="Times New Roman" w:hAnsi="Times New Roman" w:cs="Times New Roman"/>
          <w:sz w:val="20"/>
        </w:rPr>
        <w:t>only.</w:t>
      </w:r>
    </w:p>
    <w:p w14:paraId="59F72CF0" w14:textId="77777777" w:rsidR="00B32B1F" w:rsidRPr="00662464" w:rsidRDefault="00B32B1F" w:rsidP="00B32B1F">
      <w:pPr>
        <w:pStyle w:val="WCPFC"/>
        <w:numPr>
          <w:ilvl w:val="0"/>
          <w:numId w:val="0"/>
        </w:numPr>
        <w:adjustRightInd w:val="0"/>
        <w:spacing w:after="0"/>
        <w:ind w:left="440"/>
        <w:rPr>
          <w:rFonts w:cs="Times New Roman"/>
          <w:lang w:eastAsia="ko-KR"/>
        </w:rPr>
      </w:pPr>
    </w:p>
    <w:p w14:paraId="7A83C83A" w14:textId="6CF9CE6E" w:rsidR="00B32B1F" w:rsidRDefault="00B32B1F" w:rsidP="00B32B1F">
      <w:pPr>
        <w:pStyle w:val="WCPFC"/>
        <w:numPr>
          <w:ilvl w:val="0"/>
          <w:numId w:val="0"/>
        </w:numPr>
        <w:adjustRightInd w:val="0"/>
        <w:spacing w:after="0"/>
        <w:ind w:left="720"/>
        <w:rPr>
          <w:rFonts w:cs="Times New Roman"/>
          <w:spacing w:val="-4"/>
        </w:rPr>
      </w:pPr>
      <w:r w:rsidRPr="002F6757">
        <w:rPr>
          <w:rFonts w:cs="Times New Roman"/>
          <w:spacing w:val="-4"/>
        </w:rPr>
        <w:t>The Kobe plot depicts the stock status relative to MSY-based reference points for the base case model (Figure 7-12) and shows that spawning stock biomass decreased to roughly the MSY level in the mid-2000s, and has increased slightly in recent years (Table 7-4 and Figure 7-11).Based on the results of this 2016 stock assessment update, the Pacific blue marlin stock is not currently overfished and is not experiencing overfishing. Because Pacific blue marlin is mainly caught as bycatch, direct control of the annual catch amount through the setting of a total allowable catch may be difficult.”</w:t>
      </w:r>
    </w:p>
    <w:p w14:paraId="4671522A" w14:textId="77777777" w:rsidR="002F6757" w:rsidRPr="002F6757" w:rsidRDefault="002F6757" w:rsidP="00B32B1F">
      <w:pPr>
        <w:pStyle w:val="WCPFC"/>
        <w:numPr>
          <w:ilvl w:val="0"/>
          <w:numId w:val="0"/>
        </w:numPr>
        <w:adjustRightInd w:val="0"/>
        <w:spacing w:after="0"/>
        <w:ind w:left="720"/>
        <w:rPr>
          <w:rFonts w:cs="Times New Roman"/>
          <w:spacing w:val="-4"/>
          <w:lang w:eastAsia="ko-KR"/>
        </w:rPr>
      </w:pPr>
    </w:p>
    <w:p w14:paraId="2CA55F7E" w14:textId="77777777" w:rsidR="00B32B1F" w:rsidRPr="00662464" w:rsidRDefault="00B32B1F" w:rsidP="002F6757">
      <w:pPr>
        <w:adjustRightInd w:val="0"/>
        <w:snapToGrid w:val="0"/>
        <w:spacing w:after="0" w:line="240" w:lineRule="auto"/>
        <w:ind w:left="540"/>
        <w:jc w:val="center"/>
        <w:rPr>
          <w:rFonts w:ascii="Times New Roman" w:eastAsia="Times New Roman" w:hAnsi="Times New Roman" w:cs="Times New Roman"/>
          <w:sz w:val="20"/>
          <w:szCs w:val="20"/>
        </w:rPr>
      </w:pPr>
      <w:r w:rsidRPr="00662464">
        <w:rPr>
          <w:rFonts w:ascii="Times New Roman" w:eastAsia="Times New Roman" w:hAnsi="Times New Roman" w:cs="Times New Roman"/>
          <w:noProof/>
          <w:position w:val="-154"/>
          <w:sz w:val="20"/>
          <w:szCs w:val="20"/>
          <w:lang w:eastAsia="zh-CN"/>
        </w:rPr>
        <w:drawing>
          <wp:inline distT="0" distB="0" distL="0" distR="0" wp14:anchorId="37D9E9DD" wp14:editId="546622C2">
            <wp:extent cx="3609931" cy="2992490"/>
            <wp:effectExtent l="0" t="0" r="0" b="0"/>
            <wp:docPr id="19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5.png"/>
                    <pic:cNvPicPr/>
                  </pic:nvPicPr>
                  <pic:blipFill>
                    <a:blip r:embed="rId14" cstate="print"/>
                    <a:stretch>
                      <a:fillRect/>
                    </a:stretch>
                  </pic:blipFill>
                  <pic:spPr>
                    <a:xfrm>
                      <a:off x="0" y="0"/>
                      <a:ext cx="3642910" cy="3019829"/>
                    </a:xfrm>
                    <a:prstGeom prst="rect">
                      <a:avLst/>
                    </a:prstGeom>
                  </pic:spPr>
                </pic:pic>
              </a:graphicData>
            </a:graphic>
          </wp:inline>
        </w:drawing>
      </w:r>
    </w:p>
    <w:p w14:paraId="5F4D3984" w14:textId="77777777" w:rsidR="00B32B1F" w:rsidRPr="002F6757" w:rsidRDefault="00B32B1F" w:rsidP="00B32B1F">
      <w:pPr>
        <w:adjustRightInd w:val="0"/>
        <w:snapToGrid w:val="0"/>
        <w:spacing w:after="0" w:line="240" w:lineRule="auto"/>
        <w:ind w:left="540" w:right="30"/>
        <w:jc w:val="both"/>
        <w:rPr>
          <w:rFonts w:ascii="Times New Roman" w:eastAsia="Times New Roman" w:hAnsi="Times New Roman" w:cs="Times New Roman"/>
          <w:spacing w:val="4"/>
        </w:rPr>
      </w:pPr>
      <w:r w:rsidRPr="002F6757">
        <w:rPr>
          <w:rFonts w:ascii="Times New Roman" w:eastAsia="Times New Roman" w:hAnsi="Times New Roman" w:cs="Times New Roman"/>
          <w:b/>
          <w:bCs/>
          <w:spacing w:val="4"/>
        </w:rPr>
        <w:t xml:space="preserve">Figure 7-11. </w:t>
      </w:r>
      <w:r w:rsidRPr="002F6757">
        <w:rPr>
          <w:rFonts w:ascii="Times New Roman" w:eastAsia="Times New Roman" w:hAnsi="Times New Roman" w:cs="Times New Roman"/>
          <w:bCs/>
          <w:spacing w:val="4"/>
        </w:rPr>
        <w:t>Time series of estimates of (a) population biomass (age 1+), (b) female spawning biomass, (c)</w:t>
      </w:r>
      <w:r w:rsidRPr="002F6757">
        <w:rPr>
          <w:rFonts w:ascii="Times New Roman" w:eastAsia="Times New Roman" w:hAnsi="Times New Roman" w:cs="Times New Roman"/>
          <w:bCs/>
          <w:spacing w:val="4"/>
          <w:w w:val="99"/>
        </w:rPr>
        <w:t xml:space="preserve"> </w:t>
      </w:r>
      <w:r w:rsidRPr="002F6757">
        <w:rPr>
          <w:rFonts w:ascii="Times New Roman" w:eastAsia="Times New Roman" w:hAnsi="Times New Roman" w:cs="Times New Roman"/>
          <w:bCs/>
          <w:spacing w:val="4"/>
        </w:rPr>
        <w:t xml:space="preserve">recruitment (age-0 fish), and (d) instantaneous fishing mortality (average for age </w:t>
      </w:r>
      <w:r w:rsidRPr="002F6757">
        <w:rPr>
          <w:rFonts w:ascii="Times New Roman" w:eastAsia="Times New Roman" w:hAnsi="Times New Roman" w:cs="Times New Roman"/>
          <w:bCs/>
          <w:spacing w:val="4"/>
        </w:rPr>
        <w:lastRenderedPageBreak/>
        <w:t>2+, year-1) for BUM</w:t>
      </w:r>
      <w:r w:rsidRPr="002F6757">
        <w:rPr>
          <w:rFonts w:ascii="Times New Roman" w:eastAsia="Times New Roman" w:hAnsi="Times New Roman" w:cs="Times New Roman"/>
          <w:bCs/>
          <w:spacing w:val="4"/>
          <w:w w:val="99"/>
        </w:rPr>
        <w:t xml:space="preserve"> </w:t>
      </w:r>
      <w:r w:rsidRPr="002F6757">
        <w:rPr>
          <w:rFonts w:ascii="Times New Roman" w:eastAsia="Times New Roman" w:hAnsi="Times New Roman" w:cs="Times New Roman"/>
          <w:bCs/>
          <w:spacing w:val="4"/>
        </w:rPr>
        <w:t>derived from the 2016 stock assessment update. The solid circles represents the maximum likelihood</w:t>
      </w:r>
      <w:r w:rsidRPr="002F6757">
        <w:rPr>
          <w:rFonts w:ascii="Times New Roman" w:eastAsia="Times New Roman" w:hAnsi="Times New Roman" w:cs="Times New Roman"/>
          <w:bCs/>
          <w:spacing w:val="4"/>
          <w:w w:val="99"/>
        </w:rPr>
        <w:t xml:space="preserve"> </w:t>
      </w:r>
      <w:r w:rsidRPr="002F6757">
        <w:rPr>
          <w:rFonts w:ascii="Times New Roman" w:eastAsia="Times New Roman" w:hAnsi="Times New Roman" w:cs="Times New Roman"/>
          <w:bCs/>
          <w:spacing w:val="4"/>
        </w:rPr>
        <w:t>estimates by year for each quantity and the shadowed area represents the uncertainty of the estimates (± 1</w:t>
      </w:r>
      <w:r w:rsidRPr="002F6757">
        <w:rPr>
          <w:rFonts w:ascii="Times New Roman" w:eastAsia="Times New Roman" w:hAnsi="Times New Roman" w:cs="Times New Roman"/>
          <w:bCs/>
          <w:spacing w:val="4"/>
          <w:w w:val="99"/>
        </w:rPr>
        <w:t xml:space="preserve"> </w:t>
      </w:r>
      <w:r w:rsidRPr="002F6757">
        <w:rPr>
          <w:rFonts w:ascii="Times New Roman" w:eastAsia="Times New Roman" w:hAnsi="Times New Roman" w:cs="Times New Roman"/>
          <w:bCs/>
          <w:spacing w:val="4"/>
        </w:rPr>
        <w:t>standard deviation), except for the total biomass time series. The solid horizontal lines indicate the MSY-</w:t>
      </w:r>
      <w:r w:rsidRPr="002F6757">
        <w:rPr>
          <w:rFonts w:ascii="Times New Roman" w:eastAsia="Times New Roman" w:hAnsi="Times New Roman" w:cs="Times New Roman"/>
          <w:bCs/>
          <w:spacing w:val="4"/>
          <w:w w:val="99"/>
        </w:rPr>
        <w:t xml:space="preserve"> </w:t>
      </w:r>
      <w:r w:rsidRPr="002F6757">
        <w:rPr>
          <w:rFonts w:ascii="Times New Roman" w:eastAsia="Times New Roman" w:hAnsi="Times New Roman" w:cs="Times New Roman"/>
          <w:bCs/>
          <w:spacing w:val="4"/>
        </w:rPr>
        <w:t>based reference points for spawning biomass and fishing mortality.</w:t>
      </w:r>
    </w:p>
    <w:p w14:paraId="6315D493" w14:textId="0C48DD87" w:rsidR="00B32B1F" w:rsidRDefault="00B32B1F" w:rsidP="00B32B1F">
      <w:pPr>
        <w:adjustRightInd w:val="0"/>
        <w:snapToGrid w:val="0"/>
        <w:spacing w:after="0" w:line="240" w:lineRule="auto"/>
        <w:ind w:left="440"/>
        <w:rPr>
          <w:rFonts w:ascii="Times New Roman" w:eastAsia="Times New Roman" w:hAnsi="Times New Roman" w:cs="Times New Roman"/>
          <w:sz w:val="20"/>
          <w:szCs w:val="20"/>
        </w:rPr>
      </w:pP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274"/>
      </w:tblGrid>
      <w:tr w:rsidR="002F6757" w14:paraId="4B5C3D8F" w14:textId="77777777" w:rsidTr="002F6757">
        <w:tc>
          <w:tcPr>
            <w:tcW w:w="4675" w:type="dxa"/>
          </w:tcPr>
          <w:p w14:paraId="262CE900" w14:textId="445E162A" w:rsidR="002F6757" w:rsidRDefault="002F6757" w:rsidP="00B32B1F">
            <w:pPr>
              <w:adjustRightInd w:val="0"/>
              <w:snapToGrid w:val="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8851D2D" wp14:editId="1B06E1C8">
                  <wp:extent cx="2674620" cy="252878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8538" cy="2541941"/>
                          </a:xfrm>
                          <a:prstGeom prst="rect">
                            <a:avLst/>
                          </a:prstGeom>
                          <a:noFill/>
                          <a:ln>
                            <a:noFill/>
                          </a:ln>
                        </pic:spPr>
                      </pic:pic>
                    </a:graphicData>
                  </a:graphic>
                </wp:inline>
              </w:drawing>
            </w:r>
          </w:p>
        </w:tc>
        <w:tc>
          <w:tcPr>
            <w:tcW w:w="4675" w:type="dxa"/>
          </w:tcPr>
          <w:p w14:paraId="6F691A49" w14:textId="77777777" w:rsidR="002F6757" w:rsidRDefault="002F6757" w:rsidP="002F6757">
            <w:pPr>
              <w:adjustRightInd w:val="0"/>
              <w:snapToGrid w:val="0"/>
              <w:ind w:left="39"/>
              <w:jc w:val="both"/>
              <w:rPr>
                <w:rFonts w:ascii="Times New Roman" w:hAnsi="Times New Roman" w:cs="Times New Roman"/>
                <w:b/>
              </w:rPr>
            </w:pPr>
          </w:p>
          <w:p w14:paraId="73EDD618" w14:textId="77777777" w:rsidR="002F6757" w:rsidRDefault="002F6757" w:rsidP="002F6757">
            <w:pPr>
              <w:adjustRightInd w:val="0"/>
              <w:snapToGrid w:val="0"/>
              <w:ind w:left="39"/>
              <w:jc w:val="both"/>
              <w:rPr>
                <w:rFonts w:ascii="Times New Roman" w:hAnsi="Times New Roman" w:cs="Times New Roman"/>
                <w:b/>
              </w:rPr>
            </w:pPr>
          </w:p>
          <w:p w14:paraId="2D740E34" w14:textId="77777777" w:rsidR="002F6757" w:rsidRDefault="002F6757" w:rsidP="002F6757">
            <w:pPr>
              <w:adjustRightInd w:val="0"/>
              <w:snapToGrid w:val="0"/>
              <w:ind w:left="39"/>
              <w:jc w:val="both"/>
              <w:rPr>
                <w:rFonts w:ascii="Times New Roman" w:hAnsi="Times New Roman" w:cs="Times New Roman"/>
                <w:b/>
              </w:rPr>
            </w:pPr>
          </w:p>
          <w:p w14:paraId="51D190FA" w14:textId="77777777" w:rsidR="002F6757" w:rsidRDefault="002F6757" w:rsidP="002F6757">
            <w:pPr>
              <w:adjustRightInd w:val="0"/>
              <w:snapToGrid w:val="0"/>
              <w:ind w:left="39"/>
              <w:jc w:val="both"/>
              <w:rPr>
                <w:rFonts w:ascii="Times New Roman" w:hAnsi="Times New Roman" w:cs="Times New Roman"/>
                <w:b/>
              </w:rPr>
            </w:pPr>
          </w:p>
          <w:p w14:paraId="59CB1DB2" w14:textId="77777777" w:rsidR="002F6757" w:rsidRDefault="002F6757" w:rsidP="002F6757">
            <w:pPr>
              <w:adjustRightInd w:val="0"/>
              <w:snapToGrid w:val="0"/>
              <w:ind w:left="39"/>
              <w:jc w:val="both"/>
              <w:rPr>
                <w:rFonts w:ascii="Times New Roman" w:hAnsi="Times New Roman" w:cs="Times New Roman"/>
                <w:b/>
              </w:rPr>
            </w:pPr>
          </w:p>
          <w:p w14:paraId="1073565C" w14:textId="6FB3A4ED" w:rsidR="002F6757" w:rsidRPr="00662464" w:rsidRDefault="002F6757" w:rsidP="002F6757">
            <w:pPr>
              <w:adjustRightInd w:val="0"/>
              <w:snapToGrid w:val="0"/>
              <w:ind w:left="39"/>
              <w:jc w:val="both"/>
              <w:rPr>
                <w:rFonts w:ascii="Times New Roman" w:eastAsia="Times New Roman" w:hAnsi="Times New Roman" w:cs="Times New Roman"/>
              </w:rPr>
            </w:pPr>
            <w:r w:rsidRPr="00662464">
              <w:rPr>
                <w:rFonts w:ascii="Times New Roman" w:hAnsi="Times New Roman" w:cs="Times New Roman"/>
                <w:b/>
              </w:rPr>
              <w:t>Figure</w:t>
            </w:r>
            <w:r w:rsidRPr="00662464">
              <w:rPr>
                <w:rFonts w:ascii="Times New Roman" w:hAnsi="Times New Roman" w:cs="Times New Roman"/>
                <w:b/>
                <w:spacing w:val="-2"/>
              </w:rPr>
              <w:t xml:space="preserve"> </w:t>
            </w:r>
            <w:r w:rsidRPr="00662464">
              <w:rPr>
                <w:rFonts w:ascii="Times New Roman" w:hAnsi="Times New Roman" w:cs="Times New Roman"/>
                <w:b/>
              </w:rPr>
              <w:t>7-12.</w:t>
            </w:r>
            <w:r w:rsidRPr="00662464">
              <w:rPr>
                <w:rFonts w:ascii="Times New Roman" w:hAnsi="Times New Roman" w:cs="Times New Roman"/>
                <w:spacing w:val="-2"/>
              </w:rPr>
              <w:t xml:space="preserve"> </w:t>
            </w:r>
            <w:r w:rsidRPr="00662464">
              <w:rPr>
                <w:rFonts w:ascii="Times New Roman" w:hAnsi="Times New Roman" w:cs="Times New Roman"/>
              </w:rPr>
              <w:t>Kobe</w:t>
            </w:r>
            <w:r w:rsidRPr="00662464">
              <w:rPr>
                <w:rFonts w:ascii="Times New Roman" w:hAnsi="Times New Roman" w:cs="Times New Roman"/>
                <w:spacing w:val="-3"/>
              </w:rPr>
              <w:t xml:space="preserve"> </w:t>
            </w:r>
            <w:r w:rsidRPr="00662464">
              <w:rPr>
                <w:rFonts w:ascii="Times New Roman" w:hAnsi="Times New Roman" w:cs="Times New Roman"/>
              </w:rPr>
              <w:t>plot</w:t>
            </w:r>
            <w:r w:rsidRPr="00662464">
              <w:rPr>
                <w:rFonts w:ascii="Times New Roman" w:hAnsi="Times New Roman" w:cs="Times New Roman"/>
                <w:spacing w:val="-5"/>
              </w:rPr>
              <w:t xml:space="preserve"> </w:t>
            </w:r>
            <w:r w:rsidRPr="00662464">
              <w:rPr>
                <w:rFonts w:ascii="Times New Roman" w:hAnsi="Times New Roman" w:cs="Times New Roman"/>
              </w:rPr>
              <w:t>of</w:t>
            </w:r>
            <w:r w:rsidRPr="00662464">
              <w:rPr>
                <w:rFonts w:ascii="Times New Roman" w:hAnsi="Times New Roman" w:cs="Times New Roman"/>
                <w:spacing w:val="-3"/>
              </w:rPr>
              <w:t xml:space="preserve"> </w:t>
            </w:r>
            <w:r w:rsidRPr="00662464">
              <w:rPr>
                <w:rFonts w:ascii="Times New Roman" w:hAnsi="Times New Roman" w:cs="Times New Roman"/>
              </w:rPr>
              <w:t>the</w:t>
            </w:r>
            <w:r w:rsidRPr="00662464">
              <w:rPr>
                <w:rFonts w:ascii="Times New Roman" w:hAnsi="Times New Roman" w:cs="Times New Roman"/>
                <w:spacing w:val="-5"/>
              </w:rPr>
              <w:t xml:space="preserve"> </w:t>
            </w:r>
            <w:r w:rsidRPr="00662464">
              <w:rPr>
                <w:rFonts w:ascii="Times New Roman" w:hAnsi="Times New Roman" w:cs="Times New Roman"/>
              </w:rPr>
              <w:t>time</w:t>
            </w:r>
            <w:r w:rsidRPr="00662464">
              <w:rPr>
                <w:rFonts w:ascii="Times New Roman" w:hAnsi="Times New Roman" w:cs="Times New Roman"/>
                <w:spacing w:val="-3"/>
              </w:rPr>
              <w:t xml:space="preserve"> </w:t>
            </w:r>
            <w:r w:rsidRPr="00662464">
              <w:rPr>
                <w:rFonts w:ascii="Times New Roman" w:hAnsi="Times New Roman" w:cs="Times New Roman"/>
              </w:rPr>
              <w:t>series</w:t>
            </w:r>
            <w:r w:rsidRPr="00662464">
              <w:rPr>
                <w:rFonts w:ascii="Times New Roman" w:hAnsi="Times New Roman" w:cs="Times New Roman"/>
                <w:spacing w:val="-4"/>
              </w:rPr>
              <w:t xml:space="preserve"> </w:t>
            </w:r>
            <w:r w:rsidRPr="00662464">
              <w:rPr>
                <w:rFonts w:ascii="Times New Roman" w:hAnsi="Times New Roman" w:cs="Times New Roman"/>
              </w:rPr>
              <w:t>of</w:t>
            </w:r>
            <w:r w:rsidRPr="00662464">
              <w:rPr>
                <w:rFonts w:ascii="Times New Roman" w:hAnsi="Times New Roman" w:cs="Times New Roman"/>
                <w:spacing w:val="-3"/>
              </w:rPr>
              <w:t xml:space="preserve"> </w:t>
            </w:r>
            <w:r w:rsidRPr="00662464">
              <w:rPr>
                <w:rFonts w:ascii="Times New Roman" w:hAnsi="Times New Roman" w:cs="Times New Roman"/>
              </w:rPr>
              <w:t>estimates</w:t>
            </w:r>
            <w:r w:rsidRPr="00662464">
              <w:rPr>
                <w:rFonts w:ascii="Times New Roman" w:hAnsi="Times New Roman" w:cs="Times New Roman"/>
                <w:spacing w:val="-4"/>
              </w:rPr>
              <w:t xml:space="preserve"> </w:t>
            </w:r>
            <w:r w:rsidRPr="00662464">
              <w:rPr>
                <w:rFonts w:ascii="Times New Roman" w:hAnsi="Times New Roman" w:cs="Times New Roman"/>
              </w:rPr>
              <w:t>of</w:t>
            </w:r>
            <w:r w:rsidRPr="00662464">
              <w:rPr>
                <w:rFonts w:ascii="Times New Roman" w:hAnsi="Times New Roman" w:cs="Times New Roman"/>
                <w:spacing w:val="-3"/>
              </w:rPr>
              <w:t xml:space="preserve"> </w:t>
            </w:r>
            <w:r w:rsidRPr="00662464">
              <w:rPr>
                <w:rFonts w:ascii="Times New Roman" w:hAnsi="Times New Roman" w:cs="Times New Roman"/>
              </w:rPr>
              <w:t>relative</w:t>
            </w:r>
            <w:r w:rsidRPr="00662464">
              <w:rPr>
                <w:rFonts w:ascii="Times New Roman" w:hAnsi="Times New Roman" w:cs="Times New Roman"/>
                <w:spacing w:val="-3"/>
              </w:rPr>
              <w:t xml:space="preserve"> </w:t>
            </w:r>
            <w:r w:rsidRPr="00662464">
              <w:rPr>
                <w:rFonts w:ascii="Times New Roman" w:hAnsi="Times New Roman" w:cs="Times New Roman"/>
              </w:rPr>
              <w:t>fishing mortality</w:t>
            </w:r>
            <w:r w:rsidRPr="00662464">
              <w:rPr>
                <w:rFonts w:ascii="Times New Roman" w:hAnsi="Times New Roman" w:cs="Times New Roman"/>
                <w:spacing w:val="-2"/>
              </w:rPr>
              <w:t xml:space="preserve"> </w:t>
            </w:r>
            <w:r w:rsidRPr="00662464">
              <w:rPr>
                <w:rFonts w:ascii="Times New Roman" w:hAnsi="Times New Roman" w:cs="Times New Roman"/>
              </w:rPr>
              <w:t>(average</w:t>
            </w:r>
            <w:r w:rsidRPr="00662464">
              <w:rPr>
                <w:rFonts w:ascii="Times New Roman" w:hAnsi="Times New Roman" w:cs="Times New Roman"/>
                <w:spacing w:val="-3"/>
              </w:rPr>
              <w:t xml:space="preserve"> </w:t>
            </w:r>
            <w:r w:rsidRPr="00662464">
              <w:rPr>
                <w:rFonts w:ascii="Times New Roman" w:hAnsi="Times New Roman" w:cs="Times New Roman"/>
              </w:rPr>
              <w:t>of</w:t>
            </w:r>
            <w:r w:rsidRPr="00662464">
              <w:rPr>
                <w:rFonts w:ascii="Times New Roman" w:hAnsi="Times New Roman" w:cs="Times New Roman"/>
                <w:spacing w:val="-5"/>
              </w:rPr>
              <w:t xml:space="preserve"> </w:t>
            </w:r>
            <w:r w:rsidRPr="00662464">
              <w:rPr>
                <w:rFonts w:ascii="Times New Roman" w:hAnsi="Times New Roman" w:cs="Times New Roman"/>
              </w:rPr>
              <w:t>age</w:t>
            </w:r>
            <w:r w:rsidRPr="00662464">
              <w:rPr>
                <w:rFonts w:ascii="Times New Roman" w:hAnsi="Times New Roman" w:cs="Times New Roman"/>
                <w:spacing w:val="-5"/>
              </w:rPr>
              <w:t xml:space="preserve"> </w:t>
            </w:r>
            <w:r w:rsidRPr="00662464">
              <w:rPr>
                <w:rFonts w:ascii="Times New Roman" w:hAnsi="Times New Roman" w:cs="Times New Roman"/>
              </w:rPr>
              <w:t>2+)</w:t>
            </w:r>
            <w:r w:rsidRPr="00662464">
              <w:rPr>
                <w:rFonts w:ascii="Times New Roman" w:hAnsi="Times New Roman" w:cs="Times New Roman"/>
                <w:spacing w:val="-3"/>
              </w:rPr>
              <w:t xml:space="preserve"> </w:t>
            </w:r>
            <w:r w:rsidRPr="00662464">
              <w:rPr>
                <w:rFonts w:ascii="Times New Roman" w:hAnsi="Times New Roman" w:cs="Times New Roman"/>
              </w:rPr>
              <w:t>and</w:t>
            </w:r>
            <w:r w:rsidRPr="00662464">
              <w:rPr>
                <w:rFonts w:ascii="Times New Roman" w:hAnsi="Times New Roman" w:cs="Times New Roman"/>
                <w:spacing w:val="-1"/>
                <w:w w:val="99"/>
              </w:rPr>
              <w:t xml:space="preserve"> </w:t>
            </w:r>
            <w:r w:rsidRPr="00662464">
              <w:rPr>
                <w:rFonts w:ascii="Times New Roman" w:hAnsi="Times New Roman" w:cs="Times New Roman"/>
              </w:rPr>
              <w:t>relative</w:t>
            </w:r>
            <w:r w:rsidRPr="00662464">
              <w:rPr>
                <w:rFonts w:ascii="Times New Roman" w:hAnsi="Times New Roman" w:cs="Times New Roman"/>
                <w:spacing w:val="-4"/>
              </w:rPr>
              <w:t xml:space="preserve"> </w:t>
            </w:r>
            <w:r w:rsidRPr="00662464">
              <w:rPr>
                <w:rFonts w:ascii="Times New Roman" w:hAnsi="Times New Roman" w:cs="Times New Roman"/>
              </w:rPr>
              <w:t>spawning</w:t>
            </w:r>
            <w:r w:rsidRPr="00662464">
              <w:rPr>
                <w:rFonts w:ascii="Times New Roman" w:hAnsi="Times New Roman" w:cs="Times New Roman"/>
                <w:spacing w:val="-3"/>
              </w:rPr>
              <w:t xml:space="preserve"> </w:t>
            </w:r>
            <w:r w:rsidRPr="00662464">
              <w:rPr>
                <w:rFonts w:ascii="Times New Roman" w:hAnsi="Times New Roman" w:cs="Times New Roman"/>
              </w:rPr>
              <w:t>stock</w:t>
            </w:r>
            <w:r w:rsidRPr="00662464">
              <w:rPr>
                <w:rFonts w:ascii="Times New Roman" w:hAnsi="Times New Roman" w:cs="Times New Roman"/>
                <w:spacing w:val="-7"/>
              </w:rPr>
              <w:t xml:space="preserve"> </w:t>
            </w:r>
            <w:r w:rsidRPr="00662464">
              <w:rPr>
                <w:rFonts w:ascii="Times New Roman" w:hAnsi="Times New Roman" w:cs="Times New Roman"/>
              </w:rPr>
              <w:t>biomass</w:t>
            </w:r>
            <w:r w:rsidRPr="00662464">
              <w:rPr>
                <w:rFonts w:ascii="Times New Roman" w:hAnsi="Times New Roman" w:cs="Times New Roman"/>
                <w:spacing w:val="-5"/>
              </w:rPr>
              <w:t xml:space="preserve"> </w:t>
            </w:r>
            <w:r w:rsidRPr="00662464">
              <w:rPr>
                <w:rFonts w:ascii="Times New Roman" w:hAnsi="Times New Roman" w:cs="Times New Roman"/>
              </w:rPr>
              <w:t>of BUM during</w:t>
            </w:r>
            <w:r w:rsidRPr="00662464">
              <w:rPr>
                <w:rFonts w:ascii="Times New Roman" w:hAnsi="Times New Roman" w:cs="Times New Roman"/>
                <w:spacing w:val="-4"/>
              </w:rPr>
              <w:t xml:space="preserve"> </w:t>
            </w:r>
            <w:r w:rsidRPr="00662464">
              <w:rPr>
                <w:rFonts w:ascii="Times New Roman" w:hAnsi="Times New Roman" w:cs="Times New Roman"/>
              </w:rPr>
              <w:t>1971-2014.</w:t>
            </w:r>
            <w:r w:rsidRPr="00662464">
              <w:rPr>
                <w:rFonts w:ascii="Times New Roman" w:hAnsi="Times New Roman" w:cs="Times New Roman"/>
                <w:spacing w:val="-4"/>
              </w:rPr>
              <w:t xml:space="preserve"> </w:t>
            </w:r>
            <w:r w:rsidRPr="00662464">
              <w:rPr>
                <w:rFonts w:ascii="Times New Roman" w:hAnsi="Times New Roman" w:cs="Times New Roman"/>
              </w:rPr>
              <w:t>The</w:t>
            </w:r>
            <w:r w:rsidRPr="00662464">
              <w:rPr>
                <w:rFonts w:ascii="Times New Roman" w:hAnsi="Times New Roman" w:cs="Times New Roman"/>
                <w:spacing w:val="-4"/>
              </w:rPr>
              <w:t xml:space="preserve"> </w:t>
            </w:r>
            <w:r w:rsidRPr="00662464">
              <w:rPr>
                <w:rFonts w:ascii="Times New Roman" w:hAnsi="Times New Roman" w:cs="Times New Roman"/>
              </w:rPr>
              <w:t>dashed</w:t>
            </w:r>
            <w:r w:rsidRPr="00662464">
              <w:rPr>
                <w:rFonts w:ascii="Times New Roman" w:hAnsi="Times New Roman" w:cs="Times New Roman"/>
                <w:spacing w:val="-5"/>
              </w:rPr>
              <w:t xml:space="preserve"> </w:t>
            </w:r>
            <w:r w:rsidRPr="00662464">
              <w:rPr>
                <w:rFonts w:ascii="Times New Roman" w:hAnsi="Times New Roman" w:cs="Times New Roman"/>
              </w:rPr>
              <w:t>lines</w:t>
            </w:r>
            <w:r w:rsidRPr="00662464">
              <w:rPr>
                <w:rFonts w:ascii="Times New Roman" w:hAnsi="Times New Roman" w:cs="Times New Roman"/>
                <w:spacing w:val="-3"/>
              </w:rPr>
              <w:t xml:space="preserve"> </w:t>
            </w:r>
            <w:r w:rsidRPr="00662464">
              <w:rPr>
                <w:rFonts w:ascii="Times New Roman" w:hAnsi="Times New Roman" w:cs="Times New Roman"/>
              </w:rPr>
              <w:t>denote</w:t>
            </w:r>
            <w:r w:rsidRPr="00662464">
              <w:rPr>
                <w:rFonts w:ascii="Times New Roman" w:hAnsi="Times New Roman" w:cs="Times New Roman"/>
                <w:spacing w:val="-4"/>
              </w:rPr>
              <w:t xml:space="preserve"> </w:t>
            </w:r>
            <w:r w:rsidRPr="00662464">
              <w:rPr>
                <w:rFonts w:ascii="Times New Roman" w:hAnsi="Times New Roman" w:cs="Times New Roman"/>
              </w:rPr>
              <w:t>the</w:t>
            </w:r>
            <w:r w:rsidRPr="00662464">
              <w:rPr>
                <w:rFonts w:ascii="Times New Roman" w:hAnsi="Times New Roman" w:cs="Times New Roman"/>
                <w:spacing w:val="-4"/>
              </w:rPr>
              <w:t xml:space="preserve"> </w:t>
            </w:r>
            <w:r w:rsidRPr="00662464">
              <w:rPr>
                <w:rFonts w:ascii="Times New Roman" w:hAnsi="Times New Roman" w:cs="Times New Roman"/>
              </w:rPr>
              <w:t>95%</w:t>
            </w:r>
            <w:r w:rsidRPr="00662464">
              <w:rPr>
                <w:rFonts w:ascii="Times New Roman" w:hAnsi="Times New Roman" w:cs="Times New Roman"/>
                <w:spacing w:val="-4"/>
              </w:rPr>
              <w:t xml:space="preserve"> </w:t>
            </w:r>
            <w:r w:rsidRPr="00662464">
              <w:rPr>
                <w:rFonts w:ascii="Times New Roman" w:hAnsi="Times New Roman" w:cs="Times New Roman"/>
              </w:rPr>
              <w:t>confidence</w:t>
            </w:r>
            <w:r w:rsidRPr="00662464">
              <w:rPr>
                <w:rFonts w:ascii="Times New Roman" w:hAnsi="Times New Roman" w:cs="Times New Roman"/>
                <w:spacing w:val="-1"/>
                <w:w w:val="99"/>
              </w:rPr>
              <w:t xml:space="preserve"> </w:t>
            </w:r>
            <w:r w:rsidRPr="00662464">
              <w:rPr>
                <w:rFonts w:ascii="Times New Roman" w:hAnsi="Times New Roman" w:cs="Times New Roman"/>
              </w:rPr>
              <w:t>intervals for the estimates in the year</w:t>
            </w:r>
            <w:r w:rsidRPr="00662464">
              <w:rPr>
                <w:rFonts w:ascii="Times New Roman" w:hAnsi="Times New Roman" w:cs="Times New Roman"/>
                <w:spacing w:val="-16"/>
              </w:rPr>
              <w:t xml:space="preserve"> </w:t>
            </w:r>
            <w:r w:rsidRPr="00662464">
              <w:rPr>
                <w:rFonts w:ascii="Times New Roman" w:hAnsi="Times New Roman" w:cs="Times New Roman"/>
              </w:rPr>
              <w:t>2014.</w:t>
            </w:r>
          </w:p>
          <w:p w14:paraId="23F36451" w14:textId="77777777" w:rsidR="002F6757" w:rsidRDefault="002F6757" w:rsidP="00B32B1F">
            <w:pPr>
              <w:adjustRightInd w:val="0"/>
              <w:snapToGrid w:val="0"/>
              <w:rPr>
                <w:rFonts w:ascii="Times New Roman" w:eastAsia="Times New Roman" w:hAnsi="Times New Roman" w:cs="Times New Roman"/>
                <w:sz w:val="20"/>
                <w:szCs w:val="20"/>
              </w:rPr>
            </w:pPr>
          </w:p>
        </w:tc>
      </w:tr>
    </w:tbl>
    <w:p w14:paraId="62672AC7" w14:textId="2AE110FA" w:rsidR="002F6757" w:rsidRPr="00183926" w:rsidRDefault="002F6757" w:rsidP="00B32B1F">
      <w:pPr>
        <w:adjustRightInd w:val="0"/>
        <w:snapToGrid w:val="0"/>
        <w:spacing w:after="0" w:line="240" w:lineRule="auto"/>
        <w:ind w:left="440"/>
        <w:rPr>
          <w:rFonts w:ascii="Times New Roman" w:eastAsia="Times New Roman" w:hAnsi="Times New Roman" w:cs="Times New Roman"/>
          <w:sz w:val="20"/>
          <w:szCs w:val="20"/>
        </w:rPr>
      </w:pPr>
    </w:p>
    <w:p w14:paraId="595BA9E9" w14:textId="77777777" w:rsidR="00B32B1F" w:rsidRPr="00183926" w:rsidRDefault="00B32B1F" w:rsidP="002F6757">
      <w:pPr>
        <w:pStyle w:val="Heading7"/>
        <w:numPr>
          <w:ilvl w:val="0"/>
          <w:numId w:val="25"/>
        </w:numPr>
        <w:adjustRightInd w:val="0"/>
        <w:snapToGrid w:val="0"/>
        <w:spacing w:before="0" w:line="240" w:lineRule="auto"/>
        <w:ind w:left="0" w:firstLine="0"/>
        <w:rPr>
          <w:rFonts w:ascii="Times New Roman" w:hAnsi="Times New Roman" w:cs="Times New Roman"/>
          <w:b/>
          <w:bCs/>
          <w:i w:val="0"/>
          <w:iCs w:val="0"/>
          <w:color w:val="auto"/>
          <w:lang w:eastAsia="ko-KR"/>
        </w:rPr>
      </w:pPr>
      <w:r w:rsidRPr="00183926">
        <w:rPr>
          <w:rFonts w:ascii="Times New Roman" w:hAnsi="Times New Roman" w:cs="Times New Roman"/>
          <w:b/>
          <w:bCs/>
          <w:i w:val="0"/>
          <w:iCs w:val="0"/>
          <w:color w:val="auto"/>
          <w:spacing w:val="-4"/>
          <w:lang w:eastAsia="ko-KR"/>
        </w:rPr>
        <w:t>Management</w:t>
      </w:r>
      <w:r w:rsidRPr="00183926">
        <w:rPr>
          <w:rFonts w:ascii="Times New Roman" w:hAnsi="Times New Roman" w:cs="Times New Roman"/>
          <w:b/>
          <w:bCs/>
          <w:i w:val="0"/>
          <w:iCs w:val="0"/>
          <w:color w:val="auto"/>
        </w:rPr>
        <w:t xml:space="preserve"> advice and implications</w:t>
      </w:r>
    </w:p>
    <w:p w14:paraId="2C92474E" w14:textId="77777777" w:rsidR="00B32B1F" w:rsidRPr="00183926" w:rsidRDefault="00B32B1F" w:rsidP="00B32B1F">
      <w:pPr>
        <w:adjustRightInd w:val="0"/>
        <w:snapToGrid w:val="0"/>
        <w:spacing w:after="0" w:line="240" w:lineRule="auto"/>
        <w:rPr>
          <w:rFonts w:ascii="Times New Roman" w:hAnsi="Times New Roman" w:cs="Times New Roman"/>
          <w:lang w:val="en-NZ" w:eastAsia="ko-KR"/>
        </w:rPr>
      </w:pPr>
    </w:p>
    <w:p w14:paraId="02C65840" w14:textId="77777777" w:rsidR="00B32B1F" w:rsidRPr="002F6757" w:rsidRDefault="00B32B1F" w:rsidP="00B32B1F">
      <w:pPr>
        <w:pStyle w:val="WCPFC"/>
        <w:adjustRightInd w:val="0"/>
        <w:spacing w:after="0"/>
        <w:rPr>
          <w:rFonts w:cs="Times New Roman"/>
          <w:bCs/>
        </w:rPr>
      </w:pPr>
      <w:r w:rsidRPr="002F6757">
        <w:rPr>
          <w:rFonts w:cs="Times New Roman"/>
          <w:bCs/>
        </w:rPr>
        <w:t xml:space="preserve">SC12 noted the conservation advice for Pacific blue marlin provided by ISC in </w:t>
      </w:r>
      <w:r w:rsidRPr="002F6757">
        <w:rPr>
          <w:rFonts w:cs="Times New Roman"/>
          <w:bCs/>
          <w:lang w:eastAsia="ko-KR"/>
        </w:rPr>
        <w:t>SC12-</w:t>
      </w:r>
      <w:r w:rsidRPr="002F6757">
        <w:rPr>
          <w:rFonts w:cs="Times New Roman"/>
          <w:bCs/>
        </w:rPr>
        <w:t xml:space="preserve">GN-IP-02 and </w:t>
      </w:r>
      <w:r w:rsidRPr="002F6757">
        <w:rPr>
          <w:rFonts w:cs="Times New Roman"/>
          <w:bCs/>
          <w:lang w:eastAsia="ko-KR"/>
        </w:rPr>
        <w:t>SC12-</w:t>
      </w:r>
      <w:r w:rsidRPr="002F6757">
        <w:rPr>
          <w:rFonts w:cs="Times New Roman"/>
          <w:bCs/>
        </w:rPr>
        <w:t>SA-WP-12:</w:t>
      </w:r>
    </w:p>
    <w:p w14:paraId="0E344BB8" w14:textId="77777777" w:rsidR="00B32B1F" w:rsidRPr="00662464" w:rsidRDefault="00B32B1F" w:rsidP="00B32B1F">
      <w:pPr>
        <w:pStyle w:val="WCPFC"/>
        <w:numPr>
          <w:ilvl w:val="0"/>
          <w:numId w:val="0"/>
        </w:numPr>
        <w:adjustRightInd w:val="0"/>
        <w:spacing w:after="0"/>
        <w:ind w:left="720"/>
        <w:rPr>
          <w:rFonts w:cs="Times New Roman"/>
          <w:lang w:eastAsia="ko-KR"/>
        </w:rPr>
      </w:pPr>
    </w:p>
    <w:p w14:paraId="07499BBB" w14:textId="77777777" w:rsidR="00B32B1F" w:rsidRPr="00662464" w:rsidRDefault="00B32B1F" w:rsidP="00B32B1F">
      <w:pPr>
        <w:pStyle w:val="WCPFC"/>
        <w:numPr>
          <w:ilvl w:val="0"/>
          <w:numId w:val="0"/>
        </w:numPr>
        <w:adjustRightInd w:val="0"/>
        <w:spacing w:after="0"/>
        <w:ind w:left="720"/>
        <w:rPr>
          <w:rFonts w:cs="Times New Roman"/>
          <w:lang w:eastAsia="ko-KR"/>
        </w:rPr>
      </w:pPr>
      <w:r w:rsidRPr="00662464">
        <w:rPr>
          <w:rFonts w:cs="Times New Roman"/>
        </w:rPr>
        <w:t>Since the stock is nearly full exploited, the ISC recommends that fishing mortality remain at or below current levels (2012-2014).</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3814"/>
      </w:tblGrid>
      <w:tr w:rsidR="002F6757" w14:paraId="32321D60" w14:textId="77777777" w:rsidTr="00183926">
        <w:tc>
          <w:tcPr>
            <w:tcW w:w="5106" w:type="dxa"/>
          </w:tcPr>
          <w:p w14:paraId="16EF1C99" w14:textId="5A81314E" w:rsidR="002F6757" w:rsidRDefault="002F6757" w:rsidP="00B32B1F">
            <w:pPr>
              <w:adjustRightInd w:val="0"/>
              <w:snapToGrid w:val="0"/>
              <w:ind w:right="30"/>
              <w:jc w:val="both"/>
              <w:rPr>
                <w:rFonts w:ascii="Times New Roman" w:hAnsi="Times New Roman" w:cs="Times New Roman"/>
                <w:sz w:val="20"/>
                <w:szCs w:val="20"/>
                <w:lang w:val="en-NZ" w:eastAsia="ko-KR"/>
              </w:rPr>
            </w:pPr>
            <w:r>
              <w:rPr>
                <w:rFonts w:ascii="Times New Roman" w:eastAsia="Times New Roman" w:hAnsi="Times New Roman" w:cs="Times New Roman"/>
                <w:noProof/>
                <w:sz w:val="20"/>
                <w:szCs w:val="20"/>
              </w:rPr>
              <w:drawing>
                <wp:inline distT="0" distB="0" distL="0" distR="0" wp14:anchorId="294D6DF4" wp14:editId="67AE5A4B">
                  <wp:extent cx="2811780" cy="2760657"/>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6461" cy="2765253"/>
                          </a:xfrm>
                          <a:prstGeom prst="rect">
                            <a:avLst/>
                          </a:prstGeom>
                          <a:noFill/>
                          <a:ln>
                            <a:noFill/>
                          </a:ln>
                        </pic:spPr>
                      </pic:pic>
                    </a:graphicData>
                  </a:graphic>
                </wp:inline>
              </w:drawing>
            </w:r>
          </w:p>
        </w:tc>
        <w:tc>
          <w:tcPr>
            <w:tcW w:w="3814" w:type="dxa"/>
          </w:tcPr>
          <w:p w14:paraId="1F63FFD4" w14:textId="77777777" w:rsidR="002F6757" w:rsidRDefault="002F6757" w:rsidP="002F6757">
            <w:pPr>
              <w:adjustRightInd w:val="0"/>
              <w:snapToGrid w:val="0"/>
              <w:ind w:left="-77"/>
              <w:jc w:val="both"/>
              <w:rPr>
                <w:rFonts w:ascii="Times New Roman" w:hAnsi="Times New Roman" w:cs="Times New Roman"/>
                <w:b/>
              </w:rPr>
            </w:pPr>
          </w:p>
          <w:p w14:paraId="50C04135" w14:textId="77777777" w:rsidR="002F6757" w:rsidRDefault="002F6757" w:rsidP="002F6757">
            <w:pPr>
              <w:adjustRightInd w:val="0"/>
              <w:snapToGrid w:val="0"/>
              <w:ind w:left="-77"/>
              <w:jc w:val="both"/>
              <w:rPr>
                <w:rFonts w:ascii="Times New Roman" w:hAnsi="Times New Roman" w:cs="Times New Roman"/>
                <w:b/>
              </w:rPr>
            </w:pPr>
          </w:p>
          <w:p w14:paraId="5FE0B92C" w14:textId="77777777" w:rsidR="002F6757" w:rsidRDefault="002F6757" w:rsidP="002F6757">
            <w:pPr>
              <w:adjustRightInd w:val="0"/>
              <w:snapToGrid w:val="0"/>
              <w:ind w:left="-77"/>
              <w:jc w:val="both"/>
              <w:rPr>
                <w:rFonts w:ascii="Times New Roman" w:hAnsi="Times New Roman" w:cs="Times New Roman"/>
                <w:b/>
              </w:rPr>
            </w:pPr>
          </w:p>
          <w:p w14:paraId="0B47FB7C" w14:textId="77777777" w:rsidR="002F6757" w:rsidRDefault="002F6757" w:rsidP="002F6757">
            <w:pPr>
              <w:adjustRightInd w:val="0"/>
              <w:snapToGrid w:val="0"/>
              <w:ind w:left="-77"/>
              <w:jc w:val="both"/>
              <w:rPr>
                <w:rFonts w:ascii="Times New Roman" w:hAnsi="Times New Roman" w:cs="Times New Roman"/>
                <w:b/>
              </w:rPr>
            </w:pPr>
          </w:p>
          <w:p w14:paraId="5CD93A2E" w14:textId="77777777" w:rsidR="002F6757" w:rsidRDefault="002F6757" w:rsidP="002F6757">
            <w:pPr>
              <w:adjustRightInd w:val="0"/>
              <w:snapToGrid w:val="0"/>
              <w:ind w:left="-77"/>
              <w:jc w:val="both"/>
              <w:rPr>
                <w:rFonts w:ascii="Times New Roman" w:hAnsi="Times New Roman" w:cs="Times New Roman"/>
                <w:b/>
              </w:rPr>
            </w:pPr>
          </w:p>
          <w:p w14:paraId="23342614" w14:textId="63876922" w:rsidR="002F6757" w:rsidRPr="00266E25" w:rsidRDefault="002F6757" w:rsidP="002F6757">
            <w:pPr>
              <w:adjustRightInd w:val="0"/>
              <w:snapToGrid w:val="0"/>
              <w:ind w:left="-77"/>
              <w:jc w:val="both"/>
              <w:rPr>
                <w:rFonts w:ascii="Times New Roman" w:eastAsia="Times New Roman" w:hAnsi="Times New Roman" w:cs="Times New Roman"/>
              </w:rPr>
            </w:pPr>
            <w:r w:rsidRPr="00266E25">
              <w:rPr>
                <w:rFonts w:ascii="Times New Roman" w:hAnsi="Times New Roman" w:cs="Times New Roman"/>
                <w:b/>
              </w:rPr>
              <w:t>Figure</w:t>
            </w:r>
            <w:r w:rsidRPr="00266E25">
              <w:rPr>
                <w:rFonts w:ascii="Times New Roman" w:hAnsi="Times New Roman" w:cs="Times New Roman"/>
                <w:b/>
                <w:spacing w:val="-2"/>
              </w:rPr>
              <w:t xml:space="preserve"> </w:t>
            </w:r>
            <w:r w:rsidRPr="00266E25">
              <w:rPr>
                <w:rFonts w:ascii="Times New Roman" w:hAnsi="Times New Roman" w:cs="Times New Roman"/>
                <w:b/>
              </w:rPr>
              <w:t>7-12.</w:t>
            </w:r>
            <w:r w:rsidRPr="00266E25">
              <w:rPr>
                <w:rFonts w:ascii="Times New Roman" w:hAnsi="Times New Roman" w:cs="Times New Roman"/>
                <w:spacing w:val="-2"/>
              </w:rPr>
              <w:t xml:space="preserve"> </w:t>
            </w:r>
            <w:r w:rsidRPr="00266E25">
              <w:rPr>
                <w:rFonts w:ascii="Times New Roman" w:hAnsi="Times New Roman" w:cs="Times New Roman"/>
              </w:rPr>
              <w:t>Kobe</w:t>
            </w:r>
            <w:r w:rsidRPr="00266E25">
              <w:rPr>
                <w:rFonts w:ascii="Times New Roman" w:hAnsi="Times New Roman" w:cs="Times New Roman"/>
                <w:spacing w:val="-3"/>
              </w:rPr>
              <w:t xml:space="preserve"> </w:t>
            </w:r>
            <w:r w:rsidRPr="00266E25">
              <w:rPr>
                <w:rFonts w:ascii="Times New Roman" w:hAnsi="Times New Roman" w:cs="Times New Roman"/>
              </w:rPr>
              <w:t>plot</w:t>
            </w:r>
            <w:r w:rsidRPr="00266E25">
              <w:rPr>
                <w:rFonts w:ascii="Times New Roman" w:hAnsi="Times New Roman" w:cs="Times New Roman"/>
                <w:spacing w:val="-5"/>
              </w:rPr>
              <w:t xml:space="preserve"> </w:t>
            </w:r>
            <w:r w:rsidRPr="00266E25">
              <w:rPr>
                <w:rFonts w:ascii="Times New Roman" w:hAnsi="Times New Roman" w:cs="Times New Roman"/>
              </w:rPr>
              <w:t>of</w:t>
            </w:r>
            <w:r w:rsidRPr="00266E25">
              <w:rPr>
                <w:rFonts w:ascii="Times New Roman" w:hAnsi="Times New Roman" w:cs="Times New Roman"/>
                <w:spacing w:val="-3"/>
              </w:rPr>
              <w:t xml:space="preserve"> </w:t>
            </w:r>
            <w:r w:rsidRPr="00266E25">
              <w:rPr>
                <w:rFonts w:ascii="Times New Roman" w:hAnsi="Times New Roman" w:cs="Times New Roman"/>
              </w:rPr>
              <w:t>the</w:t>
            </w:r>
            <w:r w:rsidRPr="00266E25">
              <w:rPr>
                <w:rFonts w:ascii="Times New Roman" w:hAnsi="Times New Roman" w:cs="Times New Roman"/>
                <w:spacing w:val="-5"/>
              </w:rPr>
              <w:t xml:space="preserve"> </w:t>
            </w:r>
            <w:r w:rsidRPr="00266E25">
              <w:rPr>
                <w:rFonts w:ascii="Times New Roman" w:hAnsi="Times New Roman" w:cs="Times New Roman"/>
              </w:rPr>
              <w:t>time</w:t>
            </w:r>
            <w:r w:rsidRPr="00266E25">
              <w:rPr>
                <w:rFonts w:ascii="Times New Roman" w:hAnsi="Times New Roman" w:cs="Times New Roman"/>
                <w:spacing w:val="-3"/>
              </w:rPr>
              <w:t xml:space="preserve"> </w:t>
            </w:r>
            <w:r w:rsidRPr="00266E25">
              <w:rPr>
                <w:rFonts w:ascii="Times New Roman" w:hAnsi="Times New Roman" w:cs="Times New Roman"/>
              </w:rPr>
              <w:t>series</w:t>
            </w:r>
            <w:r w:rsidRPr="00266E25">
              <w:rPr>
                <w:rFonts w:ascii="Times New Roman" w:hAnsi="Times New Roman" w:cs="Times New Roman"/>
                <w:spacing w:val="-4"/>
              </w:rPr>
              <w:t xml:space="preserve"> </w:t>
            </w:r>
            <w:r w:rsidRPr="00266E25">
              <w:rPr>
                <w:rFonts w:ascii="Times New Roman" w:hAnsi="Times New Roman" w:cs="Times New Roman"/>
              </w:rPr>
              <w:t>of</w:t>
            </w:r>
            <w:r w:rsidRPr="00266E25">
              <w:rPr>
                <w:rFonts w:ascii="Times New Roman" w:hAnsi="Times New Roman" w:cs="Times New Roman"/>
                <w:spacing w:val="-3"/>
              </w:rPr>
              <w:t xml:space="preserve"> </w:t>
            </w:r>
            <w:r w:rsidRPr="00266E25">
              <w:rPr>
                <w:rFonts w:ascii="Times New Roman" w:hAnsi="Times New Roman" w:cs="Times New Roman"/>
              </w:rPr>
              <w:t>estimates</w:t>
            </w:r>
            <w:r w:rsidRPr="00266E25">
              <w:rPr>
                <w:rFonts w:ascii="Times New Roman" w:hAnsi="Times New Roman" w:cs="Times New Roman"/>
                <w:spacing w:val="-4"/>
              </w:rPr>
              <w:t xml:space="preserve"> </w:t>
            </w:r>
            <w:r w:rsidRPr="00266E25">
              <w:rPr>
                <w:rFonts w:ascii="Times New Roman" w:hAnsi="Times New Roman" w:cs="Times New Roman"/>
              </w:rPr>
              <w:t>of</w:t>
            </w:r>
            <w:r w:rsidRPr="00266E25">
              <w:rPr>
                <w:rFonts w:ascii="Times New Roman" w:hAnsi="Times New Roman" w:cs="Times New Roman"/>
                <w:spacing w:val="-3"/>
              </w:rPr>
              <w:t xml:space="preserve"> </w:t>
            </w:r>
            <w:r w:rsidRPr="00266E25">
              <w:rPr>
                <w:rFonts w:ascii="Times New Roman" w:hAnsi="Times New Roman" w:cs="Times New Roman"/>
              </w:rPr>
              <w:t>relative</w:t>
            </w:r>
            <w:r w:rsidRPr="00266E25">
              <w:rPr>
                <w:rFonts w:ascii="Times New Roman" w:hAnsi="Times New Roman" w:cs="Times New Roman"/>
                <w:spacing w:val="-3"/>
              </w:rPr>
              <w:t xml:space="preserve"> </w:t>
            </w:r>
            <w:r w:rsidRPr="00266E25">
              <w:rPr>
                <w:rFonts w:ascii="Times New Roman" w:hAnsi="Times New Roman" w:cs="Times New Roman"/>
              </w:rPr>
              <w:t>fishing mortality</w:t>
            </w:r>
            <w:r w:rsidRPr="00266E25">
              <w:rPr>
                <w:rFonts w:ascii="Times New Roman" w:hAnsi="Times New Roman" w:cs="Times New Roman"/>
                <w:spacing w:val="-2"/>
              </w:rPr>
              <w:t xml:space="preserve"> </w:t>
            </w:r>
            <w:r w:rsidRPr="00266E25">
              <w:rPr>
                <w:rFonts w:ascii="Times New Roman" w:hAnsi="Times New Roman" w:cs="Times New Roman"/>
              </w:rPr>
              <w:t>(average</w:t>
            </w:r>
            <w:r w:rsidRPr="00266E25">
              <w:rPr>
                <w:rFonts w:ascii="Times New Roman" w:hAnsi="Times New Roman" w:cs="Times New Roman"/>
                <w:spacing w:val="-3"/>
              </w:rPr>
              <w:t xml:space="preserve"> </w:t>
            </w:r>
            <w:r w:rsidRPr="00266E25">
              <w:rPr>
                <w:rFonts w:ascii="Times New Roman" w:hAnsi="Times New Roman" w:cs="Times New Roman"/>
              </w:rPr>
              <w:t>of</w:t>
            </w:r>
            <w:r w:rsidRPr="00266E25">
              <w:rPr>
                <w:rFonts w:ascii="Times New Roman" w:hAnsi="Times New Roman" w:cs="Times New Roman"/>
                <w:spacing w:val="-5"/>
              </w:rPr>
              <w:t xml:space="preserve"> </w:t>
            </w:r>
            <w:r w:rsidRPr="00266E25">
              <w:rPr>
                <w:rFonts w:ascii="Times New Roman" w:hAnsi="Times New Roman" w:cs="Times New Roman"/>
              </w:rPr>
              <w:t>age</w:t>
            </w:r>
            <w:r w:rsidRPr="00266E25">
              <w:rPr>
                <w:rFonts w:ascii="Times New Roman" w:hAnsi="Times New Roman" w:cs="Times New Roman"/>
                <w:spacing w:val="-5"/>
              </w:rPr>
              <w:t xml:space="preserve"> </w:t>
            </w:r>
            <w:r w:rsidRPr="00266E25">
              <w:rPr>
                <w:rFonts w:ascii="Times New Roman" w:hAnsi="Times New Roman" w:cs="Times New Roman"/>
              </w:rPr>
              <w:t>2+)</w:t>
            </w:r>
            <w:r w:rsidRPr="00266E25">
              <w:rPr>
                <w:rFonts w:ascii="Times New Roman" w:hAnsi="Times New Roman" w:cs="Times New Roman"/>
                <w:spacing w:val="-3"/>
              </w:rPr>
              <w:t xml:space="preserve"> </w:t>
            </w:r>
            <w:r w:rsidRPr="00266E25">
              <w:rPr>
                <w:rFonts w:ascii="Times New Roman" w:hAnsi="Times New Roman" w:cs="Times New Roman"/>
              </w:rPr>
              <w:t>and</w:t>
            </w:r>
            <w:r w:rsidRPr="00266E25">
              <w:rPr>
                <w:rFonts w:ascii="Times New Roman" w:hAnsi="Times New Roman" w:cs="Times New Roman"/>
                <w:spacing w:val="-1"/>
                <w:w w:val="99"/>
              </w:rPr>
              <w:t xml:space="preserve"> </w:t>
            </w:r>
            <w:r w:rsidRPr="00266E25">
              <w:rPr>
                <w:rFonts w:ascii="Times New Roman" w:hAnsi="Times New Roman" w:cs="Times New Roman"/>
              </w:rPr>
              <w:t>relative</w:t>
            </w:r>
            <w:r w:rsidRPr="00266E25">
              <w:rPr>
                <w:rFonts w:ascii="Times New Roman" w:hAnsi="Times New Roman" w:cs="Times New Roman"/>
                <w:spacing w:val="-4"/>
              </w:rPr>
              <w:t xml:space="preserve"> </w:t>
            </w:r>
            <w:r w:rsidRPr="00266E25">
              <w:rPr>
                <w:rFonts w:ascii="Times New Roman" w:hAnsi="Times New Roman" w:cs="Times New Roman"/>
              </w:rPr>
              <w:t>spawning</w:t>
            </w:r>
            <w:r w:rsidRPr="00266E25">
              <w:rPr>
                <w:rFonts w:ascii="Times New Roman" w:hAnsi="Times New Roman" w:cs="Times New Roman"/>
                <w:spacing w:val="-3"/>
              </w:rPr>
              <w:t xml:space="preserve"> </w:t>
            </w:r>
            <w:r w:rsidRPr="00266E25">
              <w:rPr>
                <w:rFonts w:ascii="Times New Roman" w:hAnsi="Times New Roman" w:cs="Times New Roman"/>
              </w:rPr>
              <w:t>stock</w:t>
            </w:r>
            <w:r w:rsidRPr="00266E25">
              <w:rPr>
                <w:rFonts w:ascii="Times New Roman" w:hAnsi="Times New Roman" w:cs="Times New Roman"/>
                <w:spacing w:val="-7"/>
              </w:rPr>
              <w:t xml:space="preserve"> </w:t>
            </w:r>
            <w:r w:rsidRPr="00266E25">
              <w:rPr>
                <w:rFonts w:ascii="Times New Roman" w:hAnsi="Times New Roman" w:cs="Times New Roman"/>
              </w:rPr>
              <w:t>biomass</w:t>
            </w:r>
            <w:r w:rsidRPr="00266E25">
              <w:rPr>
                <w:rFonts w:ascii="Times New Roman" w:hAnsi="Times New Roman" w:cs="Times New Roman"/>
                <w:spacing w:val="-5"/>
              </w:rPr>
              <w:t xml:space="preserve"> </w:t>
            </w:r>
            <w:r w:rsidRPr="00266E25">
              <w:rPr>
                <w:rFonts w:ascii="Times New Roman" w:hAnsi="Times New Roman" w:cs="Times New Roman"/>
              </w:rPr>
              <w:t>of BUM during</w:t>
            </w:r>
            <w:r w:rsidRPr="00266E25">
              <w:rPr>
                <w:rFonts w:ascii="Times New Roman" w:hAnsi="Times New Roman" w:cs="Times New Roman"/>
                <w:spacing w:val="-4"/>
              </w:rPr>
              <w:t xml:space="preserve"> </w:t>
            </w:r>
            <w:r w:rsidRPr="00266E25">
              <w:rPr>
                <w:rFonts w:ascii="Times New Roman" w:hAnsi="Times New Roman" w:cs="Times New Roman"/>
              </w:rPr>
              <w:t>1971-2014.</w:t>
            </w:r>
            <w:r w:rsidRPr="00266E25">
              <w:rPr>
                <w:rFonts w:ascii="Times New Roman" w:hAnsi="Times New Roman" w:cs="Times New Roman"/>
                <w:spacing w:val="-4"/>
              </w:rPr>
              <w:t xml:space="preserve"> </w:t>
            </w:r>
            <w:r w:rsidRPr="00266E25">
              <w:rPr>
                <w:rFonts w:ascii="Times New Roman" w:hAnsi="Times New Roman" w:cs="Times New Roman"/>
              </w:rPr>
              <w:t>The</w:t>
            </w:r>
            <w:r w:rsidRPr="00266E25">
              <w:rPr>
                <w:rFonts w:ascii="Times New Roman" w:hAnsi="Times New Roman" w:cs="Times New Roman"/>
                <w:spacing w:val="-4"/>
              </w:rPr>
              <w:t xml:space="preserve"> </w:t>
            </w:r>
            <w:r w:rsidRPr="00266E25">
              <w:rPr>
                <w:rFonts w:ascii="Times New Roman" w:hAnsi="Times New Roman" w:cs="Times New Roman"/>
              </w:rPr>
              <w:t>dashed</w:t>
            </w:r>
            <w:r w:rsidRPr="00266E25">
              <w:rPr>
                <w:rFonts w:ascii="Times New Roman" w:hAnsi="Times New Roman" w:cs="Times New Roman"/>
                <w:spacing w:val="-5"/>
              </w:rPr>
              <w:t xml:space="preserve"> </w:t>
            </w:r>
            <w:r w:rsidRPr="00266E25">
              <w:rPr>
                <w:rFonts w:ascii="Times New Roman" w:hAnsi="Times New Roman" w:cs="Times New Roman"/>
              </w:rPr>
              <w:t>lines</w:t>
            </w:r>
            <w:r w:rsidRPr="00266E25">
              <w:rPr>
                <w:rFonts w:ascii="Times New Roman" w:hAnsi="Times New Roman" w:cs="Times New Roman"/>
                <w:spacing w:val="-3"/>
              </w:rPr>
              <w:t xml:space="preserve"> </w:t>
            </w:r>
            <w:r w:rsidRPr="00266E25">
              <w:rPr>
                <w:rFonts w:ascii="Times New Roman" w:hAnsi="Times New Roman" w:cs="Times New Roman"/>
              </w:rPr>
              <w:t>denote</w:t>
            </w:r>
            <w:r w:rsidRPr="00266E25">
              <w:rPr>
                <w:rFonts w:ascii="Times New Roman" w:hAnsi="Times New Roman" w:cs="Times New Roman"/>
                <w:spacing w:val="-4"/>
              </w:rPr>
              <w:t xml:space="preserve"> </w:t>
            </w:r>
            <w:r w:rsidRPr="00266E25">
              <w:rPr>
                <w:rFonts w:ascii="Times New Roman" w:hAnsi="Times New Roman" w:cs="Times New Roman"/>
              </w:rPr>
              <w:t>the</w:t>
            </w:r>
            <w:r w:rsidRPr="00266E25">
              <w:rPr>
                <w:rFonts w:ascii="Times New Roman" w:hAnsi="Times New Roman" w:cs="Times New Roman"/>
                <w:spacing w:val="-4"/>
              </w:rPr>
              <w:t xml:space="preserve"> </w:t>
            </w:r>
            <w:r w:rsidRPr="00266E25">
              <w:rPr>
                <w:rFonts w:ascii="Times New Roman" w:hAnsi="Times New Roman" w:cs="Times New Roman"/>
              </w:rPr>
              <w:t>95%</w:t>
            </w:r>
            <w:r w:rsidRPr="00266E25">
              <w:rPr>
                <w:rFonts w:ascii="Times New Roman" w:hAnsi="Times New Roman" w:cs="Times New Roman"/>
                <w:spacing w:val="-4"/>
              </w:rPr>
              <w:t xml:space="preserve"> </w:t>
            </w:r>
            <w:r w:rsidRPr="00266E25">
              <w:rPr>
                <w:rFonts w:ascii="Times New Roman" w:hAnsi="Times New Roman" w:cs="Times New Roman"/>
              </w:rPr>
              <w:t>confidence</w:t>
            </w:r>
            <w:r w:rsidRPr="00266E25">
              <w:rPr>
                <w:rFonts w:ascii="Times New Roman" w:hAnsi="Times New Roman" w:cs="Times New Roman"/>
                <w:spacing w:val="-1"/>
                <w:w w:val="99"/>
              </w:rPr>
              <w:t xml:space="preserve"> </w:t>
            </w:r>
            <w:r w:rsidRPr="00266E25">
              <w:rPr>
                <w:rFonts w:ascii="Times New Roman" w:hAnsi="Times New Roman" w:cs="Times New Roman"/>
              </w:rPr>
              <w:t>intervals for the estimates in the year</w:t>
            </w:r>
            <w:r w:rsidRPr="00266E25">
              <w:rPr>
                <w:rFonts w:ascii="Times New Roman" w:hAnsi="Times New Roman" w:cs="Times New Roman"/>
                <w:spacing w:val="-16"/>
              </w:rPr>
              <w:t xml:space="preserve"> </w:t>
            </w:r>
            <w:r w:rsidRPr="00266E25">
              <w:rPr>
                <w:rFonts w:ascii="Times New Roman" w:hAnsi="Times New Roman" w:cs="Times New Roman"/>
              </w:rPr>
              <w:t>2014.</w:t>
            </w:r>
          </w:p>
          <w:p w14:paraId="6E28E6FB" w14:textId="77777777" w:rsidR="002F6757" w:rsidRDefault="002F6757" w:rsidP="00B32B1F">
            <w:pPr>
              <w:adjustRightInd w:val="0"/>
              <w:snapToGrid w:val="0"/>
              <w:ind w:right="30"/>
              <w:jc w:val="both"/>
              <w:rPr>
                <w:rFonts w:ascii="Times New Roman" w:hAnsi="Times New Roman" w:cs="Times New Roman"/>
                <w:sz w:val="20"/>
                <w:szCs w:val="20"/>
                <w:lang w:val="en-NZ" w:eastAsia="ko-KR"/>
              </w:rPr>
            </w:pPr>
          </w:p>
        </w:tc>
      </w:tr>
    </w:tbl>
    <w:p w14:paraId="61FEB966" w14:textId="77777777" w:rsidR="00AA64F9" w:rsidRPr="00B32B1F" w:rsidRDefault="00AA64F9" w:rsidP="00B32B1F">
      <w:pPr>
        <w:adjustRightInd w:val="0"/>
        <w:snapToGrid w:val="0"/>
        <w:spacing w:after="0" w:line="240" w:lineRule="auto"/>
        <w:ind w:left="440" w:right="30"/>
        <w:jc w:val="both"/>
        <w:rPr>
          <w:rFonts w:ascii="Times New Roman" w:hAnsi="Times New Roman" w:cs="Times New Roman"/>
          <w:sz w:val="20"/>
          <w:szCs w:val="20"/>
          <w:lang w:val="en-NZ" w:eastAsia="ko-KR"/>
        </w:rPr>
      </w:pPr>
    </w:p>
    <w:p w14:paraId="041B6C94" w14:textId="77777777" w:rsidR="00AA64F9" w:rsidRPr="00266E25" w:rsidRDefault="00AA64F9" w:rsidP="00B32B1F">
      <w:pPr>
        <w:adjustRightInd w:val="0"/>
        <w:snapToGrid w:val="0"/>
        <w:spacing w:after="0" w:line="240" w:lineRule="auto"/>
        <w:ind w:left="440"/>
        <w:rPr>
          <w:rFonts w:ascii="Times New Roman" w:eastAsia="Times New Roman" w:hAnsi="Times New Roman" w:cs="Times New Roman"/>
          <w:bCs/>
          <w:sz w:val="6"/>
          <w:szCs w:val="6"/>
        </w:rPr>
      </w:pPr>
    </w:p>
    <w:p w14:paraId="3A5EB1D7" w14:textId="77777777" w:rsidR="002F6757" w:rsidRDefault="002F6757">
      <w:pPr>
        <w:rPr>
          <w:rFonts w:ascii="Times New Roman" w:eastAsia="MS Mincho" w:hAnsi="Times New Roman" w:cs="Times New Roman"/>
          <w:color w:val="2F5496" w:themeColor="accent1" w:themeShade="BF"/>
          <w:sz w:val="32"/>
          <w:szCs w:val="32"/>
          <w:lang w:val="en-NZ" w:eastAsia="en-NZ"/>
        </w:rPr>
      </w:pPr>
      <w:bookmarkStart w:id="5" w:name="_Toc495323856"/>
      <w:r>
        <w:rPr>
          <w:rFonts w:ascii="Times New Roman" w:eastAsia="MS Mincho" w:hAnsi="Times New Roman" w:cs="Times New Roman"/>
          <w:lang w:val="en-NZ" w:eastAsia="en-NZ"/>
        </w:rPr>
        <w:br w:type="page"/>
      </w:r>
    </w:p>
    <w:p w14:paraId="2DDC5C9D" w14:textId="6D503DC5" w:rsidR="005C7178" w:rsidRPr="002F6757" w:rsidRDefault="005C7178" w:rsidP="00B32B1F">
      <w:pPr>
        <w:pStyle w:val="Heading1"/>
        <w:adjustRightInd w:val="0"/>
        <w:snapToGrid w:val="0"/>
        <w:spacing w:before="0" w:line="240" w:lineRule="auto"/>
        <w:rPr>
          <w:rFonts w:ascii="Times New Roman Bold" w:eastAsia="MS Mincho" w:hAnsi="Times New Roman Bold" w:cs="Times New Roman" w:hint="eastAsia"/>
          <w:b/>
          <w:bCs/>
          <w:caps/>
          <w:sz w:val="28"/>
          <w:szCs w:val="28"/>
          <w:lang w:val="en-NZ" w:eastAsia="en-NZ"/>
        </w:rPr>
      </w:pPr>
      <w:bookmarkStart w:id="6" w:name="_Toc95983379"/>
      <w:r w:rsidRPr="002F6757">
        <w:rPr>
          <w:rFonts w:ascii="Times New Roman Bold" w:eastAsia="MS Mincho" w:hAnsi="Times New Roman Bold" w:cs="Times New Roman"/>
          <w:b/>
          <w:bCs/>
          <w:caps/>
          <w:sz w:val="28"/>
          <w:szCs w:val="28"/>
          <w:lang w:val="en-NZ" w:eastAsia="en-NZ"/>
        </w:rPr>
        <w:lastRenderedPageBreak/>
        <w:t>Useful References</w:t>
      </w:r>
      <w:bookmarkEnd w:id="5"/>
      <w:bookmarkEnd w:id="6"/>
    </w:p>
    <w:p w14:paraId="79D9AD40" w14:textId="77777777" w:rsidR="00416473" w:rsidRPr="00266E25" w:rsidRDefault="00416473" w:rsidP="00B32B1F">
      <w:pPr>
        <w:adjustRightInd w:val="0"/>
        <w:snapToGrid w:val="0"/>
        <w:spacing w:after="0" w:line="240" w:lineRule="auto"/>
        <w:rPr>
          <w:rFonts w:ascii="Times New Roman" w:hAnsi="Times New Roman" w:cs="Times New Roman"/>
          <w:b/>
        </w:rPr>
      </w:pPr>
    </w:p>
    <w:p w14:paraId="3FF58AA4" w14:textId="54E3045C"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DC5A3D">
        <w:rPr>
          <w:rFonts w:ascii="Times New Roman" w:eastAsia="MS Mincho" w:hAnsi="Times New Roman" w:cs="Times New Roman"/>
          <w:color w:val="000000"/>
          <w:lang w:val="en-NZ" w:eastAsia="en-NZ"/>
        </w:rPr>
        <w:t>SC17-SA-WP-08</w:t>
      </w:r>
      <w:r>
        <w:rPr>
          <w:rFonts w:ascii="Times New Roman" w:eastAsia="MS Mincho" w:hAnsi="Times New Roman" w:cs="Times New Roman"/>
          <w:color w:val="000000"/>
          <w:lang w:val="en-NZ" w:eastAsia="en-NZ"/>
        </w:rPr>
        <w:t xml:space="preserve"> </w:t>
      </w:r>
      <w:r w:rsidRPr="00DC5A3D">
        <w:rPr>
          <w:rFonts w:ascii="Times New Roman" w:eastAsia="MS Mincho" w:hAnsi="Times New Roman" w:cs="Times New Roman"/>
          <w:color w:val="000000"/>
          <w:lang w:val="en-NZ" w:eastAsia="en-NZ"/>
        </w:rPr>
        <w:t>Stock assessment report for Pacific blue marlin (Makaira Nigricans) through 2019</w:t>
      </w:r>
      <w:r w:rsidR="003A6313">
        <w:rPr>
          <w:rFonts w:ascii="Times New Roman" w:eastAsia="MS Mincho" w:hAnsi="Times New Roman" w:cs="Times New Roman"/>
          <w:color w:val="000000"/>
          <w:lang w:val="en-NZ" w:eastAsia="en-NZ"/>
        </w:rPr>
        <w:t xml:space="preserve">. </w:t>
      </w:r>
      <w:r w:rsidR="003A6313" w:rsidRPr="00266E25">
        <w:rPr>
          <w:rFonts w:ascii="Times New Roman" w:hAnsi="Times New Roman" w:cs="Times New Roman"/>
          <w:lang w:val="en"/>
        </w:rPr>
        <w:t>International Scientific Committee for Tuna and Tuna-like Species in the North Pacific Ocean</w:t>
      </w:r>
      <w:r w:rsidR="003A6313">
        <w:rPr>
          <w:rFonts w:ascii="Times New Roman" w:hAnsi="Times New Roman" w:cs="Times New Roman"/>
          <w:lang w:val="en"/>
        </w:rPr>
        <w:t xml:space="preserve"> </w:t>
      </w:r>
      <w:r>
        <w:rPr>
          <w:rFonts w:ascii="Times New Roman" w:eastAsia="MS Mincho" w:hAnsi="Times New Roman" w:cs="Times New Roman"/>
          <w:color w:val="000000"/>
          <w:lang w:val="en-NZ" w:eastAsia="en-NZ"/>
        </w:rPr>
        <w:t>(ISC)</w:t>
      </w:r>
    </w:p>
    <w:p w14:paraId="58B824B0" w14:textId="5A14EE5E"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hyperlink r:id="rId17" w:history="1">
        <w:r w:rsidRPr="00EC1DCD">
          <w:rPr>
            <w:rStyle w:val="Hyperlink"/>
            <w:rFonts w:ascii="Times New Roman" w:eastAsia="MS Mincho" w:hAnsi="Times New Roman" w:cs="Times New Roman"/>
            <w:lang w:val="en-NZ" w:eastAsia="en-NZ"/>
          </w:rPr>
          <w:t>https://meetings.wcpfc.int/node/12557</w:t>
        </w:r>
      </w:hyperlink>
      <w:r>
        <w:rPr>
          <w:rFonts w:ascii="Times New Roman" w:eastAsia="MS Mincho" w:hAnsi="Times New Roman" w:cs="Times New Roman"/>
          <w:color w:val="000000"/>
          <w:lang w:val="en-NZ" w:eastAsia="en-NZ"/>
        </w:rPr>
        <w:t xml:space="preserve"> </w:t>
      </w:r>
    </w:p>
    <w:p w14:paraId="70097665" w14:textId="360FF043"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C80FFA7" w14:textId="3B9C5A52"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DC5A3D">
        <w:rPr>
          <w:rFonts w:ascii="Times New Roman" w:eastAsia="MS Mincho" w:hAnsi="Times New Roman" w:cs="Times New Roman"/>
          <w:color w:val="000000"/>
          <w:lang w:val="en-NZ" w:eastAsia="en-NZ"/>
        </w:rPr>
        <w:t>SC17-GN-IP-03</w:t>
      </w:r>
      <w:r>
        <w:rPr>
          <w:rFonts w:ascii="Times New Roman" w:eastAsia="MS Mincho" w:hAnsi="Times New Roman" w:cs="Times New Roman"/>
          <w:color w:val="000000"/>
          <w:lang w:val="en-NZ" w:eastAsia="en-NZ"/>
        </w:rPr>
        <w:t xml:space="preserve"> </w:t>
      </w:r>
      <w:r w:rsidRPr="00DC5A3D">
        <w:rPr>
          <w:rFonts w:ascii="Times New Roman" w:eastAsia="MS Mincho" w:hAnsi="Times New Roman" w:cs="Times New Roman"/>
          <w:color w:val="000000"/>
          <w:lang w:val="en-NZ" w:eastAsia="en-NZ"/>
        </w:rPr>
        <w:t>Report of the 21st Meeting of the International Scientific Committee for Tuna and Tuna-like Species in the North Pacific Ocean</w:t>
      </w:r>
      <w:r>
        <w:rPr>
          <w:rFonts w:ascii="Times New Roman" w:eastAsia="MS Mincho" w:hAnsi="Times New Roman" w:cs="Times New Roman"/>
          <w:color w:val="000000"/>
          <w:lang w:val="en-NZ" w:eastAsia="en-NZ"/>
        </w:rPr>
        <w:t xml:space="preserve">. </w:t>
      </w:r>
      <w:hyperlink r:id="rId18" w:history="1">
        <w:r w:rsidRPr="00EC1DCD">
          <w:rPr>
            <w:rStyle w:val="Hyperlink"/>
            <w:rFonts w:ascii="Times New Roman" w:eastAsia="MS Mincho" w:hAnsi="Times New Roman" w:cs="Times New Roman"/>
            <w:lang w:val="en-NZ" w:eastAsia="en-NZ"/>
          </w:rPr>
          <w:t>https://meetings.wcpfc.int/node/12528</w:t>
        </w:r>
      </w:hyperlink>
      <w:r>
        <w:rPr>
          <w:rFonts w:ascii="Times New Roman" w:eastAsia="MS Mincho" w:hAnsi="Times New Roman" w:cs="Times New Roman"/>
          <w:color w:val="000000"/>
          <w:lang w:val="en-NZ" w:eastAsia="en-NZ"/>
        </w:rPr>
        <w:t xml:space="preserve"> </w:t>
      </w:r>
    </w:p>
    <w:p w14:paraId="78C0025C" w14:textId="77777777"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2ED875A0" w14:textId="49D4835A" w:rsidR="00AA64F9" w:rsidRPr="00266E25" w:rsidRDefault="00AA64F9"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66E25">
        <w:rPr>
          <w:rFonts w:ascii="Times New Roman" w:eastAsia="MS Mincho" w:hAnsi="Times New Roman" w:cs="Times New Roman"/>
          <w:color w:val="000000"/>
          <w:lang w:val="en-NZ" w:eastAsia="en-NZ"/>
        </w:rPr>
        <w:t xml:space="preserve">SC12-GN-IP-02 Report of the 16th Meeting of the International Scientific Committee for Tuna and Tuna-like Species in the North Pacific Ocean. ISC </w:t>
      </w:r>
      <w:r w:rsidRPr="00266E25">
        <w:rPr>
          <w:rFonts w:ascii="Times New Roman" w:hAnsi="Times New Roman" w:cs="Times New Roman"/>
          <w:lang w:val="en"/>
        </w:rPr>
        <w:t xml:space="preserve">(International Scientific Committee for Tuna and Tuna-like Species in the North Pacific Ocean) </w:t>
      </w:r>
      <w:hyperlink r:id="rId19" w:history="1">
        <w:r w:rsidR="00FC6A75" w:rsidRPr="00266E25">
          <w:rPr>
            <w:rStyle w:val="Hyperlink"/>
            <w:rFonts w:ascii="Times New Roman" w:hAnsi="Times New Roman" w:cs="Times New Roman"/>
            <w:lang w:val="en"/>
          </w:rPr>
          <w:t>https://wcpfc.int/node/27556</w:t>
        </w:r>
      </w:hyperlink>
      <w:r w:rsidR="00FC6A75" w:rsidRPr="00266E25">
        <w:rPr>
          <w:rFonts w:ascii="Times New Roman" w:hAnsi="Times New Roman" w:cs="Times New Roman"/>
          <w:lang w:val="en"/>
        </w:rPr>
        <w:t xml:space="preserve"> </w:t>
      </w:r>
    </w:p>
    <w:p w14:paraId="41253AE4" w14:textId="77777777" w:rsidR="00AA64F9" w:rsidRPr="00266E25" w:rsidRDefault="00AA64F9"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6620D5DC" w14:textId="77777777" w:rsidR="00BF5825" w:rsidRPr="00266E25" w:rsidRDefault="00BF5825" w:rsidP="00B32B1F">
      <w:pPr>
        <w:adjustRightInd w:val="0"/>
        <w:snapToGrid w:val="0"/>
        <w:spacing w:after="0" w:line="240" w:lineRule="auto"/>
        <w:rPr>
          <w:rFonts w:ascii="Times New Roman" w:hAnsi="Times New Roman" w:cs="Times New Roman"/>
        </w:rPr>
      </w:pPr>
      <w:r w:rsidRPr="00266E25">
        <w:rPr>
          <w:rFonts w:ascii="Times New Roman" w:hAnsi="Times New Roman" w:cs="Times New Roman"/>
        </w:rPr>
        <w:t>For current information related to Northern Stocks Working Group Reports and the ISC Plenary Report:</w:t>
      </w:r>
    </w:p>
    <w:p w14:paraId="14B948F1" w14:textId="77777777" w:rsidR="005C7178" w:rsidRPr="00266E25" w:rsidRDefault="00FC47A6"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hyperlink r:id="rId20" w:history="1">
        <w:r w:rsidR="00631C06" w:rsidRPr="00266E25">
          <w:rPr>
            <w:rStyle w:val="Hyperlink"/>
            <w:rFonts w:ascii="Times New Roman" w:eastAsia="MS Mincho" w:hAnsi="Times New Roman" w:cs="Times New Roman"/>
            <w:lang w:val="en-NZ" w:eastAsia="en-NZ"/>
          </w:rPr>
          <w:t>http://isc.fra.go.jp/reports/isc/isc18_reports.html</w:t>
        </w:r>
      </w:hyperlink>
      <w:r w:rsidR="00631C06" w:rsidRPr="00266E25">
        <w:rPr>
          <w:rFonts w:ascii="Times New Roman" w:eastAsia="MS Mincho" w:hAnsi="Times New Roman" w:cs="Times New Roman"/>
          <w:color w:val="000000"/>
          <w:lang w:val="en-NZ" w:eastAsia="en-NZ"/>
        </w:rPr>
        <w:t xml:space="preserve"> </w:t>
      </w:r>
    </w:p>
    <w:p w14:paraId="120B8B67" w14:textId="7862AE8E" w:rsidR="002F6757" w:rsidRPr="002F6757" w:rsidRDefault="002F6757" w:rsidP="00B32B1F">
      <w:pPr>
        <w:pStyle w:val="Heading1"/>
        <w:adjustRightInd w:val="0"/>
        <w:snapToGrid w:val="0"/>
        <w:spacing w:before="0" w:line="240" w:lineRule="auto"/>
        <w:rPr>
          <w:rFonts w:ascii="Times New Roman" w:eastAsia="MS Mincho" w:hAnsi="Times New Roman" w:cs="Times New Roman"/>
          <w:sz w:val="22"/>
          <w:szCs w:val="22"/>
          <w:lang w:val="en-NZ" w:eastAsia="en-NZ"/>
        </w:rPr>
      </w:pPr>
    </w:p>
    <w:p w14:paraId="7CCF85BA" w14:textId="77777777" w:rsidR="002F6757" w:rsidRPr="002F6757" w:rsidRDefault="002F6757" w:rsidP="002F6757">
      <w:pPr>
        <w:spacing w:after="0" w:line="240" w:lineRule="auto"/>
        <w:rPr>
          <w:lang w:val="en-NZ" w:eastAsia="en-NZ"/>
        </w:rPr>
      </w:pPr>
    </w:p>
    <w:p w14:paraId="23300E3C" w14:textId="53F2509D" w:rsidR="006840E1" w:rsidRPr="002F6757" w:rsidRDefault="00127FA9" w:rsidP="00B32B1F">
      <w:pPr>
        <w:pStyle w:val="Heading1"/>
        <w:adjustRightInd w:val="0"/>
        <w:snapToGrid w:val="0"/>
        <w:spacing w:before="0" w:line="240" w:lineRule="auto"/>
        <w:rPr>
          <w:rFonts w:ascii="Times New Roman Bold" w:eastAsia="MS Mincho" w:hAnsi="Times New Roman Bold" w:cs="Times New Roman" w:hint="eastAsia"/>
          <w:b/>
          <w:caps/>
          <w:sz w:val="28"/>
          <w:szCs w:val="28"/>
          <w:lang w:val="en-NZ" w:eastAsia="en-NZ"/>
        </w:rPr>
      </w:pPr>
      <w:bookmarkStart w:id="7" w:name="_Toc95983380"/>
      <w:r w:rsidRPr="002F6757">
        <w:rPr>
          <w:rFonts w:ascii="Times New Roman Bold" w:eastAsia="MS Mincho" w:hAnsi="Times New Roman Bold" w:cs="Times New Roman"/>
          <w:b/>
          <w:caps/>
          <w:sz w:val="28"/>
          <w:szCs w:val="28"/>
          <w:lang w:val="en-NZ" w:eastAsia="en-NZ"/>
        </w:rPr>
        <w:t>Previous Assessments</w:t>
      </w:r>
      <w:bookmarkEnd w:id="7"/>
    </w:p>
    <w:p w14:paraId="7D92300B" w14:textId="77777777"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6DE41B12" w14:textId="71C62722"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66E25">
        <w:rPr>
          <w:rFonts w:ascii="Times New Roman" w:eastAsia="MS Mincho" w:hAnsi="Times New Roman" w:cs="Times New Roman"/>
          <w:color w:val="000000"/>
          <w:lang w:val="en-NZ" w:eastAsia="en-NZ"/>
        </w:rPr>
        <w:t>SC12-SA-WP12 Stock Assessment Update for Blue Marlin (</w:t>
      </w:r>
      <w:r w:rsidRPr="00DC5A3D">
        <w:rPr>
          <w:rFonts w:ascii="Times New Roman" w:eastAsia="MS Mincho" w:hAnsi="Times New Roman" w:cs="Times New Roman"/>
          <w:i/>
          <w:iCs/>
          <w:color w:val="000000"/>
          <w:lang w:val="en-NZ" w:eastAsia="en-NZ"/>
        </w:rPr>
        <w:t>Makaira nigricans</w:t>
      </w:r>
      <w:r w:rsidRPr="00266E25">
        <w:rPr>
          <w:rFonts w:ascii="Times New Roman" w:eastAsia="MS Mincho" w:hAnsi="Times New Roman" w:cs="Times New Roman"/>
          <w:color w:val="000000"/>
          <w:lang w:val="en-NZ" w:eastAsia="en-NZ"/>
        </w:rPr>
        <w:t xml:space="preserve">) in the Pacific Ocean through 2014. ISC Billfish Working Group. </w:t>
      </w:r>
      <w:hyperlink r:id="rId21" w:history="1">
        <w:r w:rsidRPr="00266E25">
          <w:rPr>
            <w:rStyle w:val="Hyperlink"/>
            <w:rFonts w:ascii="Times New Roman" w:eastAsia="MS Mincho" w:hAnsi="Times New Roman" w:cs="Times New Roman"/>
            <w:lang w:val="en-NZ" w:eastAsia="en-NZ"/>
          </w:rPr>
          <w:t>https://wcpfc.int/node/27549</w:t>
        </w:r>
      </w:hyperlink>
    </w:p>
    <w:p w14:paraId="15DBCF9B" w14:textId="77777777" w:rsidR="00DC5A3D" w:rsidRDefault="00DC5A3D"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38694D6E" w14:textId="62EF6AA9" w:rsidR="006840E1" w:rsidRPr="00266E25" w:rsidRDefault="006840E1" w:rsidP="00B32B1F">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66E25">
        <w:rPr>
          <w:rFonts w:ascii="Times New Roman" w:eastAsia="MS Mincho" w:hAnsi="Times New Roman" w:cs="Times New Roman"/>
          <w:color w:val="000000"/>
          <w:lang w:val="en-NZ" w:eastAsia="en-NZ"/>
        </w:rPr>
        <w:t xml:space="preserve">SC9-SA-WP-09 </w:t>
      </w:r>
      <w:r w:rsidRPr="00266E25">
        <w:rPr>
          <w:rFonts w:ascii="Times New Roman" w:hAnsi="Times New Roman" w:cs="Times New Roman"/>
          <w:lang w:val="en"/>
        </w:rPr>
        <w:t xml:space="preserve">Stock Assessment of Blue Marlin in the Pacific Ocean in 2013 (Replacement Document 31 July 2013) </w:t>
      </w:r>
      <w:hyperlink r:id="rId22" w:history="1">
        <w:r w:rsidRPr="00266E25">
          <w:rPr>
            <w:rStyle w:val="Hyperlink"/>
            <w:rFonts w:ascii="Times New Roman" w:hAnsi="Times New Roman" w:cs="Times New Roman"/>
            <w:lang w:val="en"/>
          </w:rPr>
          <w:t>https://wcpfc.int/node/4732</w:t>
        </w:r>
      </w:hyperlink>
      <w:r w:rsidRPr="00266E25">
        <w:rPr>
          <w:rFonts w:ascii="Times New Roman" w:hAnsi="Times New Roman" w:cs="Times New Roman"/>
          <w:lang w:val="en"/>
        </w:rPr>
        <w:t xml:space="preserve"> </w:t>
      </w:r>
    </w:p>
    <w:sectPr w:rsidR="006840E1" w:rsidRPr="00266E25" w:rsidSect="00400113">
      <w:footerReference w:type="default" r:id="rId23"/>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B56F" w14:textId="77777777" w:rsidR="00FC47A6" w:rsidRDefault="00FC47A6" w:rsidP="005C2B8D">
      <w:pPr>
        <w:spacing w:after="0" w:line="240" w:lineRule="auto"/>
      </w:pPr>
      <w:r>
        <w:separator/>
      </w:r>
    </w:p>
  </w:endnote>
  <w:endnote w:type="continuationSeparator" w:id="0">
    <w:p w14:paraId="129CAFB0" w14:textId="77777777" w:rsidR="00FC47A6" w:rsidRDefault="00FC47A6"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53592"/>
      <w:docPartObj>
        <w:docPartGallery w:val="Page Numbers (Bottom of Page)"/>
        <w:docPartUnique/>
      </w:docPartObj>
    </w:sdtPr>
    <w:sdtEndPr>
      <w:rPr>
        <w:noProof/>
      </w:rPr>
    </w:sdtEndPr>
    <w:sdtContent>
      <w:p w14:paraId="093BA0F5" w14:textId="77777777" w:rsidR="00550074" w:rsidRDefault="00550074">
        <w:pPr>
          <w:pStyle w:val="Footer"/>
          <w:jc w:val="center"/>
        </w:pPr>
        <w:r>
          <w:fldChar w:fldCharType="begin"/>
        </w:r>
        <w:r>
          <w:instrText xml:space="preserve"> PAGE   \* MERGEFORMAT </w:instrText>
        </w:r>
        <w:r>
          <w:fldChar w:fldCharType="separate"/>
        </w:r>
        <w:r w:rsidR="00BF5825">
          <w:rPr>
            <w:noProof/>
          </w:rPr>
          <w:t>8</w:t>
        </w:r>
        <w:r>
          <w:rPr>
            <w:noProof/>
          </w:rPr>
          <w:fldChar w:fldCharType="end"/>
        </w:r>
      </w:p>
    </w:sdtContent>
  </w:sdt>
  <w:p w14:paraId="4F9A7F51"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8380" w14:textId="77777777" w:rsidR="00FC47A6" w:rsidRDefault="00FC47A6" w:rsidP="005C2B8D">
      <w:pPr>
        <w:spacing w:after="0" w:line="240" w:lineRule="auto"/>
      </w:pPr>
      <w:r>
        <w:separator/>
      </w:r>
    </w:p>
  </w:footnote>
  <w:footnote w:type="continuationSeparator" w:id="0">
    <w:p w14:paraId="417D2428" w14:textId="77777777" w:rsidR="00FC47A6" w:rsidRDefault="00FC47A6" w:rsidP="005C2B8D">
      <w:pPr>
        <w:spacing w:after="0" w:line="240" w:lineRule="auto"/>
      </w:pPr>
      <w:r>
        <w:continuationSeparator/>
      </w:r>
    </w:p>
  </w:footnote>
  <w:footnote w:id="1">
    <w:p w14:paraId="7BD4050D" w14:textId="77777777" w:rsidR="00C91950" w:rsidRDefault="00C91950" w:rsidP="00C91950">
      <w:pPr>
        <w:pStyle w:val="FootnoteText"/>
      </w:pPr>
      <w:r>
        <w:rPr>
          <w:rStyle w:val="FootnoteReference"/>
        </w:rPr>
        <w:footnoteRef/>
      </w:r>
      <w:r>
        <w:t xml:space="preserve"> International Scientific Committee for Tuna and Tuna-like Species in the North Pacific Ocean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3D5"/>
    <w:multiLevelType w:val="hybridMultilevel"/>
    <w:tmpl w:val="8C8C73E4"/>
    <w:lvl w:ilvl="0" w:tplc="E7E4D014">
      <w:start w:val="5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C16F1A"/>
    <w:multiLevelType w:val="multilevel"/>
    <w:tmpl w:val="7E644E08"/>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774C8"/>
    <w:multiLevelType w:val="hybridMultilevel"/>
    <w:tmpl w:val="F5882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B4BF6"/>
    <w:multiLevelType w:val="hybridMultilevel"/>
    <w:tmpl w:val="B750289C"/>
    <w:lvl w:ilvl="0" w:tplc="6FDA7E84">
      <w:start w:val="50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B5ABA"/>
    <w:multiLevelType w:val="hybridMultilevel"/>
    <w:tmpl w:val="B8981D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763AFD"/>
    <w:multiLevelType w:val="hybridMultilevel"/>
    <w:tmpl w:val="5308CCC4"/>
    <w:lvl w:ilvl="0" w:tplc="E8E2DD8E">
      <w:start w:val="37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66EC"/>
    <w:multiLevelType w:val="hybridMultilevel"/>
    <w:tmpl w:val="48540C48"/>
    <w:lvl w:ilvl="0" w:tplc="8B002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C39F0"/>
    <w:multiLevelType w:val="hybridMultilevel"/>
    <w:tmpl w:val="DB3AD75A"/>
    <w:lvl w:ilvl="0" w:tplc="35CADB86">
      <w:start w:val="36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85374"/>
    <w:multiLevelType w:val="hybridMultilevel"/>
    <w:tmpl w:val="BECC2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992"/>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9250E"/>
    <w:multiLevelType w:val="hybridMultilevel"/>
    <w:tmpl w:val="BDBC8998"/>
    <w:lvl w:ilvl="0" w:tplc="BE16C122">
      <w:start w:val="2"/>
      <w:numFmt w:val="decimal"/>
      <w:pStyle w:val="WCPFC"/>
      <w:lvlText w:val="%1."/>
      <w:lvlJc w:val="left"/>
      <w:rPr>
        <w:rFonts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D073EB"/>
    <w:multiLevelType w:val="hybridMultilevel"/>
    <w:tmpl w:val="C5DADC46"/>
    <w:lvl w:ilvl="0" w:tplc="038A4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334C78"/>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44032"/>
    <w:multiLevelType w:val="hybridMultilevel"/>
    <w:tmpl w:val="38547C34"/>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465767"/>
    <w:multiLevelType w:val="multilevel"/>
    <w:tmpl w:val="505A1B6E"/>
    <w:lvl w:ilvl="0">
      <w:start w:val="5"/>
      <w:numFmt w:val="decimal"/>
      <w:lvlText w:val="%1"/>
      <w:lvlJc w:val="left"/>
      <w:pPr>
        <w:ind w:left="360" w:hanging="360"/>
      </w:pPr>
      <w:rPr>
        <w:rFonts w:hint="default"/>
      </w:rPr>
    </w:lvl>
    <w:lvl w:ilvl="1">
      <w:start w:val="1"/>
      <w:numFmt w:val="decimal"/>
      <w:lvlRestart w:val="0"/>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pStyle w:val="SC4"/>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895D33"/>
    <w:multiLevelType w:val="hybridMultilevel"/>
    <w:tmpl w:val="C9B819E4"/>
    <w:lvl w:ilvl="0" w:tplc="0B6C7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605ED"/>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C30B7"/>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527FD"/>
    <w:multiLevelType w:val="hybridMultilevel"/>
    <w:tmpl w:val="BECE7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D709BA"/>
    <w:multiLevelType w:val="hybridMultilevel"/>
    <w:tmpl w:val="A4446AA6"/>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B75BA"/>
    <w:multiLevelType w:val="multilevel"/>
    <w:tmpl w:val="45D4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532FC1"/>
    <w:multiLevelType w:val="multilevel"/>
    <w:tmpl w:val="B7387624"/>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5E6A11"/>
    <w:multiLevelType w:val="hybridMultilevel"/>
    <w:tmpl w:val="AEE88892"/>
    <w:lvl w:ilvl="0" w:tplc="6958DAC8">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8" w15:restartNumberingAfterBreak="0">
    <w:nsid w:val="779615A1"/>
    <w:multiLevelType w:val="hybridMultilevel"/>
    <w:tmpl w:val="11CE7A62"/>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6"/>
  </w:num>
  <w:num w:numId="4">
    <w:abstractNumId w:val="18"/>
  </w:num>
  <w:num w:numId="5">
    <w:abstractNumId w:val="1"/>
  </w:num>
  <w:num w:numId="6">
    <w:abstractNumId w:val="12"/>
    <w:lvlOverride w:ilvl="0">
      <w:startOverride w:val="393"/>
    </w:lvlOverride>
  </w:num>
  <w:num w:numId="7">
    <w:abstractNumId w:val="19"/>
  </w:num>
  <w:num w:numId="8">
    <w:abstractNumId w:val="21"/>
  </w:num>
  <w:num w:numId="9">
    <w:abstractNumId w:val="27"/>
  </w:num>
  <w:num w:numId="10">
    <w:abstractNumId w:val="15"/>
  </w:num>
  <w:num w:numId="11">
    <w:abstractNumId w:val="28"/>
  </w:num>
  <w:num w:numId="12">
    <w:abstractNumId w:val="12"/>
  </w:num>
  <w:num w:numId="13">
    <w:abstractNumId w:val="11"/>
  </w:num>
  <w:num w:numId="14">
    <w:abstractNumId w:val="14"/>
  </w:num>
  <w:num w:numId="15">
    <w:abstractNumId w:val="22"/>
  </w:num>
  <w:num w:numId="16">
    <w:abstractNumId w:val="24"/>
  </w:num>
  <w:num w:numId="17">
    <w:abstractNumId w:val="8"/>
  </w:num>
  <w:num w:numId="18">
    <w:abstractNumId w:val="3"/>
  </w:num>
  <w:num w:numId="19">
    <w:abstractNumId w:val="7"/>
  </w:num>
  <w:num w:numId="20">
    <w:abstractNumId w:val="9"/>
  </w:num>
  <w:num w:numId="21">
    <w:abstractNumId w:val="4"/>
  </w:num>
  <w:num w:numId="22">
    <w:abstractNumId w:val="12"/>
    <w:lvlOverride w:ilvl="0">
      <w:startOverride w:val="502"/>
    </w:lvlOverride>
  </w:num>
  <w:num w:numId="23">
    <w:abstractNumId w:val="0"/>
  </w:num>
  <w:num w:numId="24">
    <w:abstractNumId w:val="17"/>
  </w:num>
  <w:num w:numId="25">
    <w:abstractNumId w:val="10"/>
  </w:num>
  <w:num w:numId="26">
    <w:abstractNumId w:val="12"/>
    <w:lvlOverride w:ilvl="0">
      <w:startOverride w:val="1"/>
    </w:lvlOverride>
  </w:num>
  <w:num w:numId="27">
    <w:abstractNumId w:val="13"/>
  </w:num>
  <w:num w:numId="28">
    <w:abstractNumId w:val="26"/>
  </w:num>
  <w:num w:numId="29">
    <w:abstractNumId w:val="2"/>
  </w:num>
  <w:num w:numId="30">
    <w:abstractNumId w:val="25"/>
  </w:num>
  <w:num w:numId="31">
    <w:abstractNumId w:val="16"/>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4CDD"/>
    <w:rsid w:val="000A343B"/>
    <w:rsid w:val="0012789F"/>
    <w:rsid w:val="00127FA9"/>
    <w:rsid w:val="00183926"/>
    <w:rsid w:val="0019465C"/>
    <w:rsid w:val="001B44D1"/>
    <w:rsid w:val="00245BC3"/>
    <w:rsid w:val="00266E25"/>
    <w:rsid w:val="002D086C"/>
    <w:rsid w:val="002D55C1"/>
    <w:rsid w:val="002F6757"/>
    <w:rsid w:val="003060E3"/>
    <w:rsid w:val="0038238E"/>
    <w:rsid w:val="003849D3"/>
    <w:rsid w:val="003A6313"/>
    <w:rsid w:val="003F50D6"/>
    <w:rsid w:val="00400113"/>
    <w:rsid w:val="00416473"/>
    <w:rsid w:val="00423016"/>
    <w:rsid w:val="004562F8"/>
    <w:rsid w:val="004A0180"/>
    <w:rsid w:val="004B05DF"/>
    <w:rsid w:val="004C0F6A"/>
    <w:rsid w:val="004C1EE5"/>
    <w:rsid w:val="004C4F3D"/>
    <w:rsid w:val="004D1F0E"/>
    <w:rsid w:val="004F5329"/>
    <w:rsid w:val="0050683C"/>
    <w:rsid w:val="005374AB"/>
    <w:rsid w:val="00550074"/>
    <w:rsid w:val="00553EE4"/>
    <w:rsid w:val="005642ED"/>
    <w:rsid w:val="005A5AA1"/>
    <w:rsid w:val="005B1A1E"/>
    <w:rsid w:val="005C2B8D"/>
    <w:rsid w:val="005C7178"/>
    <w:rsid w:val="00601C1F"/>
    <w:rsid w:val="00631C06"/>
    <w:rsid w:val="00643A67"/>
    <w:rsid w:val="006515DB"/>
    <w:rsid w:val="006840E1"/>
    <w:rsid w:val="006A51C4"/>
    <w:rsid w:val="006D1BC2"/>
    <w:rsid w:val="0073054D"/>
    <w:rsid w:val="007766EA"/>
    <w:rsid w:val="007A432D"/>
    <w:rsid w:val="007B6CCE"/>
    <w:rsid w:val="007F084A"/>
    <w:rsid w:val="0086258F"/>
    <w:rsid w:val="00867480"/>
    <w:rsid w:val="008876DD"/>
    <w:rsid w:val="00912592"/>
    <w:rsid w:val="009378E8"/>
    <w:rsid w:val="009C1672"/>
    <w:rsid w:val="009E2B6F"/>
    <w:rsid w:val="00A517FB"/>
    <w:rsid w:val="00AA64F9"/>
    <w:rsid w:val="00B32B1F"/>
    <w:rsid w:val="00BD56FE"/>
    <w:rsid w:val="00BF2822"/>
    <w:rsid w:val="00BF5825"/>
    <w:rsid w:val="00C01084"/>
    <w:rsid w:val="00C33065"/>
    <w:rsid w:val="00C64AF4"/>
    <w:rsid w:val="00C91950"/>
    <w:rsid w:val="00CC3DC6"/>
    <w:rsid w:val="00CC59BE"/>
    <w:rsid w:val="00CF0B93"/>
    <w:rsid w:val="00D4373F"/>
    <w:rsid w:val="00DA41A5"/>
    <w:rsid w:val="00DC50D2"/>
    <w:rsid w:val="00DC5A3D"/>
    <w:rsid w:val="00E15B3B"/>
    <w:rsid w:val="00E63A81"/>
    <w:rsid w:val="00EA59BA"/>
    <w:rsid w:val="00F3288E"/>
    <w:rsid w:val="00F44E2F"/>
    <w:rsid w:val="00F528D9"/>
    <w:rsid w:val="00F535CC"/>
    <w:rsid w:val="00F671D3"/>
    <w:rsid w:val="00FB657D"/>
    <w:rsid w:val="00FC2C77"/>
    <w:rsid w:val="00FC47A6"/>
    <w:rsid w:val="00FC6A75"/>
    <w:rsid w:val="00FE2E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8037"/>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uiPriority w:val="99"/>
    <w:rsid w:val="0073054D"/>
    <w:rPr>
      <w:sz w:val="20"/>
      <w:szCs w:val="20"/>
    </w:rPr>
  </w:style>
  <w:style w:type="character" w:styleId="FootnoteReference">
    <w:name w:val="footnote reference"/>
    <w:basedOn w:val="DefaultParagraphFont"/>
    <w:uiPriority w:val="99"/>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uiPriority w:val="99"/>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styleId="TOC8">
    <w:name w:val="toc 8"/>
    <w:basedOn w:val="Normal"/>
    <w:next w:val="Normal"/>
    <w:autoRedefine/>
    <w:uiPriority w:val="39"/>
    <w:semiHidden/>
    <w:unhideWhenUsed/>
    <w:rsid w:val="004A0180"/>
    <w:pPr>
      <w:spacing w:after="100"/>
      <w:ind w:left="1540"/>
    </w:pPr>
  </w:style>
  <w:style w:type="paragraph" w:styleId="BalloonText">
    <w:name w:val="Balloon Text"/>
    <w:basedOn w:val="Normal"/>
    <w:link w:val="BalloonTextChar"/>
    <w:uiPriority w:val="99"/>
    <w:semiHidden/>
    <w:unhideWhenUsed/>
    <w:rsid w:val="00266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E25"/>
    <w:rPr>
      <w:rFonts w:ascii="Segoe UI" w:hAnsi="Segoe UI" w:cs="Segoe UI"/>
      <w:sz w:val="18"/>
      <w:szCs w:val="18"/>
    </w:rPr>
  </w:style>
  <w:style w:type="paragraph" w:styleId="NormalWeb">
    <w:name w:val="Normal (Web)"/>
    <w:basedOn w:val="Normal"/>
    <w:uiPriority w:val="99"/>
    <w:unhideWhenUsed/>
    <w:rsid w:val="00C91950"/>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SC4">
    <w:name w:val="SC 4"/>
    <w:basedOn w:val="ListParagraph"/>
    <w:link w:val="SC4Char"/>
    <w:qFormat/>
    <w:rsid w:val="00C91950"/>
    <w:pPr>
      <w:numPr>
        <w:ilvl w:val="3"/>
        <w:numId w:val="31"/>
      </w:numPr>
      <w:adjustRightInd w:val="0"/>
      <w:snapToGrid w:val="0"/>
      <w:spacing w:after="220"/>
      <w:contextualSpacing w:val="0"/>
    </w:pPr>
    <w:rPr>
      <w:rFonts w:ascii="Times New Roman" w:eastAsia="Batang" w:hAnsi="Times New Roman"/>
      <w:b/>
      <w:lang w:eastAsia="ko-KR"/>
    </w:rPr>
  </w:style>
  <w:style w:type="character" w:customStyle="1" w:styleId="SC4Char">
    <w:name w:val="SC 4 Char"/>
    <w:basedOn w:val="ListParagraphChar"/>
    <w:link w:val="SC4"/>
    <w:rsid w:val="00C91950"/>
    <w:rPr>
      <w:rFonts w:ascii="Times New Roman" w:eastAsia="Batang" w:hAnsi="Times New Roman" w:cs="Times New Roman"/>
      <w:b/>
      <w:lang w:val="en-NZ" w:eastAsia="ko-KR"/>
    </w:rPr>
  </w:style>
  <w:style w:type="table" w:customStyle="1" w:styleId="PlainTable41">
    <w:name w:val="Plain Table 41"/>
    <w:basedOn w:val="TableNormal"/>
    <w:uiPriority w:val="44"/>
    <w:rsid w:val="00C91950"/>
    <w:pPr>
      <w:spacing w:after="0" w:line="240" w:lineRule="auto"/>
    </w:pPr>
    <w:rPr>
      <w:rFonts w:ascii="Cambria" w:eastAsia="MS Mincho" w:hAnsi="Cambria" w:cs="Cambria"/>
      <w:color w:val="000000"/>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41"/>
    <w:rsid w:val="00C91950"/>
    <w:pPr>
      <w:keepNext/>
      <w:keepLines/>
      <w:spacing w:before="100" w:beforeAutospacing="1" w:after="100" w:afterAutospacing="1" w:line="240" w:lineRule="auto"/>
      <w:jc w:val="right"/>
    </w:pPr>
    <w:rPr>
      <w:rFonts w:ascii="Arial" w:eastAsia="Calibri" w:hAnsi="Arial" w:cs="Times New Roman"/>
      <w:sz w:val="20"/>
      <w:szCs w:val="20"/>
    </w:rPr>
    <w:tblPr>
      <w:tblBorders>
        <w:top w:val="single" w:sz="4" w:space="0" w:color="auto"/>
        <w:bottom w:val="single" w:sz="4" w:space="0" w:color="auto"/>
      </w:tblBorders>
      <w:tblCellMar>
        <w:left w:w="115" w:type="dxa"/>
        <w:right w:w="115" w:type="dxa"/>
      </w:tblCellMar>
    </w:tblPr>
    <w:tcPr>
      <w:shd w:val="clear" w:color="auto" w:fill="auto"/>
      <w:vAlign w:val="center"/>
    </w:tcPr>
    <w:tblStylePr w:type="firstRow">
      <w:pPr>
        <w:wordWrap/>
        <w:spacing w:beforeLines="0" w:before="100" w:beforeAutospacing="1" w:afterLines="0" w:after="100" w:afterAutospacing="1"/>
        <w:jc w:val="center"/>
      </w:pPr>
      <w:rPr>
        <w:rFonts w:ascii="Arial" w:hAnsi="Arial"/>
        <w:b/>
        <w:bCs/>
        <w:sz w:val="20"/>
      </w:rPr>
      <w:tblPr/>
      <w:tcPr>
        <w:tcBorders>
          <w:top w:val="single" w:sz="4" w:space="0" w:color="auto"/>
          <w:bottom w:val="single" w:sz="4" w:space="0" w:color="auto"/>
        </w:tcBorders>
        <w:vAlign w:val="bottom"/>
      </w:tcPr>
    </w:tblStylePr>
    <w:tblStylePr w:type="lastRow">
      <w:rPr>
        <w:rFonts w:ascii="Arial" w:hAnsi="Arial"/>
        <w:b/>
        <w:bCs/>
        <w:i w:val="0"/>
        <w:sz w:val="20"/>
      </w:rPr>
      <w:tblPr/>
      <w:tcPr>
        <w:tcBorders>
          <w:top w:val="nil"/>
          <w:left w:val="nil"/>
          <w:bottom w:val="single" w:sz="4" w:space="0" w:color="auto"/>
          <w:right w:val="nil"/>
          <w:insideH w:val="nil"/>
          <w:insideV w:val="nil"/>
        </w:tcBorders>
        <w:shd w:val="clear" w:color="auto" w:fill="auto"/>
      </w:tcPr>
    </w:tblStylePr>
    <w:tblStylePr w:type="firstCol">
      <w:pPr>
        <w:jc w:val="left"/>
      </w:pPr>
      <w:rPr>
        <w:rFonts w:ascii="Arial" w:hAnsi="Arial"/>
        <w:b w:val="0"/>
        <w:bCs/>
        <w:sz w:val="20"/>
      </w:rPr>
    </w:tblStylePr>
    <w:tblStylePr w:type="lastCol">
      <w:rPr>
        <w:rFonts w:ascii="Arial" w:hAnsi="Arial"/>
        <w:b/>
        <w:bCs/>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cpfc.int/node/27769" TargetMode="External"/><Relationship Id="rId18" Type="http://schemas.openxmlformats.org/officeDocument/2006/relationships/hyperlink" Target="https://meetings.wcpfc.int/node/12528" TargetMode="External"/><Relationship Id="rId3" Type="http://schemas.openxmlformats.org/officeDocument/2006/relationships/styles" Target="styles.xml"/><Relationship Id="rId21" Type="http://schemas.openxmlformats.org/officeDocument/2006/relationships/hyperlink" Target="https://wcpfc.int/node/27549" TargetMode="External"/><Relationship Id="rId7" Type="http://schemas.openxmlformats.org/officeDocument/2006/relationships/endnotes" Target="endnotes.xml"/><Relationship Id="rId12" Type="http://schemas.openxmlformats.org/officeDocument/2006/relationships/hyperlink" Target="https://www.wcpfc.int/node/27769" TargetMode="External"/><Relationship Id="rId17" Type="http://schemas.openxmlformats.org/officeDocument/2006/relationships/hyperlink" Target="https://meetings.wcpfc.int/node/1255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isc.fra.go.jp/reports/isc/isc18_repor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cpfc.int/node/275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cpfc.int/node/4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0824-E518-45AD-A2A1-89929084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Elaine G. Garvilles</cp:lastModifiedBy>
  <cp:revision>3</cp:revision>
  <dcterms:created xsi:type="dcterms:W3CDTF">2022-02-17T01:40:00Z</dcterms:created>
  <dcterms:modified xsi:type="dcterms:W3CDTF">2022-02-17T01:50:00Z</dcterms:modified>
</cp:coreProperties>
</file>