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4F5506" w:rsidP="004B05DF">
      <w:pPr>
        <w:spacing w:after="0" w:line="240" w:lineRule="auto"/>
        <w:jc w:val="center"/>
        <w:rPr>
          <w:b/>
          <w:sz w:val="36"/>
          <w:szCs w:val="36"/>
        </w:rPr>
      </w:pPr>
      <w:r>
        <w:rPr>
          <w:b/>
          <w:sz w:val="36"/>
          <w:szCs w:val="36"/>
        </w:rPr>
        <w:t>Oceanic Whitetip Shark</w:t>
      </w:r>
      <w:r w:rsidR="007A432D">
        <w:rPr>
          <w:b/>
          <w:sz w:val="36"/>
          <w:szCs w:val="36"/>
        </w:rPr>
        <w:t xml:space="preserve"> </w:t>
      </w:r>
      <w:r w:rsidR="004B05DF" w:rsidRPr="004B05DF">
        <w:rPr>
          <w:b/>
          <w:sz w:val="36"/>
          <w:szCs w:val="36"/>
        </w:rPr>
        <w:t>(</w:t>
      </w:r>
      <w:r w:rsidRPr="004F5506">
        <w:rPr>
          <w:b/>
          <w:sz w:val="36"/>
          <w:szCs w:val="36"/>
        </w:rPr>
        <w:t>Carcharhinus longimanus</w:t>
      </w:r>
      <w:r w:rsidR="007A432D">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D97911" w:rsidRDefault="004B05D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04731668" w:history="1">
            <w:r w:rsidR="00D97911" w:rsidRPr="00FC0A43">
              <w:rPr>
                <w:rStyle w:val="Hyperlink"/>
                <w:noProof/>
              </w:rPr>
              <w:t>SC13 2017</w:t>
            </w:r>
            <w:r w:rsidR="00D97911">
              <w:rPr>
                <w:noProof/>
                <w:webHidden/>
              </w:rPr>
              <w:tab/>
            </w:r>
            <w:r w:rsidR="00D97911">
              <w:rPr>
                <w:noProof/>
                <w:webHidden/>
              </w:rPr>
              <w:fldChar w:fldCharType="begin"/>
            </w:r>
            <w:r w:rsidR="00D97911">
              <w:rPr>
                <w:noProof/>
                <w:webHidden/>
              </w:rPr>
              <w:instrText xml:space="preserve"> PAGEREF _Toc504731668 \h </w:instrText>
            </w:r>
            <w:r w:rsidR="00D97911">
              <w:rPr>
                <w:noProof/>
                <w:webHidden/>
              </w:rPr>
            </w:r>
            <w:r w:rsidR="00D97911">
              <w:rPr>
                <w:noProof/>
                <w:webHidden/>
              </w:rPr>
              <w:fldChar w:fldCharType="separate"/>
            </w:r>
            <w:r w:rsidR="00D97911">
              <w:rPr>
                <w:noProof/>
                <w:webHidden/>
              </w:rPr>
              <w:t>1</w:t>
            </w:r>
            <w:r w:rsidR="00D97911">
              <w:rPr>
                <w:noProof/>
                <w:webHidden/>
              </w:rPr>
              <w:fldChar w:fldCharType="end"/>
            </w:r>
          </w:hyperlink>
        </w:p>
        <w:p w:rsidR="00D97911" w:rsidRDefault="00060D13">
          <w:pPr>
            <w:pStyle w:val="TOC1"/>
            <w:tabs>
              <w:tab w:val="right" w:leader="dot" w:pos="9350"/>
            </w:tabs>
            <w:rPr>
              <w:rFonts w:eastAsiaTheme="minorEastAsia"/>
              <w:noProof/>
            </w:rPr>
          </w:pPr>
          <w:hyperlink w:anchor="_Toc504731669" w:history="1">
            <w:r w:rsidR="00D97911" w:rsidRPr="00FC0A43">
              <w:rPr>
                <w:rStyle w:val="Hyperlink"/>
                <w:noProof/>
              </w:rPr>
              <w:t>SC12 2016</w:t>
            </w:r>
            <w:r w:rsidR="00D97911">
              <w:rPr>
                <w:noProof/>
                <w:webHidden/>
              </w:rPr>
              <w:tab/>
            </w:r>
            <w:r w:rsidR="00D97911">
              <w:rPr>
                <w:noProof/>
                <w:webHidden/>
              </w:rPr>
              <w:fldChar w:fldCharType="begin"/>
            </w:r>
            <w:r w:rsidR="00D97911">
              <w:rPr>
                <w:noProof/>
                <w:webHidden/>
              </w:rPr>
              <w:instrText xml:space="preserve"> PAGEREF _Toc504731669 \h </w:instrText>
            </w:r>
            <w:r w:rsidR="00D97911">
              <w:rPr>
                <w:noProof/>
                <w:webHidden/>
              </w:rPr>
            </w:r>
            <w:r w:rsidR="00D97911">
              <w:rPr>
                <w:noProof/>
                <w:webHidden/>
              </w:rPr>
              <w:fldChar w:fldCharType="separate"/>
            </w:r>
            <w:r w:rsidR="00D97911">
              <w:rPr>
                <w:noProof/>
                <w:webHidden/>
              </w:rPr>
              <w:t>1</w:t>
            </w:r>
            <w:r w:rsidR="00D97911">
              <w:rPr>
                <w:noProof/>
                <w:webHidden/>
              </w:rPr>
              <w:fldChar w:fldCharType="end"/>
            </w:r>
          </w:hyperlink>
        </w:p>
        <w:p w:rsidR="00D97911" w:rsidRDefault="00060D13">
          <w:pPr>
            <w:pStyle w:val="TOC1"/>
            <w:tabs>
              <w:tab w:val="right" w:leader="dot" w:pos="9350"/>
            </w:tabs>
            <w:rPr>
              <w:rFonts w:eastAsiaTheme="minorEastAsia"/>
              <w:noProof/>
            </w:rPr>
          </w:pPr>
          <w:hyperlink w:anchor="_Toc504731670" w:history="1">
            <w:r w:rsidR="00D97911" w:rsidRPr="00FC0A43">
              <w:rPr>
                <w:rStyle w:val="Hyperlink"/>
                <w:noProof/>
              </w:rPr>
              <w:t>SC11 2015</w:t>
            </w:r>
            <w:r w:rsidR="00D97911">
              <w:rPr>
                <w:noProof/>
                <w:webHidden/>
              </w:rPr>
              <w:tab/>
            </w:r>
            <w:r w:rsidR="00D97911">
              <w:rPr>
                <w:noProof/>
                <w:webHidden/>
              </w:rPr>
              <w:fldChar w:fldCharType="begin"/>
            </w:r>
            <w:r w:rsidR="00D97911">
              <w:rPr>
                <w:noProof/>
                <w:webHidden/>
              </w:rPr>
              <w:instrText xml:space="preserve"> PAGEREF _Toc504731670 \h </w:instrText>
            </w:r>
            <w:r w:rsidR="00D97911">
              <w:rPr>
                <w:noProof/>
                <w:webHidden/>
              </w:rPr>
            </w:r>
            <w:r w:rsidR="00D97911">
              <w:rPr>
                <w:noProof/>
                <w:webHidden/>
              </w:rPr>
              <w:fldChar w:fldCharType="separate"/>
            </w:r>
            <w:r w:rsidR="00D97911">
              <w:rPr>
                <w:noProof/>
                <w:webHidden/>
              </w:rPr>
              <w:t>2</w:t>
            </w:r>
            <w:r w:rsidR="00D97911">
              <w:rPr>
                <w:noProof/>
                <w:webHidden/>
              </w:rPr>
              <w:fldChar w:fldCharType="end"/>
            </w:r>
          </w:hyperlink>
        </w:p>
        <w:p w:rsidR="00D97911" w:rsidRDefault="00060D13">
          <w:pPr>
            <w:pStyle w:val="TOC1"/>
            <w:tabs>
              <w:tab w:val="right" w:leader="dot" w:pos="9350"/>
            </w:tabs>
            <w:rPr>
              <w:rFonts w:eastAsiaTheme="minorEastAsia"/>
              <w:noProof/>
            </w:rPr>
          </w:pPr>
          <w:hyperlink w:anchor="_Toc504731671" w:history="1">
            <w:r w:rsidR="00D97911" w:rsidRPr="00FC0A43">
              <w:rPr>
                <w:rStyle w:val="Hyperlink"/>
                <w:noProof/>
              </w:rPr>
              <w:t>SC10 2014</w:t>
            </w:r>
            <w:r w:rsidR="00D97911">
              <w:rPr>
                <w:noProof/>
                <w:webHidden/>
              </w:rPr>
              <w:tab/>
            </w:r>
            <w:r w:rsidR="00D97911">
              <w:rPr>
                <w:noProof/>
                <w:webHidden/>
              </w:rPr>
              <w:fldChar w:fldCharType="begin"/>
            </w:r>
            <w:r w:rsidR="00D97911">
              <w:rPr>
                <w:noProof/>
                <w:webHidden/>
              </w:rPr>
              <w:instrText xml:space="preserve"> PAGEREF _Toc504731671 \h </w:instrText>
            </w:r>
            <w:r w:rsidR="00D97911">
              <w:rPr>
                <w:noProof/>
                <w:webHidden/>
              </w:rPr>
            </w:r>
            <w:r w:rsidR="00D97911">
              <w:rPr>
                <w:noProof/>
                <w:webHidden/>
              </w:rPr>
              <w:fldChar w:fldCharType="separate"/>
            </w:r>
            <w:r w:rsidR="00D97911">
              <w:rPr>
                <w:noProof/>
                <w:webHidden/>
              </w:rPr>
              <w:t>2</w:t>
            </w:r>
            <w:r w:rsidR="00D97911">
              <w:rPr>
                <w:noProof/>
                <w:webHidden/>
              </w:rPr>
              <w:fldChar w:fldCharType="end"/>
            </w:r>
          </w:hyperlink>
        </w:p>
        <w:p w:rsidR="00D97911" w:rsidRDefault="00060D13">
          <w:pPr>
            <w:pStyle w:val="TOC1"/>
            <w:tabs>
              <w:tab w:val="right" w:leader="dot" w:pos="9350"/>
            </w:tabs>
            <w:rPr>
              <w:rFonts w:eastAsiaTheme="minorEastAsia"/>
              <w:noProof/>
            </w:rPr>
          </w:pPr>
          <w:hyperlink w:anchor="_Toc504731672" w:history="1">
            <w:r w:rsidR="00D97911" w:rsidRPr="00FC0A43">
              <w:rPr>
                <w:rStyle w:val="Hyperlink"/>
                <w:noProof/>
              </w:rPr>
              <w:t>SC9 2013</w:t>
            </w:r>
            <w:r w:rsidR="00D97911">
              <w:rPr>
                <w:noProof/>
                <w:webHidden/>
              </w:rPr>
              <w:tab/>
            </w:r>
            <w:r w:rsidR="00D97911">
              <w:rPr>
                <w:noProof/>
                <w:webHidden/>
              </w:rPr>
              <w:fldChar w:fldCharType="begin"/>
            </w:r>
            <w:r w:rsidR="00D97911">
              <w:rPr>
                <w:noProof/>
                <w:webHidden/>
              </w:rPr>
              <w:instrText xml:space="preserve"> PAGEREF _Toc504731672 \h </w:instrText>
            </w:r>
            <w:r w:rsidR="00D97911">
              <w:rPr>
                <w:noProof/>
                <w:webHidden/>
              </w:rPr>
            </w:r>
            <w:r w:rsidR="00D97911">
              <w:rPr>
                <w:noProof/>
                <w:webHidden/>
              </w:rPr>
              <w:fldChar w:fldCharType="separate"/>
            </w:r>
            <w:r w:rsidR="00D97911">
              <w:rPr>
                <w:noProof/>
                <w:webHidden/>
              </w:rPr>
              <w:t>2</w:t>
            </w:r>
            <w:r w:rsidR="00D97911">
              <w:rPr>
                <w:noProof/>
                <w:webHidden/>
              </w:rPr>
              <w:fldChar w:fldCharType="end"/>
            </w:r>
          </w:hyperlink>
        </w:p>
        <w:p w:rsidR="00D97911" w:rsidRDefault="00060D13">
          <w:pPr>
            <w:pStyle w:val="TOC1"/>
            <w:tabs>
              <w:tab w:val="right" w:leader="dot" w:pos="9350"/>
            </w:tabs>
            <w:rPr>
              <w:rFonts w:eastAsiaTheme="minorEastAsia"/>
              <w:noProof/>
            </w:rPr>
          </w:pPr>
          <w:hyperlink w:anchor="_Toc504731673" w:history="1">
            <w:r w:rsidR="00D97911" w:rsidRPr="00FC0A43">
              <w:rPr>
                <w:rStyle w:val="Hyperlink"/>
                <w:noProof/>
              </w:rPr>
              <w:t>SC8 2012 (Stock Assessment Conducted)</w:t>
            </w:r>
            <w:r w:rsidR="00D97911">
              <w:rPr>
                <w:noProof/>
                <w:webHidden/>
              </w:rPr>
              <w:tab/>
            </w:r>
            <w:r w:rsidR="00D97911">
              <w:rPr>
                <w:noProof/>
                <w:webHidden/>
              </w:rPr>
              <w:fldChar w:fldCharType="begin"/>
            </w:r>
            <w:r w:rsidR="00D97911">
              <w:rPr>
                <w:noProof/>
                <w:webHidden/>
              </w:rPr>
              <w:instrText xml:space="preserve"> PAGEREF _Toc504731673 \h </w:instrText>
            </w:r>
            <w:r w:rsidR="00D97911">
              <w:rPr>
                <w:noProof/>
                <w:webHidden/>
              </w:rPr>
            </w:r>
            <w:r w:rsidR="00D97911">
              <w:rPr>
                <w:noProof/>
                <w:webHidden/>
              </w:rPr>
              <w:fldChar w:fldCharType="separate"/>
            </w:r>
            <w:r w:rsidR="00D97911">
              <w:rPr>
                <w:noProof/>
                <w:webHidden/>
              </w:rPr>
              <w:t>3</w:t>
            </w:r>
            <w:r w:rsidR="00D97911">
              <w:rPr>
                <w:noProof/>
                <w:webHidden/>
              </w:rPr>
              <w:fldChar w:fldCharType="end"/>
            </w:r>
          </w:hyperlink>
        </w:p>
        <w:p w:rsidR="00D97911" w:rsidRDefault="00060D13">
          <w:pPr>
            <w:pStyle w:val="TOC1"/>
            <w:tabs>
              <w:tab w:val="right" w:leader="dot" w:pos="9350"/>
            </w:tabs>
            <w:rPr>
              <w:rFonts w:eastAsiaTheme="minorEastAsia"/>
              <w:noProof/>
            </w:rPr>
          </w:pPr>
          <w:hyperlink w:anchor="_Toc504731674" w:history="1">
            <w:r w:rsidR="00D97911" w:rsidRPr="00FC0A43">
              <w:rPr>
                <w:rStyle w:val="Hyperlink"/>
                <w:rFonts w:eastAsia="MS Mincho"/>
                <w:noProof/>
                <w:lang w:val="en-NZ" w:eastAsia="en-NZ"/>
              </w:rPr>
              <w:t>Useful References</w:t>
            </w:r>
            <w:r w:rsidR="00D97911">
              <w:rPr>
                <w:noProof/>
                <w:webHidden/>
              </w:rPr>
              <w:tab/>
            </w:r>
            <w:r w:rsidR="00D97911">
              <w:rPr>
                <w:noProof/>
                <w:webHidden/>
              </w:rPr>
              <w:fldChar w:fldCharType="begin"/>
            </w:r>
            <w:r w:rsidR="00D97911">
              <w:rPr>
                <w:noProof/>
                <w:webHidden/>
              </w:rPr>
              <w:instrText xml:space="preserve"> PAGEREF _Toc504731674 \h </w:instrText>
            </w:r>
            <w:r w:rsidR="00D97911">
              <w:rPr>
                <w:noProof/>
                <w:webHidden/>
              </w:rPr>
            </w:r>
            <w:r w:rsidR="00D97911">
              <w:rPr>
                <w:noProof/>
                <w:webHidden/>
              </w:rPr>
              <w:fldChar w:fldCharType="separate"/>
            </w:r>
            <w:r w:rsidR="00D97911">
              <w:rPr>
                <w:noProof/>
                <w:webHidden/>
              </w:rPr>
              <w:t>8</w:t>
            </w:r>
            <w:r w:rsidR="00D97911">
              <w:rPr>
                <w:noProof/>
                <w:webHidden/>
              </w:rPr>
              <w:fldChar w:fldCharType="end"/>
            </w:r>
          </w:hyperlink>
        </w:p>
        <w:p w:rsidR="004B05DF" w:rsidRDefault="004B05DF">
          <w:r>
            <w:rPr>
              <w:b/>
              <w:bCs/>
              <w:noProof/>
            </w:rPr>
            <w:fldChar w:fldCharType="end"/>
          </w:r>
        </w:p>
      </w:sdtContent>
    </w:sdt>
    <w:p w:rsidR="004B05DF" w:rsidRDefault="004B05DF" w:rsidP="004B05DF">
      <w:pPr>
        <w:pStyle w:val="Heading1"/>
      </w:pPr>
      <w:bookmarkStart w:id="0" w:name="_Toc504731668"/>
      <w:r>
        <w:t>SC13 2017</w:t>
      </w:r>
      <w:bookmarkEnd w:id="0"/>
    </w:p>
    <w:p w:rsidR="006D1BC2" w:rsidRPr="009C2ADD" w:rsidRDefault="006D1BC2" w:rsidP="006D1BC2">
      <w:pPr>
        <w:adjustRightInd w:val="0"/>
        <w:snapToGrid w:val="0"/>
        <w:spacing w:after="0"/>
        <w:outlineLvl w:val="6"/>
        <w:rPr>
          <w:rFonts w:ascii="Times New Roman" w:hAnsi="Times New Roman"/>
          <w:b/>
          <w:lang w:val="en-AU" w:eastAsia="ko-KR"/>
        </w:rPr>
      </w:pPr>
    </w:p>
    <w:p w:rsidR="004F5506" w:rsidRPr="009C2ADD" w:rsidRDefault="004F5506" w:rsidP="004F5506">
      <w:pPr>
        <w:pStyle w:val="WCPFC"/>
        <w:numPr>
          <w:ilvl w:val="0"/>
          <w:numId w:val="21"/>
        </w:numPr>
        <w:adjustRightInd w:val="0"/>
        <w:spacing w:after="0"/>
        <w:ind w:left="0" w:firstLine="0"/>
        <w:rPr>
          <w:b/>
          <w:lang w:val="en-AU"/>
        </w:rPr>
      </w:pPr>
      <w:r w:rsidRPr="009C2ADD">
        <w:rPr>
          <w:b/>
          <w:lang w:val="en-AU"/>
        </w:rPr>
        <w:t>Stock status and trends</w:t>
      </w:r>
    </w:p>
    <w:p w:rsidR="004F5506" w:rsidRPr="009C2ADD" w:rsidRDefault="004F5506" w:rsidP="004F5506">
      <w:pPr>
        <w:pStyle w:val="WCPFC"/>
        <w:numPr>
          <w:ilvl w:val="0"/>
          <w:numId w:val="0"/>
        </w:numPr>
        <w:adjustRightInd w:val="0"/>
        <w:spacing w:after="0"/>
        <w:ind w:left="720"/>
        <w:rPr>
          <w:b/>
          <w:lang w:val="en-AU"/>
        </w:rPr>
      </w:pPr>
    </w:p>
    <w:p w:rsidR="004F5506" w:rsidRPr="004F5506" w:rsidRDefault="004F5506" w:rsidP="004F5506">
      <w:pPr>
        <w:numPr>
          <w:ilvl w:val="0"/>
          <w:numId w:val="2"/>
        </w:numPr>
        <w:autoSpaceDE w:val="0"/>
        <w:autoSpaceDN w:val="0"/>
        <w:adjustRightInd w:val="0"/>
        <w:snapToGrid w:val="0"/>
        <w:spacing w:after="0" w:line="240" w:lineRule="auto"/>
        <w:ind w:left="0" w:firstLine="0"/>
        <w:jc w:val="both"/>
        <w:rPr>
          <w:rFonts w:ascii="Times New Roman" w:hAnsi="Times New Roman"/>
          <w:b/>
          <w:bCs/>
          <w:lang w:val="en-AU"/>
        </w:rPr>
      </w:pPr>
      <w:r w:rsidRPr="004F5506">
        <w:rPr>
          <w:rFonts w:ascii="Times New Roman" w:hAnsi="Times New Roman"/>
          <w:b/>
          <w:bCs/>
          <w:lang w:val="en-AU"/>
        </w:rPr>
        <w:t xml:space="preserve">SC13 noted that no stock assessments were conducted for these shark species in 2017. Therefore, the stock status descriptions from SC8 are still current for oceanic whitetip shark respectively. Updated information on catches was not compiled for and reviewed by SC13. </w:t>
      </w:r>
    </w:p>
    <w:p w:rsidR="004F5506" w:rsidRPr="009C2ADD" w:rsidRDefault="004F5506" w:rsidP="004F5506">
      <w:pPr>
        <w:autoSpaceDE w:val="0"/>
        <w:autoSpaceDN w:val="0"/>
        <w:adjustRightInd w:val="0"/>
        <w:snapToGrid w:val="0"/>
        <w:spacing w:after="0"/>
        <w:rPr>
          <w:rFonts w:ascii="Times New Roman" w:hAnsi="Times New Roman"/>
          <w:b/>
          <w:lang w:val="en-AU"/>
        </w:rPr>
      </w:pPr>
    </w:p>
    <w:p w:rsidR="004F5506" w:rsidRPr="009C2ADD" w:rsidRDefault="004F5506" w:rsidP="004F5506">
      <w:pPr>
        <w:pStyle w:val="WCPFC"/>
        <w:numPr>
          <w:ilvl w:val="0"/>
          <w:numId w:val="21"/>
        </w:numPr>
        <w:adjustRightInd w:val="0"/>
        <w:spacing w:after="0"/>
        <w:ind w:left="0" w:firstLine="0"/>
        <w:rPr>
          <w:b/>
          <w:lang w:val="en-AU"/>
        </w:rPr>
      </w:pPr>
      <w:r w:rsidRPr="009C2ADD">
        <w:rPr>
          <w:b/>
          <w:lang w:val="en-AU"/>
        </w:rPr>
        <w:t>Management advice and implications</w:t>
      </w:r>
    </w:p>
    <w:p w:rsidR="004F5506" w:rsidRPr="009C2ADD" w:rsidRDefault="004F5506" w:rsidP="004F5506">
      <w:pPr>
        <w:pStyle w:val="WCPFC"/>
        <w:numPr>
          <w:ilvl w:val="0"/>
          <w:numId w:val="0"/>
        </w:numPr>
        <w:adjustRightInd w:val="0"/>
        <w:spacing w:after="0"/>
        <w:ind w:left="720"/>
        <w:rPr>
          <w:b/>
          <w:lang w:val="en-AU"/>
        </w:rPr>
      </w:pPr>
    </w:p>
    <w:p w:rsidR="004F5506" w:rsidRPr="008078D7" w:rsidRDefault="004F5506" w:rsidP="004F5506">
      <w:pPr>
        <w:numPr>
          <w:ilvl w:val="0"/>
          <w:numId w:val="2"/>
        </w:numPr>
        <w:autoSpaceDE w:val="0"/>
        <w:autoSpaceDN w:val="0"/>
        <w:adjustRightInd w:val="0"/>
        <w:snapToGrid w:val="0"/>
        <w:spacing w:after="0" w:line="240" w:lineRule="auto"/>
        <w:ind w:left="0" w:firstLine="0"/>
        <w:jc w:val="both"/>
        <w:rPr>
          <w:rFonts w:ascii="Times New Roman" w:hAnsi="Times New Roman"/>
          <w:b/>
          <w:bCs/>
          <w:lang w:val="en-AU"/>
        </w:rPr>
      </w:pPr>
      <w:r w:rsidRPr="008078D7">
        <w:rPr>
          <w:rFonts w:ascii="Times New Roman" w:hAnsi="Times New Roman"/>
          <w:b/>
          <w:bCs/>
          <w:lang w:val="en-AU"/>
        </w:rPr>
        <w:t>SC13 noted that no management advice has been provided since SC8 for oceanic whitetip shark. Therefore, previous advice should be maintained, pending a new assessment or other new information.</w:t>
      </w:r>
    </w:p>
    <w:p w:rsidR="007A432D" w:rsidRDefault="007A432D" w:rsidP="004F5329"/>
    <w:p w:rsidR="007A432D" w:rsidRDefault="007A432D" w:rsidP="007A432D">
      <w:pPr>
        <w:pStyle w:val="Heading1"/>
      </w:pPr>
      <w:bookmarkStart w:id="1" w:name="_Toc504731669"/>
      <w:bookmarkStart w:id="2" w:name="_Hlk497292393"/>
      <w:bookmarkStart w:id="3" w:name="_Hlk497298628"/>
      <w:r>
        <w:t>SC12 2016</w:t>
      </w:r>
      <w:bookmarkEnd w:id="1"/>
    </w:p>
    <w:bookmarkEnd w:id="2"/>
    <w:p w:rsidR="007A432D" w:rsidRDefault="007A432D" w:rsidP="004F5329"/>
    <w:bookmarkEnd w:id="3"/>
    <w:p w:rsidR="004F5506" w:rsidRDefault="004F5506" w:rsidP="004F5506">
      <w:pPr>
        <w:pStyle w:val="WCPFC"/>
        <w:numPr>
          <w:ilvl w:val="0"/>
          <w:numId w:val="24"/>
        </w:numPr>
        <w:adjustRightInd w:val="0"/>
        <w:spacing w:after="0"/>
        <w:ind w:hanging="720"/>
        <w:rPr>
          <w:b/>
          <w:lang w:val="en-AU"/>
        </w:rPr>
      </w:pPr>
      <w:r w:rsidRPr="004F5506">
        <w:rPr>
          <w:b/>
          <w:lang w:val="en-AU"/>
        </w:rPr>
        <w:t>Stock status and trends</w:t>
      </w:r>
    </w:p>
    <w:p w:rsidR="004F5506" w:rsidRPr="004F5506" w:rsidRDefault="004F5506" w:rsidP="004F5506">
      <w:pPr>
        <w:pStyle w:val="WCPFC"/>
        <w:numPr>
          <w:ilvl w:val="0"/>
          <w:numId w:val="0"/>
        </w:numPr>
        <w:adjustRightInd w:val="0"/>
        <w:spacing w:after="0"/>
        <w:rPr>
          <w:b/>
          <w:lang w:val="en-AU"/>
        </w:rPr>
      </w:pPr>
    </w:p>
    <w:p w:rsidR="004F5506" w:rsidRPr="00662464" w:rsidRDefault="004F5506" w:rsidP="004F5506">
      <w:pPr>
        <w:pStyle w:val="WCPFC"/>
        <w:ind w:left="0" w:firstLine="0"/>
        <w:rPr>
          <w:rFonts w:cs="Times New Roman"/>
          <w:b/>
        </w:rPr>
      </w:pPr>
      <w:r w:rsidRPr="00662464">
        <w:rPr>
          <w:rFonts w:cs="Times New Roman"/>
          <w:b/>
        </w:rPr>
        <w:t xml:space="preserve">SC12 noted that no stock assessments were conducted for these shark species in 2016. Therefore, the stock status descriptions from SC8, SC9, and SC10 are still current for oceanic whitetip shark, silky shark, and North Pacific blue shark respectively. Updated information on catches was not compiled for and reviewed by SC12. </w:t>
      </w:r>
    </w:p>
    <w:p w:rsidR="004F5506" w:rsidRDefault="004F5506" w:rsidP="004F5506">
      <w:pPr>
        <w:pStyle w:val="WCPFC"/>
        <w:numPr>
          <w:ilvl w:val="0"/>
          <w:numId w:val="24"/>
        </w:numPr>
        <w:adjustRightInd w:val="0"/>
        <w:spacing w:after="0"/>
        <w:ind w:left="0" w:firstLine="0"/>
        <w:rPr>
          <w:b/>
          <w:lang w:val="en-AU"/>
        </w:rPr>
      </w:pPr>
      <w:r w:rsidRPr="004F5506">
        <w:rPr>
          <w:b/>
          <w:lang w:val="en-AU"/>
        </w:rPr>
        <w:t>Management advice and implications</w:t>
      </w:r>
    </w:p>
    <w:p w:rsidR="004F5506" w:rsidRPr="004F5506" w:rsidRDefault="004F5506" w:rsidP="004F5506">
      <w:pPr>
        <w:pStyle w:val="WCPFC"/>
        <w:numPr>
          <w:ilvl w:val="0"/>
          <w:numId w:val="0"/>
        </w:numPr>
        <w:adjustRightInd w:val="0"/>
        <w:spacing w:after="0"/>
        <w:rPr>
          <w:b/>
          <w:lang w:val="en-AU"/>
        </w:rPr>
      </w:pPr>
    </w:p>
    <w:p w:rsidR="004F5506" w:rsidRPr="00662464" w:rsidRDefault="004F5506" w:rsidP="004F5506">
      <w:pPr>
        <w:pStyle w:val="WCPFC"/>
        <w:ind w:left="0" w:firstLine="0"/>
        <w:rPr>
          <w:rFonts w:cs="Times New Roman"/>
          <w:b/>
        </w:rPr>
      </w:pPr>
      <w:r w:rsidRPr="00662464">
        <w:rPr>
          <w:rFonts w:cs="Times New Roman"/>
          <w:b/>
        </w:rPr>
        <w:lastRenderedPageBreak/>
        <w:t>SC12 noted that no management advice has been provided since SC8, SC9, and SC10 for oceanic whitetip shark, silky shark, and North Pacific blue shark, respectively. Therefore, previous advice should be maintained, pending a new assessment or other new information.</w:t>
      </w:r>
    </w:p>
    <w:p w:rsidR="004F5506" w:rsidRDefault="004F5506" w:rsidP="0086258F">
      <w:pPr>
        <w:pStyle w:val="Heading1"/>
      </w:pPr>
    </w:p>
    <w:p w:rsidR="0086258F" w:rsidRDefault="0086258F" w:rsidP="0086258F">
      <w:pPr>
        <w:pStyle w:val="Heading1"/>
      </w:pPr>
      <w:bookmarkStart w:id="4" w:name="_Toc504731670"/>
      <w:r>
        <w:t>SC11 2015</w:t>
      </w:r>
      <w:bookmarkEnd w:id="4"/>
    </w:p>
    <w:p w:rsidR="004F5506" w:rsidRPr="004F5506" w:rsidRDefault="004F5506" w:rsidP="004F5506"/>
    <w:p w:rsidR="004F5506" w:rsidRPr="004F5506" w:rsidRDefault="004F5506" w:rsidP="004F5506">
      <w:pPr>
        <w:pStyle w:val="WCPFC"/>
        <w:numPr>
          <w:ilvl w:val="0"/>
          <w:numId w:val="0"/>
        </w:numPr>
        <w:adjustRightInd w:val="0"/>
        <w:spacing w:after="0"/>
        <w:ind w:left="567" w:hanging="567"/>
        <w:rPr>
          <w:b/>
          <w:lang w:val="en-AU"/>
        </w:rPr>
      </w:pPr>
      <w:r w:rsidRPr="004F5506">
        <w:rPr>
          <w:b/>
          <w:lang w:val="en-AU"/>
        </w:rPr>
        <w:t>a.</w:t>
      </w:r>
      <w:r w:rsidRPr="004F5506">
        <w:rPr>
          <w:b/>
          <w:lang w:val="en-AU"/>
        </w:rPr>
        <w:tab/>
        <w:t>Status and trends</w:t>
      </w:r>
    </w:p>
    <w:p w:rsidR="004F5506" w:rsidRPr="004F5506" w:rsidRDefault="004F5506" w:rsidP="004F5506">
      <w:pPr>
        <w:spacing w:after="0" w:line="240" w:lineRule="auto"/>
        <w:rPr>
          <w:rFonts w:ascii="Times New Roman" w:eastAsia="MS Mincho" w:hAnsi="Times New Roman" w:cs="Times New Roman"/>
          <w:lang w:val="en-NZ" w:eastAsia="en-NZ"/>
        </w:rPr>
      </w:pPr>
    </w:p>
    <w:p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SC11 noted that no stock assessment</w:t>
      </w:r>
      <w:r w:rsidRPr="004F5506">
        <w:rPr>
          <w:rFonts w:ascii="Times New Roman" w:eastAsia="Malgun Gothic" w:hAnsi="Times New Roman" w:cs="Times New Roman" w:hint="eastAsia"/>
          <w:b/>
          <w:color w:val="000000"/>
          <w:lang w:val="en-NZ" w:eastAsia="ko-KR"/>
        </w:rPr>
        <w:t>s</w:t>
      </w:r>
      <w:r w:rsidRPr="004F5506">
        <w:rPr>
          <w:rFonts w:ascii="Times New Roman" w:eastAsia="MS Mincho" w:hAnsi="Times New Roman" w:cs="Times New Roman"/>
          <w:b/>
          <w:color w:val="000000"/>
          <w:lang w:val="en-NZ" w:eastAsia="en-NZ"/>
        </w:rPr>
        <w:t xml:space="preserve"> </w:t>
      </w:r>
      <w:r w:rsidRPr="004F5506">
        <w:rPr>
          <w:rFonts w:ascii="Times New Roman" w:eastAsia="Malgun Gothic" w:hAnsi="Times New Roman" w:cs="Times New Roman" w:hint="eastAsia"/>
          <w:b/>
          <w:color w:val="000000"/>
          <w:lang w:val="en-NZ" w:eastAsia="ko-KR"/>
        </w:rPr>
        <w:t>were</w:t>
      </w:r>
      <w:r w:rsidRPr="004F5506">
        <w:rPr>
          <w:rFonts w:ascii="Times New Roman" w:eastAsia="MS Mincho" w:hAnsi="Times New Roman" w:cs="Times New Roman"/>
          <w:b/>
          <w:color w:val="000000"/>
          <w:lang w:val="en-NZ" w:eastAsia="en-NZ"/>
        </w:rPr>
        <w:t xml:space="preserve"> conducted for </w:t>
      </w:r>
      <w:r w:rsidRPr="004F5506">
        <w:rPr>
          <w:rFonts w:ascii="Times New Roman" w:eastAsia="Malgun Gothic" w:hAnsi="Times New Roman" w:cs="Times New Roman" w:hint="eastAsia"/>
          <w:b/>
          <w:color w:val="000000"/>
          <w:lang w:val="en-NZ" w:eastAsia="ko-KR"/>
        </w:rPr>
        <w:t>these shark species</w:t>
      </w:r>
      <w:r w:rsidRPr="004F5506">
        <w:rPr>
          <w:rFonts w:ascii="Times New Roman" w:eastAsia="MS Mincho" w:hAnsi="Times New Roman" w:cs="Times New Roman"/>
          <w:b/>
          <w:color w:val="000000"/>
          <w:lang w:val="en-NZ" w:eastAsia="en-NZ"/>
        </w:rPr>
        <w:t xml:space="preserve"> in 2015. Therefore, the stock status description</w:t>
      </w:r>
      <w:r w:rsidRPr="004F5506">
        <w:rPr>
          <w:rFonts w:ascii="Times New Roman" w:eastAsia="Malgun Gothic" w:hAnsi="Times New Roman" w:cs="Times New Roman" w:hint="eastAsia"/>
          <w:b/>
          <w:color w:val="000000"/>
          <w:lang w:val="en-NZ" w:eastAsia="ko-KR"/>
        </w:rPr>
        <w:t>s</w:t>
      </w:r>
      <w:r w:rsidRPr="004F5506">
        <w:rPr>
          <w:rFonts w:ascii="Times New Roman" w:eastAsia="MS Mincho" w:hAnsi="Times New Roman" w:cs="Times New Roman"/>
          <w:b/>
          <w:color w:val="000000"/>
          <w:lang w:val="en-NZ" w:eastAsia="en-NZ"/>
        </w:rPr>
        <w:t xml:space="preserve"> from SC8</w:t>
      </w:r>
      <w:r w:rsidRPr="004F5506">
        <w:rPr>
          <w:rFonts w:ascii="Times New Roman" w:eastAsia="Malgun Gothic" w:hAnsi="Times New Roman" w:cs="Times New Roman" w:hint="eastAsia"/>
          <w:b/>
          <w:color w:val="000000"/>
          <w:lang w:val="en-NZ" w:eastAsia="ko-KR"/>
        </w:rPr>
        <w:t xml:space="preserve"> and SC9 are still current for oceanic whitetip shark and silky shark, respectively</w:t>
      </w:r>
      <w:r w:rsidRPr="004F5506">
        <w:rPr>
          <w:rFonts w:ascii="Times New Roman" w:eastAsia="MS Mincho" w:hAnsi="Times New Roman" w:cs="Times New Roman"/>
          <w:b/>
          <w:color w:val="000000"/>
          <w:lang w:val="en-NZ" w:eastAsia="en-NZ"/>
        </w:rPr>
        <w:t>.</w:t>
      </w:r>
      <w:r w:rsidRPr="004F5506">
        <w:rPr>
          <w:rFonts w:ascii="Times New Roman" w:eastAsia="Malgun Gothic" w:hAnsi="Times New Roman" w:cs="Times New Roman"/>
          <w:b/>
          <w:color w:val="000000"/>
          <w:lang w:val="en-NZ" w:eastAsia="ko-KR"/>
        </w:rPr>
        <w:t xml:space="preserve"> </w:t>
      </w:r>
    </w:p>
    <w:p w:rsidR="004F5506" w:rsidRPr="004F5506" w:rsidRDefault="004F5506" w:rsidP="004F5506">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SC11 noted that no stock assessment has been conducted for South Pacific blue shark</w:t>
      </w:r>
      <w:r w:rsidRPr="004F5506">
        <w:rPr>
          <w:rFonts w:ascii="Times New Roman" w:eastAsia="Malgun Gothic" w:hAnsi="Times New Roman" w:cs="Times New Roman" w:hint="eastAsia"/>
          <w:b/>
          <w:color w:val="000000"/>
          <w:lang w:val="en-NZ" w:eastAsia="ko-KR"/>
        </w:rPr>
        <w:t>.</w:t>
      </w:r>
    </w:p>
    <w:p w:rsidR="004F5506" w:rsidRPr="004F5506" w:rsidRDefault="004F5506" w:rsidP="004F5506">
      <w:pPr>
        <w:autoSpaceDE w:val="0"/>
        <w:autoSpaceDN w:val="0"/>
        <w:adjustRightInd w:val="0"/>
        <w:spacing w:after="0" w:line="240" w:lineRule="auto"/>
        <w:ind w:left="720"/>
        <w:rPr>
          <w:rFonts w:ascii="Times New Roman" w:eastAsia="MS Mincho" w:hAnsi="Times New Roman" w:cs="Times New Roman"/>
          <w:b/>
          <w:color w:val="000000"/>
          <w:lang w:val="en-NZ" w:eastAsia="en-NZ"/>
        </w:rPr>
      </w:pPr>
    </w:p>
    <w:p w:rsidR="004F5506" w:rsidRPr="004F5506" w:rsidRDefault="004F5506" w:rsidP="004F5506">
      <w:pPr>
        <w:pStyle w:val="WCPFC"/>
        <w:numPr>
          <w:ilvl w:val="0"/>
          <w:numId w:val="0"/>
        </w:numPr>
        <w:adjustRightInd w:val="0"/>
        <w:spacing w:after="0"/>
        <w:ind w:left="567" w:hanging="567"/>
        <w:rPr>
          <w:b/>
          <w:lang w:val="en-AU"/>
        </w:rPr>
      </w:pPr>
      <w:r w:rsidRPr="004F5506">
        <w:rPr>
          <w:b/>
          <w:lang w:val="en-AU"/>
        </w:rPr>
        <w:t xml:space="preserve">b. </w:t>
      </w:r>
      <w:r w:rsidRPr="004F5506">
        <w:rPr>
          <w:b/>
          <w:lang w:val="en-AU"/>
        </w:rPr>
        <w:tab/>
        <w:t>Management advice and implications</w:t>
      </w:r>
    </w:p>
    <w:p w:rsidR="004F5506" w:rsidRPr="004F5506" w:rsidRDefault="004F5506" w:rsidP="004F5506">
      <w:pPr>
        <w:autoSpaceDE w:val="0"/>
        <w:autoSpaceDN w:val="0"/>
        <w:adjustRightInd w:val="0"/>
        <w:spacing w:after="0" w:line="240" w:lineRule="auto"/>
        <w:rPr>
          <w:rFonts w:ascii="Times New Roman" w:eastAsia="MS Mincho" w:hAnsi="Times New Roman" w:cs="Times New Roman"/>
          <w:color w:val="000000"/>
          <w:lang w:val="en-NZ" w:eastAsia="en-NZ"/>
        </w:rPr>
      </w:pPr>
    </w:p>
    <w:p w:rsidR="004F5506" w:rsidRPr="004F5506" w:rsidRDefault="004F5506" w:rsidP="004F5506">
      <w:pPr>
        <w:numPr>
          <w:ilvl w:val="0"/>
          <w:numId w:val="27"/>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4F5506">
        <w:rPr>
          <w:rFonts w:ascii="Times New Roman" w:eastAsia="MS Mincho" w:hAnsi="Times New Roman" w:cs="Times New Roman"/>
          <w:b/>
          <w:color w:val="000000"/>
          <w:lang w:val="en-NZ" w:eastAsia="en-NZ"/>
        </w:rPr>
        <w:t xml:space="preserve">SC11 noted that no management advice </w:t>
      </w:r>
      <w:r w:rsidRPr="004F5506">
        <w:rPr>
          <w:rFonts w:ascii="Times New Roman" w:eastAsia="Malgun Gothic" w:hAnsi="Times New Roman" w:cs="Times New Roman" w:hint="eastAsia"/>
          <w:b/>
          <w:color w:val="000000"/>
          <w:lang w:val="en-NZ" w:eastAsia="ko-KR"/>
        </w:rPr>
        <w:t>has</w:t>
      </w:r>
      <w:r w:rsidRPr="004F5506">
        <w:rPr>
          <w:rFonts w:ascii="Times New Roman" w:eastAsia="MS Mincho" w:hAnsi="Times New Roman" w:cs="Times New Roman"/>
          <w:b/>
          <w:color w:val="000000"/>
          <w:lang w:val="en-NZ" w:eastAsia="en-NZ"/>
        </w:rPr>
        <w:t xml:space="preserve"> been provided since SC8</w:t>
      </w:r>
      <w:r w:rsidRPr="004F5506">
        <w:rPr>
          <w:rFonts w:ascii="Times New Roman" w:eastAsia="Malgun Gothic" w:hAnsi="Times New Roman" w:cs="Times New Roman" w:hint="eastAsia"/>
          <w:b/>
          <w:color w:val="000000"/>
          <w:lang w:val="en-NZ" w:eastAsia="ko-KR"/>
        </w:rPr>
        <w:t xml:space="preserve"> and SC9 for oceanic whitetip shark and silky shark, respectively</w:t>
      </w:r>
      <w:r w:rsidRPr="004F5506">
        <w:rPr>
          <w:rFonts w:ascii="Times New Roman" w:eastAsia="MS Mincho" w:hAnsi="Times New Roman" w:cs="Times New Roman"/>
          <w:b/>
          <w:color w:val="000000"/>
          <w:lang w:val="en-NZ" w:eastAsia="en-NZ"/>
        </w:rPr>
        <w:t xml:space="preserve">. Therefore, </w:t>
      </w:r>
      <w:r w:rsidRPr="004F5506">
        <w:rPr>
          <w:rFonts w:ascii="Times New Roman" w:eastAsia="Malgun Gothic" w:hAnsi="Times New Roman" w:cs="Times New Roman" w:hint="eastAsia"/>
          <w:b/>
          <w:color w:val="000000"/>
          <w:lang w:val="en-NZ" w:eastAsia="ko-KR"/>
        </w:rPr>
        <w:t>previous</w:t>
      </w:r>
      <w:r w:rsidRPr="004F5506">
        <w:rPr>
          <w:rFonts w:ascii="Times New Roman" w:eastAsia="MS Mincho" w:hAnsi="Times New Roman" w:cs="Times New Roman"/>
          <w:b/>
          <w:color w:val="000000"/>
          <w:lang w:val="en-NZ" w:eastAsia="en-NZ"/>
        </w:rPr>
        <w:t xml:space="preserve"> advice should be maintained, pending a new assessment or other new information.</w:t>
      </w:r>
      <w:r w:rsidRPr="004F5506">
        <w:rPr>
          <w:rFonts w:ascii="Times New Roman" w:eastAsia="MS Mincho" w:hAnsi="Times New Roman" w:cs="Times New Roman"/>
          <w:color w:val="000000"/>
          <w:lang w:val="en-NZ" w:eastAsia="en-NZ"/>
        </w:rPr>
        <w:t xml:space="preserve"> </w:t>
      </w:r>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4F5506" w:rsidRDefault="004F5506" w:rsidP="004F5506">
      <w:pPr>
        <w:pStyle w:val="Heading1"/>
      </w:pPr>
      <w:bookmarkStart w:id="5" w:name="_Toc504731671"/>
      <w:r>
        <w:t>SC10 2014</w:t>
      </w:r>
      <w:bookmarkEnd w:id="5"/>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786006" w:rsidRDefault="00786006" w:rsidP="00786006">
      <w:pPr>
        <w:pStyle w:val="WCPFC"/>
        <w:numPr>
          <w:ilvl w:val="0"/>
          <w:numId w:val="0"/>
        </w:numPr>
        <w:adjustRightInd w:val="0"/>
        <w:spacing w:after="0"/>
        <w:ind w:left="567" w:hanging="567"/>
        <w:rPr>
          <w:b/>
          <w:lang w:val="en-AU"/>
        </w:rPr>
      </w:pPr>
      <w:r w:rsidRPr="00786006">
        <w:rPr>
          <w:b/>
          <w:lang w:val="en-AU"/>
        </w:rPr>
        <w:t>a.</w:t>
      </w:r>
      <w:r w:rsidRPr="00786006">
        <w:rPr>
          <w:b/>
          <w:lang w:val="en-AU"/>
        </w:rPr>
        <w:tab/>
        <w:t>Status and trends</w:t>
      </w:r>
    </w:p>
    <w:p w:rsidR="00786006" w:rsidRPr="00786006" w:rsidRDefault="00786006" w:rsidP="00786006">
      <w:pPr>
        <w:pStyle w:val="WCPFC"/>
        <w:numPr>
          <w:ilvl w:val="0"/>
          <w:numId w:val="0"/>
        </w:numPr>
        <w:adjustRightInd w:val="0"/>
        <w:spacing w:after="0"/>
        <w:ind w:left="567" w:hanging="567"/>
        <w:rPr>
          <w:b/>
          <w:lang w:val="en-AU"/>
        </w:rPr>
      </w:pPr>
    </w:p>
    <w:p w:rsidR="00786006" w:rsidRPr="00786006" w:rsidRDefault="00786006" w:rsidP="00786006">
      <w:pPr>
        <w:pStyle w:val="Best2"/>
        <w:adjustRightInd w:val="0"/>
        <w:snapToGrid w:val="0"/>
        <w:spacing w:after="240" w:line="240" w:lineRule="auto"/>
        <w:ind w:left="0" w:firstLine="0"/>
        <w:rPr>
          <w:rFonts w:cs="Times New Roman"/>
          <w:b/>
          <w:lang w:val="en-US"/>
        </w:rPr>
      </w:pPr>
      <w:r w:rsidRPr="00786006">
        <w:rPr>
          <w:rFonts w:cs="Times New Roman"/>
          <w:b/>
          <w:lang w:val="en-US"/>
        </w:rPr>
        <w:t xml:space="preserve">SC10 noted that no stock assessment was conducted for this species in 2014. </w:t>
      </w:r>
    </w:p>
    <w:p w:rsidR="00786006" w:rsidRDefault="00786006" w:rsidP="00786006">
      <w:pPr>
        <w:pStyle w:val="WCPFC"/>
        <w:numPr>
          <w:ilvl w:val="0"/>
          <w:numId w:val="33"/>
        </w:numPr>
        <w:adjustRightInd w:val="0"/>
        <w:spacing w:after="0"/>
        <w:ind w:hanging="720"/>
        <w:rPr>
          <w:b/>
          <w:lang w:val="en-AU"/>
        </w:rPr>
      </w:pPr>
      <w:r w:rsidRPr="00786006">
        <w:rPr>
          <w:b/>
          <w:lang w:val="en-AU"/>
        </w:rPr>
        <w:t>Management advice and implications</w:t>
      </w:r>
    </w:p>
    <w:p w:rsidR="00786006" w:rsidRPr="00786006" w:rsidRDefault="00786006" w:rsidP="00786006">
      <w:pPr>
        <w:pStyle w:val="WCPFC"/>
        <w:numPr>
          <w:ilvl w:val="0"/>
          <w:numId w:val="0"/>
        </w:numPr>
        <w:adjustRightInd w:val="0"/>
        <w:spacing w:after="0"/>
        <w:ind w:left="720"/>
        <w:rPr>
          <w:b/>
          <w:lang w:val="en-AU"/>
        </w:rPr>
      </w:pPr>
    </w:p>
    <w:p w:rsidR="00786006" w:rsidRDefault="00786006" w:rsidP="00786006">
      <w:pPr>
        <w:pStyle w:val="Best2"/>
        <w:adjustRightInd w:val="0"/>
        <w:snapToGrid w:val="0"/>
        <w:spacing w:after="240" w:line="240" w:lineRule="auto"/>
        <w:ind w:left="0" w:firstLine="0"/>
        <w:rPr>
          <w:rFonts w:cs="Times New Roman"/>
          <w:b/>
          <w:lang w:val="en-US"/>
        </w:rPr>
      </w:pPr>
      <w:r w:rsidRPr="00493638">
        <w:rPr>
          <w:rFonts w:cs="Times New Roman"/>
          <w:b/>
          <w:lang w:val="en-US"/>
        </w:rPr>
        <w:t>Because there was no stock assessment for this species, advice from SC8 should be maintained, pending a new assessment or other new information.</w:t>
      </w:r>
    </w:p>
    <w:p w:rsidR="00786006" w:rsidRDefault="00786006" w:rsidP="004F5506">
      <w:pPr>
        <w:pStyle w:val="Heading1"/>
      </w:pPr>
    </w:p>
    <w:p w:rsidR="004F5506" w:rsidRDefault="00786006" w:rsidP="004F5506">
      <w:pPr>
        <w:pStyle w:val="Heading1"/>
      </w:pPr>
      <w:bookmarkStart w:id="6" w:name="_Toc504731672"/>
      <w:r>
        <w:t>S</w:t>
      </w:r>
      <w:r w:rsidR="004F5506">
        <w:t>C9 2013</w:t>
      </w:r>
      <w:bookmarkEnd w:id="6"/>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786006" w:rsidRDefault="00786006" w:rsidP="00786006">
      <w:pPr>
        <w:snapToGrid w:val="0"/>
        <w:spacing w:after="0" w:line="240" w:lineRule="auto"/>
        <w:jc w:val="both"/>
        <w:rPr>
          <w:rFonts w:ascii="Times New Roman" w:hAnsi="Times New Roman" w:cs="Times New Roman"/>
          <w:b/>
        </w:rPr>
      </w:pPr>
      <w:r w:rsidRPr="0036221C">
        <w:rPr>
          <w:rFonts w:ascii="Times New Roman" w:hAnsi="Times New Roman" w:cs="Times New Roman"/>
          <w:b/>
        </w:rPr>
        <w:t>a.</w:t>
      </w:r>
      <w:r w:rsidRPr="0036221C">
        <w:rPr>
          <w:rFonts w:ascii="Times New Roman" w:hAnsi="Times New Roman" w:cs="Times New Roman"/>
          <w:b/>
        </w:rPr>
        <w:tab/>
        <w:t xml:space="preserve">Status and trends </w:t>
      </w:r>
    </w:p>
    <w:p w:rsidR="00786006" w:rsidRPr="0036221C" w:rsidRDefault="00786006" w:rsidP="00786006">
      <w:pPr>
        <w:snapToGrid w:val="0"/>
        <w:spacing w:after="0" w:line="240" w:lineRule="auto"/>
        <w:jc w:val="both"/>
        <w:rPr>
          <w:rFonts w:ascii="Times New Roman" w:hAnsi="Times New Roman" w:cs="Times New Roman"/>
          <w:b/>
        </w:rPr>
      </w:pPr>
    </w:p>
    <w:p w:rsidR="00786006" w:rsidRPr="00786006" w:rsidRDefault="00786006" w:rsidP="00786006">
      <w:pPr>
        <w:pStyle w:val="Best2"/>
        <w:numPr>
          <w:ilvl w:val="0"/>
          <w:numId w:val="36"/>
        </w:numPr>
        <w:tabs>
          <w:tab w:val="left" w:pos="0"/>
        </w:tabs>
        <w:adjustRightInd w:val="0"/>
        <w:snapToGrid w:val="0"/>
        <w:spacing w:after="240" w:line="240" w:lineRule="auto"/>
        <w:ind w:left="0" w:firstLine="0"/>
        <w:rPr>
          <w:rFonts w:cs="Times New Roman"/>
          <w:b/>
          <w:lang w:val="en-US"/>
        </w:rPr>
      </w:pPr>
      <w:r w:rsidRPr="00786006">
        <w:rPr>
          <w:rFonts w:cs="Times New Roman"/>
          <w:b/>
          <w:lang w:val="en-US"/>
        </w:rPr>
        <w:t>SC9 noted that no stock assessment was conducted for WCPO oceanic whitetip shark in 2013. Therefore, the stock status description from SC8 is still current.</w:t>
      </w:r>
    </w:p>
    <w:p w:rsidR="00786006" w:rsidRPr="0036221C" w:rsidRDefault="00786006" w:rsidP="00786006">
      <w:pPr>
        <w:snapToGrid w:val="0"/>
        <w:spacing w:after="0" w:line="240" w:lineRule="auto"/>
        <w:jc w:val="both"/>
        <w:rPr>
          <w:rFonts w:ascii="Times New Roman" w:hAnsi="Times New Roman" w:cs="Times New Roman"/>
          <w:b/>
        </w:rPr>
      </w:pPr>
    </w:p>
    <w:p w:rsidR="00786006" w:rsidRDefault="00786006" w:rsidP="00786006">
      <w:pPr>
        <w:snapToGrid w:val="0"/>
        <w:spacing w:after="0" w:line="240" w:lineRule="auto"/>
        <w:jc w:val="both"/>
        <w:rPr>
          <w:rFonts w:ascii="Times New Roman" w:hAnsi="Times New Roman" w:cs="Times New Roman"/>
          <w:b/>
        </w:rPr>
      </w:pPr>
      <w:r w:rsidRPr="0036221C">
        <w:rPr>
          <w:rFonts w:ascii="Times New Roman" w:hAnsi="Times New Roman" w:cs="Times New Roman"/>
          <w:b/>
        </w:rPr>
        <w:t>b.</w:t>
      </w:r>
      <w:r w:rsidRPr="0036221C">
        <w:rPr>
          <w:rFonts w:ascii="Times New Roman" w:hAnsi="Times New Roman" w:cs="Times New Roman"/>
          <w:b/>
        </w:rPr>
        <w:tab/>
        <w:t xml:space="preserve">Management advice and implications </w:t>
      </w:r>
    </w:p>
    <w:p w:rsidR="00786006" w:rsidRPr="0036221C" w:rsidRDefault="00786006" w:rsidP="00786006">
      <w:pPr>
        <w:snapToGrid w:val="0"/>
        <w:spacing w:after="0" w:line="240" w:lineRule="auto"/>
        <w:jc w:val="both"/>
        <w:rPr>
          <w:rFonts w:ascii="Times New Roman" w:hAnsi="Times New Roman" w:cs="Times New Roman"/>
          <w:b/>
        </w:rPr>
      </w:pPr>
    </w:p>
    <w:p w:rsidR="00786006" w:rsidRPr="00786006" w:rsidRDefault="00786006" w:rsidP="00786006">
      <w:pPr>
        <w:pStyle w:val="Best2"/>
        <w:adjustRightInd w:val="0"/>
        <w:snapToGrid w:val="0"/>
        <w:spacing w:after="240" w:line="240" w:lineRule="auto"/>
        <w:ind w:left="0" w:firstLine="0"/>
        <w:rPr>
          <w:rFonts w:cs="Times New Roman"/>
          <w:b/>
          <w:lang w:val="en-US"/>
        </w:rPr>
      </w:pPr>
      <w:r w:rsidRPr="00786006">
        <w:rPr>
          <w:rFonts w:cs="Times New Roman"/>
          <w:b/>
          <w:lang w:val="en-US"/>
        </w:rPr>
        <w:lastRenderedPageBreak/>
        <w:t>SC9 noted that no management advice has been provided since SC8. Therefore, the advice from SC8 should be maintained, pending a new assessment or other new information.</w:t>
      </w:r>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4F5506" w:rsidRDefault="004F5506" w:rsidP="004F5506">
      <w:pPr>
        <w:pStyle w:val="Heading1"/>
      </w:pPr>
      <w:bookmarkStart w:id="7" w:name="_Toc504731673"/>
      <w:r>
        <w:t>SC8 2012</w:t>
      </w:r>
      <w:r w:rsidR="00D97911">
        <w:t xml:space="preserve"> (Stock Assessment Conducted)</w:t>
      </w:r>
      <w:bookmarkEnd w:id="7"/>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786006" w:rsidRPr="00786006" w:rsidRDefault="00786006" w:rsidP="00786006">
      <w:pPr>
        <w:snapToGrid w:val="0"/>
        <w:spacing w:after="0" w:line="240" w:lineRule="auto"/>
        <w:jc w:val="both"/>
        <w:rPr>
          <w:rFonts w:ascii="Times New Roman" w:hAnsi="Times New Roman" w:cs="Times New Roman"/>
          <w:b/>
        </w:rPr>
      </w:pPr>
      <w:r w:rsidRPr="00786006">
        <w:rPr>
          <w:rFonts w:ascii="Times New Roman" w:hAnsi="Times New Roman" w:cs="Times New Roman"/>
          <w:b/>
        </w:rPr>
        <w:t>a.</w:t>
      </w:r>
      <w:r w:rsidRPr="00786006">
        <w:rPr>
          <w:rFonts w:ascii="Times New Roman" w:hAnsi="Times New Roman" w:cs="Times New Roman"/>
          <w:b/>
        </w:rPr>
        <w:tab/>
        <w:t xml:space="preserve">Status and trends </w:t>
      </w:r>
    </w:p>
    <w:p w:rsidR="00786006" w:rsidRPr="00A05641" w:rsidRDefault="00786006" w:rsidP="00786006">
      <w:pPr>
        <w:pStyle w:val="PlainText"/>
        <w:jc w:val="both"/>
        <w:rPr>
          <w:rFonts w:ascii="Times New Roman" w:hAnsi="Times New Roman" w:cs="Times New Roman"/>
          <w:sz w:val="22"/>
          <w:szCs w:val="22"/>
        </w:rPr>
      </w:pPr>
    </w:p>
    <w:p w:rsidR="00786006" w:rsidRPr="00A05641" w:rsidRDefault="00786006" w:rsidP="00013F4E">
      <w:pPr>
        <w:pStyle w:val="Default"/>
        <w:numPr>
          <w:ilvl w:val="0"/>
          <w:numId w:val="37"/>
        </w:numPr>
        <w:ind w:left="0" w:firstLine="0"/>
        <w:jc w:val="both"/>
        <w:rPr>
          <w:sz w:val="22"/>
          <w:szCs w:val="22"/>
        </w:rPr>
      </w:pPr>
      <w:r w:rsidRPr="00A05641">
        <w:rPr>
          <w:sz w:val="22"/>
          <w:szCs w:val="22"/>
        </w:rPr>
        <w:t xml:space="preserve">Spawning biomass, total biomass and recruitment </w:t>
      </w:r>
      <w:r>
        <w:rPr>
          <w:sz w:val="22"/>
          <w:szCs w:val="22"/>
        </w:rPr>
        <w:t xml:space="preserve">have </w:t>
      </w:r>
      <w:r w:rsidRPr="00A05641">
        <w:rPr>
          <w:sz w:val="22"/>
          <w:szCs w:val="22"/>
        </w:rPr>
        <w:t>all exhibit</w:t>
      </w:r>
      <w:r>
        <w:rPr>
          <w:sz w:val="22"/>
          <w:szCs w:val="22"/>
        </w:rPr>
        <w:t>ed</w:t>
      </w:r>
      <w:r w:rsidRPr="00A05641">
        <w:rPr>
          <w:sz w:val="22"/>
          <w:szCs w:val="22"/>
        </w:rPr>
        <w:t xml:space="preserve"> a declining trend since 1995 (the first year of the assessment) (Fig</w:t>
      </w:r>
      <w:r>
        <w:rPr>
          <w:sz w:val="22"/>
          <w:szCs w:val="22"/>
        </w:rPr>
        <w:t>.</w:t>
      </w:r>
      <w:r w:rsidRPr="00A05641">
        <w:rPr>
          <w:sz w:val="22"/>
          <w:szCs w:val="22"/>
        </w:rPr>
        <w:t xml:space="preserve"> OCS</w:t>
      </w:r>
      <w:r>
        <w:rPr>
          <w:sz w:val="22"/>
          <w:szCs w:val="22"/>
        </w:rPr>
        <w:t xml:space="preserve"> </w:t>
      </w:r>
      <w:r w:rsidRPr="00A05641">
        <w:rPr>
          <w:sz w:val="22"/>
          <w:szCs w:val="22"/>
        </w:rPr>
        <w:t xml:space="preserve">1). Current spawning biomass is low and is estimated to be at 15% of </w:t>
      </w:r>
      <w:r w:rsidRPr="00EC28E0">
        <w:rPr>
          <w:i/>
          <w:sz w:val="22"/>
          <w:szCs w:val="22"/>
        </w:rPr>
        <w:t>SB</w:t>
      </w:r>
      <w:r w:rsidRPr="00EC28E0">
        <w:rPr>
          <w:i/>
          <w:sz w:val="22"/>
          <w:szCs w:val="22"/>
          <w:vertAlign w:val="subscript"/>
        </w:rPr>
        <w:t>MSY</w:t>
      </w:r>
      <w:r w:rsidRPr="00A05641">
        <w:rPr>
          <w:sz w:val="22"/>
          <w:szCs w:val="22"/>
        </w:rPr>
        <w:t>.</w:t>
      </w:r>
    </w:p>
    <w:p w:rsidR="00786006" w:rsidRPr="00A05641" w:rsidRDefault="00786006" w:rsidP="00786006">
      <w:pPr>
        <w:pStyle w:val="Default"/>
        <w:jc w:val="both"/>
        <w:rPr>
          <w:sz w:val="22"/>
          <w:szCs w:val="22"/>
        </w:rPr>
      </w:pPr>
    </w:p>
    <w:p w:rsidR="00786006" w:rsidRPr="00A05641" w:rsidRDefault="00786006" w:rsidP="00786006">
      <w:pPr>
        <w:pStyle w:val="Default"/>
        <w:numPr>
          <w:ilvl w:val="0"/>
          <w:numId w:val="37"/>
        </w:numPr>
        <w:ind w:left="0" w:firstLine="0"/>
        <w:jc w:val="both"/>
        <w:rPr>
          <w:sz w:val="22"/>
          <w:szCs w:val="22"/>
        </w:rPr>
      </w:pPr>
      <w:r w:rsidRPr="00A05641">
        <w:rPr>
          <w:sz w:val="22"/>
          <w:szCs w:val="22"/>
        </w:rPr>
        <w:t xml:space="preserve">Fishing mortality from the non-target longline fishery has </w:t>
      </w:r>
      <w:r>
        <w:rPr>
          <w:sz w:val="22"/>
          <w:szCs w:val="22"/>
        </w:rPr>
        <w:t>been</w:t>
      </w:r>
      <w:r w:rsidRPr="00A05641">
        <w:rPr>
          <w:sz w:val="22"/>
          <w:szCs w:val="22"/>
        </w:rPr>
        <w:t xml:space="preserve"> </w:t>
      </w:r>
      <w:r>
        <w:rPr>
          <w:sz w:val="22"/>
          <w:szCs w:val="22"/>
        </w:rPr>
        <w:t xml:space="preserve">on an </w:t>
      </w:r>
      <w:r w:rsidRPr="00A05641">
        <w:rPr>
          <w:sz w:val="22"/>
          <w:szCs w:val="22"/>
        </w:rPr>
        <w:t>increasing trend since 1995</w:t>
      </w:r>
      <w:r>
        <w:rPr>
          <w:sz w:val="22"/>
          <w:szCs w:val="22"/>
        </w:rPr>
        <w:t>,</w:t>
      </w:r>
      <w:r w:rsidRPr="00A05641">
        <w:rPr>
          <w:sz w:val="22"/>
          <w:szCs w:val="22"/>
        </w:rPr>
        <w:t xml:space="preserve"> while fishing mortality from the targeted longline fishery and purse</w:t>
      </w:r>
      <w:r>
        <w:rPr>
          <w:sz w:val="22"/>
          <w:szCs w:val="22"/>
        </w:rPr>
        <w:t>-</w:t>
      </w:r>
      <w:r w:rsidRPr="00A05641">
        <w:rPr>
          <w:sz w:val="22"/>
          <w:szCs w:val="22"/>
        </w:rPr>
        <w:t xml:space="preserve">seine fisheries has varied without </w:t>
      </w:r>
      <w:r>
        <w:rPr>
          <w:sz w:val="22"/>
          <w:szCs w:val="22"/>
        </w:rPr>
        <w:t xml:space="preserve">any </w:t>
      </w:r>
      <w:r w:rsidRPr="00A05641">
        <w:rPr>
          <w:sz w:val="22"/>
          <w:szCs w:val="22"/>
        </w:rPr>
        <w:t>trend (Fig</w:t>
      </w:r>
      <w:r>
        <w:rPr>
          <w:sz w:val="22"/>
          <w:szCs w:val="22"/>
        </w:rPr>
        <w:t>.</w:t>
      </w:r>
      <w:r w:rsidRPr="00A05641">
        <w:rPr>
          <w:sz w:val="22"/>
          <w:szCs w:val="22"/>
        </w:rPr>
        <w:t xml:space="preserve"> OCS</w:t>
      </w:r>
      <w:r>
        <w:rPr>
          <w:sz w:val="22"/>
          <w:szCs w:val="22"/>
        </w:rPr>
        <w:t xml:space="preserve"> 2</w:t>
      </w:r>
      <w:r w:rsidRPr="00A05641">
        <w:rPr>
          <w:sz w:val="22"/>
          <w:szCs w:val="22"/>
        </w:rPr>
        <w:t xml:space="preserve">). Current fishing mortality is high and is estimated to be </w:t>
      </w:r>
      <w:r>
        <w:rPr>
          <w:sz w:val="22"/>
          <w:szCs w:val="22"/>
        </w:rPr>
        <w:t>more than</w:t>
      </w:r>
      <w:r w:rsidRPr="00A05641">
        <w:rPr>
          <w:sz w:val="22"/>
          <w:szCs w:val="22"/>
        </w:rPr>
        <w:t xml:space="preserve"> </w:t>
      </w:r>
      <w:r>
        <w:rPr>
          <w:sz w:val="22"/>
          <w:szCs w:val="22"/>
        </w:rPr>
        <w:t>six</w:t>
      </w:r>
      <w:r w:rsidRPr="00A05641">
        <w:rPr>
          <w:sz w:val="22"/>
          <w:szCs w:val="22"/>
        </w:rPr>
        <w:t xml:space="preserve"> times greater than </w:t>
      </w:r>
      <w:r w:rsidRPr="00EC28E0">
        <w:rPr>
          <w:i/>
          <w:sz w:val="22"/>
          <w:szCs w:val="22"/>
        </w:rPr>
        <w:t>F</w:t>
      </w:r>
      <w:r w:rsidRPr="00EC28E0">
        <w:rPr>
          <w:i/>
          <w:sz w:val="22"/>
          <w:szCs w:val="22"/>
          <w:vertAlign w:val="subscript"/>
        </w:rPr>
        <w:t>MSY</w:t>
      </w:r>
      <w:r w:rsidRPr="00A05641">
        <w:rPr>
          <w:sz w:val="22"/>
          <w:szCs w:val="22"/>
        </w:rPr>
        <w:t xml:space="preserve">.  </w:t>
      </w:r>
    </w:p>
    <w:p w:rsidR="00786006" w:rsidRPr="00A05641" w:rsidRDefault="00786006" w:rsidP="00786006">
      <w:pPr>
        <w:pStyle w:val="Default"/>
        <w:jc w:val="both"/>
        <w:rPr>
          <w:sz w:val="22"/>
          <w:szCs w:val="22"/>
        </w:rPr>
      </w:pPr>
    </w:p>
    <w:p w:rsidR="00786006" w:rsidRPr="00F30457" w:rsidRDefault="00786006" w:rsidP="00786006">
      <w:pPr>
        <w:pStyle w:val="Default"/>
        <w:numPr>
          <w:ilvl w:val="0"/>
          <w:numId w:val="37"/>
        </w:numPr>
        <w:ind w:left="0" w:firstLine="0"/>
        <w:jc w:val="both"/>
        <w:rPr>
          <w:sz w:val="22"/>
          <w:szCs w:val="22"/>
        </w:rPr>
      </w:pPr>
      <w:r w:rsidRPr="00A05641">
        <w:rPr>
          <w:sz w:val="22"/>
          <w:szCs w:val="22"/>
        </w:rPr>
        <w:t>The key conclusions are that overfishing is occurring and the stock is in an overfished state relative to MSY-based reference points (</w:t>
      </w:r>
      <w:r w:rsidRPr="00EC28E0">
        <w:rPr>
          <w:i/>
          <w:sz w:val="22"/>
          <w:szCs w:val="22"/>
        </w:rPr>
        <w:t>SB</w:t>
      </w:r>
      <w:r w:rsidRPr="00EC28E0">
        <w:rPr>
          <w:i/>
          <w:sz w:val="22"/>
          <w:szCs w:val="22"/>
          <w:vertAlign w:val="subscript"/>
        </w:rPr>
        <w:t>current</w:t>
      </w:r>
      <w:r w:rsidRPr="00EC28E0">
        <w:rPr>
          <w:i/>
          <w:sz w:val="22"/>
          <w:szCs w:val="22"/>
        </w:rPr>
        <w:t>/SB</w:t>
      </w:r>
      <w:r w:rsidRPr="00EC28E0">
        <w:rPr>
          <w:i/>
          <w:sz w:val="22"/>
          <w:szCs w:val="22"/>
          <w:vertAlign w:val="subscript"/>
        </w:rPr>
        <w:t>MSY</w:t>
      </w:r>
      <w:r w:rsidRPr="00A05641">
        <w:rPr>
          <w:sz w:val="22"/>
          <w:szCs w:val="22"/>
        </w:rPr>
        <w:t xml:space="preserve"> </w:t>
      </w:r>
      <w:r>
        <w:rPr>
          <w:sz w:val="22"/>
          <w:szCs w:val="22"/>
        </w:rPr>
        <w:t xml:space="preserve">= </w:t>
      </w:r>
      <w:r w:rsidRPr="00A05641">
        <w:rPr>
          <w:sz w:val="22"/>
          <w:szCs w:val="22"/>
        </w:rPr>
        <w:t xml:space="preserve">0.153 </w:t>
      </w:r>
      <w:r>
        <w:rPr>
          <w:sz w:val="22"/>
          <w:szCs w:val="22"/>
        </w:rPr>
        <w:t xml:space="preserve">[range: </w:t>
      </w:r>
      <w:r w:rsidRPr="00A05641">
        <w:rPr>
          <w:sz w:val="22"/>
          <w:szCs w:val="22"/>
        </w:rPr>
        <w:t>0.082</w:t>
      </w:r>
      <w:r>
        <w:rPr>
          <w:sz w:val="22"/>
          <w:szCs w:val="22"/>
        </w:rPr>
        <w:t>–</w:t>
      </w:r>
      <w:r w:rsidRPr="00A05641">
        <w:rPr>
          <w:sz w:val="22"/>
          <w:szCs w:val="22"/>
        </w:rPr>
        <w:t>0.409</w:t>
      </w:r>
      <w:r>
        <w:rPr>
          <w:sz w:val="22"/>
          <w:szCs w:val="22"/>
        </w:rPr>
        <w:t>]</w:t>
      </w:r>
      <w:r w:rsidRPr="00A05641">
        <w:rPr>
          <w:sz w:val="22"/>
          <w:szCs w:val="22"/>
        </w:rPr>
        <w:t>) and depletion</w:t>
      </w:r>
      <w:r>
        <w:rPr>
          <w:sz w:val="22"/>
          <w:szCs w:val="22"/>
        </w:rPr>
        <w:t>-</w:t>
      </w:r>
      <w:r w:rsidRPr="00A05641">
        <w:rPr>
          <w:sz w:val="22"/>
          <w:szCs w:val="22"/>
        </w:rPr>
        <w:t>based reference points (</w:t>
      </w:r>
      <w:r w:rsidRPr="00EC28E0">
        <w:rPr>
          <w:i/>
          <w:sz w:val="22"/>
          <w:szCs w:val="22"/>
        </w:rPr>
        <w:t>SB</w:t>
      </w:r>
      <w:r w:rsidRPr="00EC28E0">
        <w:rPr>
          <w:i/>
          <w:sz w:val="22"/>
          <w:szCs w:val="22"/>
          <w:vertAlign w:val="subscript"/>
        </w:rPr>
        <w:t>current</w:t>
      </w:r>
      <w:r w:rsidRPr="00EC28E0">
        <w:rPr>
          <w:i/>
          <w:sz w:val="22"/>
          <w:szCs w:val="22"/>
        </w:rPr>
        <w:t>/SB</w:t>
      </w:r>
      <w:r w:rsidRPr="00EC28E0">
        <w:rPr>
          <w:i/>
          <w:sz w:val="22"/>
          <w:szCs w:val="22"/>
          <w:vertAlign w:val="subscript"/>
        </w:rPr>
        <w:t>0</w:t>
      </w:r>
      <w:r w:rsidRPr="00EC28E0">
        <w:rPr>
          <w:i/>
          <w:sz w:val="22"/>
          <w:szCs w:val="22"/>
        </w:rPr>
        <w:t xml:space="preserve"> </w:t>
      </w:r>
      <w:r>
        <w:rPr>
          <w:i/>
          <w:sz w:val="22"/>
          <w:szCs w:val="22"/>
        </w:rPr>
        <w:t xml:space="preserve">= </w:t>
      </w:r>
      <w:r w:rsidRPr="00EC28E0">
        <w:rPr>
          <w:i/>
          <w:sz w:val="22"/>
          <w:szCs w:val="22"/>
        </w:rPr>
        <w:t>0.065</w:t>
      </w:r>
      <w:r w:rsidRPr="00A05641">
        <w:rPr>
          <w:sz w:val="22"/>
          <w:szCs w:val="22"/>
        </w:rPr>
        <w:t xml:space="preserve"> </w:t>
      </w:r>
      <w:r>
        <w:rPr>
          <w:sz w:val="22"/>
          <w:szCs w:val="22"/>
        </w:rPr>
        <w:t xml:space="preserve">[range: </w:t>
      </w:r>
      <w:r w:rsidRPr="00A05641">
        <w:rPr>
          <w:sz w:val="22"/>
          <w:szCs w:val="22"/>
        </w:rPr>
        <w:t>0.</w:t>
      </w:r>
      <w:r w:rsidRPr="00F30457">
        <w:rPr>
          <w:sz w:val="22"/>
          <w:szCs w:val="22"/>
        </w:rPr>
        <w:t>034-0.173</w:t>
      </w:r>
      <w:r>
        <w:rPr>
          <w:sz w:val="22"/>
          <w:szCs w:val="22"/>
        </w:rPr>
        <w:t>]</w:t>
      </w:r>
      <w:r w:rsidRPr="00F30457">
        <w:rPr>
          <w:sz w:val="22"/>
          <w:szCs w:val="22"/>
        </w:rPr>
        <w:t>) (Tables OCS1</w:t>
      </w:r>
      <w:r>
        <w:rPr>
          <w:sz w:val="22"/>
          <w:szCs w:val="22"/>
        </w:rPr>
        <w:t xml:space="preserve"> and OSC</w:t>
      </w:r>
      <w:r w:rsidRPr="00F30457">
        <w:rPr>
          <w:sz w:val="22"/>
          <w:szCs w:val="22"/>
        </w:rPr>
        <w:t xml:space="preserve">2). </w:t>
      </w:r>
      <w:r w:rsidRPr="00F30457">
        <w:rPr>
          <w:sz w:val="22"/>
          <w:szCs w:val="22"/>
          <w:lang w:val="en-AU"/>
        </w:rPr>
        <w:t>This conclusion is robust to uncertainties in key model assumptions (Figs</w:t>
      </w:r>
      <w:r>
        <w:rPr>
          <w:sz w:val="22"/>
          <w:szCs w:val="22"/>
          <w:lang w:val="en-AU"/>
        </w:rPr>
        <w:t>.</w:t>
      </w:r>
      <w:r w:rsidRPr="00F30457">
        <w:rPr>
          <w:sz w:val="22"/>
          <w:szCs w:val="22"/>
          <w:lang w:val="en-AU"/>
        </w:rPr>
        <w:t xml:space="preserve"> OCS 3 and OCS 4)</w:t>
      </w:r>
      <w:r w:rsidRPr="00F30457">
        <w:rPr>
          <w:sz w:val="22"/>
          <w:szCs w:val="22"/>
        </w:rPr>
        <w:t xml:space="preserve">.  </w:t>
      </w:r>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4F5506" w:rsidRDefault="004F5506"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Pr="00A05641" w:rsidRDefault="00013F4E" w:rsidP="00013F4E">
      <w:pPr>
        <w:pStyle w:val="WCPFCCaption"/>
        <w:ind w:left="1440" w:hanging="1440"/>
        <w:rPr>
          <w:b w:val="0"/>
          <w:sz w:val="22"/>
          <w:szCs w:val="22"/>
        </w:rPr>
      </w:pPr>
      <w:r w:rsidRPr="00A05641">
        <w:rPr>
          <w:sz w:val="22"/>
          <w:szCs w:val="22"/>
        </w:rPr>
        <w:t>Table OCS 1</w:t>
      </w:r>
      <w:r>
        <w:rPr>
          <w:sz w:val="22"/>
          <w:szCs w:val="22"/>
        </w:rPr>
        <w:t>:</w:t>
      </w:r>
      <w:r w:rsidRPr="00A05641">
        <w:rPr>
          <w:sz w:val="22"/>
          <w:szCs w:val="22"/>
        </w:rPr>
        <w:tab/>
      </w:r>
      <w:r w:rsidRPr="00A05641">
        <w:rPr>
          <w:b w:val="0"/>
          <w:sz w:val="22"/>
          <w:szCs w:val="22"/>
        </w:rPr>
        <w:t xml:space="preserve">Estimates of management quantities for the reference case and sensitivity runs. </w:t>
      </w:r>
    </w:p>
    <w:p w:rsidR="00013F4E" w:rsidRPr="00A05641" w:rsidRDefault="00013F4E" w:rsidP="00013F4E">
      <w:pPr>
        <w:keepNext/>
        <w:snapToGrid w:val="0"/>
        <w:spacing w:line="240" w:lineRule="auto"/>
        <w:ind w:right="115"/>
        <w:jc w:val="both"/>
        <w:rPr>
          <w:rFonts w:ascii="Times New Roman" w:eastAsia="Batang" w:hAnsi="Times New Roman" w:cs="Times New Roman"/>
          <w:b/>
          <w:bCs/>
        </w:rPr>
      </w:pPr>
      <w:r w:rsidRPr="00A05641">
        <w:rPr>
          <w:rFonts w:ascii="Times New Roman" w:eastAsia="Batang" w:hAnsi="Times New Roman" w:cs="Times New Roman"/>
          <w:b/>
          <w:bCs/>
        </w:rPr>
        <w:t xml:space="preserve"> </w:t>
      </w:r>
      <w:r w:rsidRPr="00A05641">
        <w:rPr>
          <w:rFonts w:ascii="Times New Roman" w:eastAsia="Batang" w:hAnsi="Times New Roman" w:cs="Times New Roman"/>
          <w:b/>
          <w:bCs/>
          <w:noProof/>
          <w:lang w:eastAsia="zh-CN"/>
        </w:rPr>
        <w:drawing>
          <wp:inline distT="0" distB="0" distL="0" distR="0" wp14:anchorId="12872FAD" wp14:editId="673CAFA6">
            <wp:extent cx="6324600" cy="2710162"/>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t="3409"/>
                    <a:stretch>
                      <a:fillRect/>
                    </a:stretch>
                  </pic:blipFill>
                  <pic:spPr bwMode="auto">
                    <a:xfrm>
                      <a:off x="0" y="0"/>
                      <a:ext cx="6369157" cy="2729255"/>
                    </a:xfrm>
                    <a:prstGeom prst="rect">
                      <a:avLst/>
                    </a:prstGeom>
                    <a:noFill/>
                    <a:ln w="9525">
                      <a:noFill/>
                      <a:miter lim="800000"/>
                      <a:headEnd/>
                      <a:tailEnd/>
                    </a:ln>
                  </pic:spPr>
                </pic:pic>
              </a:graphicData>
            </a:graphic>
          </wp:inline>
        </w:drawing>
      </w: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013F4E">
        <w:rPr>
          <w:noProof/>
        </w:rPr>
        <w:drawing>
          <wp:inline distT="0" distB="0" distL="0" distR="0">
            <wp:extent cx="5943600" cy="46078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607867"/>
                    </a:xfrm>
                    <a:prstGeom prst="rect">
                      <a:avLst/>
                    </a:prstGeom>
                    <a:noFill/>
                    <a:ln>
                      <a:noFill/>
                    </a:ln>
                  </pic:spPr>
                </pic:pic>
              </a:graphicData>
            </a:graphic>
          </wp:inline>
        </w:drawing>
      </w: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013F4E" w:rsidRPr="00A05641" w:rsidRDefault="00013F4E" w:rsidP="00013F4E">
      <w:pPr>
        <w:rPr>
          <w:rFonts w:ascii="Times New Roman" w:hAnsi="Times New Roman" w:cs="Times New Roman"/>
        </w:rPr>
      </w:pPr>
    </w:p>
    <w:p w:rsidR="00013F4E" w:rsidRPr="00A05641" w:rsidRDefault="00013F4E" w:rsidP="00013F4E">
      <w:pPr>
        <w:pStyle w:val="Caption"/>
        <w:keepNext/>
        <w:ind w:left="360" w:right="663"/>
        <w:jc w:val="both"/>
        <w:rPr>
          <w:rFonts w:ascii="Times New Roman" w:hAnsi="Times New Roman" w:cs="Times New Roman"/>
          <w:b/>
          <w:sz w:val="22"/>
          <w:szCs w:val="22"/>
        </w:rPr>
      </w:pPr>
      <w:r w:rsidRPr="00A05641">
        <w:rPr>
          <w:rFonts w:ascii="Times New Roman" w:hAnsi="Times New Roman" w:cs="Times New Roman"/>
          <w:b/>
          <w:noProof/>
          <w:sz w:val="22"/>
          <w:szCs w:val="22"/>
          <w:lang w:eastAsia="zh-CN"/>
        </w:rPr>
        <w:lastRenderedPageBreak/>
        <w:drawing>
          <wp:inline distT="0" distB="0" distL="0" distR="0" wp14:anchorId="0879E5E4" wp14:editId="47750976">
            <wp:extent cx="4969917" cy="3466413"/>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967851" cy="3464972"/>
                    </a:xfrm>
                    <a:prstGeom prst="rect">
                      <a:avLst/>
                    </a:prstGeom>
                    <a:noFill/>
                  </pic:spPr>
                </pic:pic>
              </a:graphicData>
            </a:graphic>
          </wp:inline>
        </w:drawing>
      </w:r>
    </w:p>
    <w:p w:rsidR="00013F4E" w:rsidRDefault="00013F4E" w:rsidP="00013F4E">
      <w:pPr>
        <w:pStyle w:val="WCPFCCaption"/>
        <w:ind w:left="0" w:firstLine="0"/>
        <w:rPr>
          <w:b w:val="0"/>
          <w:sz w:val="22"/>
          <w:szCs w:val="22"/>
        </w:rPr>
      </w:pPr>
      <w:r w:rsidRPr="00A05641">
        <w:rPr>
          <w:sz w:val="22"/>
          <w:szCs w:val="22"/>
        </w:rPr>
        <w:t>Figure OCS 1</w:t>
      </w:r>
      <w:r>
        <w:rPr>
          <w:sz w:val="22"/>
          <w:szCs w:val="22"/>
        </w:rPr>
        <w:t>:</w:t>
      </w:r>
      <w:r w:rsidRPr="00A05641">
        <w:rPr>
          <w:sz w:val="22"/>
          <w:szCs w:val="22"/>
        </w:rPr>
        <w:tab/>
      </w:r>
      <w:r w:rsidRPr="00A05641">
        <w:rPr>
          <w:b w:val="0"/>
          <w:sz w:val="22"/>
          <w:szCs w:val="22"/>
        </w:rPr>
        <w:t>Estimated total biomass (top left, 1</w:t>
      </w:r>
      <w:r>
        <w:rPr>
          <w:b w:val="0"/>
          <w:sz w:val="22"/>
          <w:szCs w:val="22"/>
        </w:rPr>
        <w:t>,</w:t>
      </w:r>
      <w:r w:rsidRPr="00A05641">
        <w:rPr>
          <w:b w:val="0"/>
          <w:sz w:val="22"/>
          <w:szCs w:val="22"/>
        </w:rPr>
        <w:t>000 m</w:t>
      </w:r>
      <w:r>
        <w:rPr>
          <w:b w:val="0"/>
          <w:sz w:val="22"/>
          <w:szCs w:val="22"/>
        </w:rPr>
        <w:t>t</w:t>
      </w:r>
      <w:r w:rsidRPr="00A05641">
        <w:rPr>
          <w:b w:val="0"/>
          <w:sz w:val="22"/>
          <w:szCs w:val="22"/>
        </w:rPr>
        <w:t>), estimated spawning biomass (top right) and estimated annual recruitment (1</w:t>
      </w:r>
      <w:r>
        <w:rPr>
          <w:b w:val="0"/>
          <w:sz w:val="22"/>
          <w:szCs w:val="22"/>
        </w:rPr>
        <w:t>,</w:t>
      </w:r>
      <w:r w:rsidRPr="00A05641">
        <w:rPr>
          <w:b w:val="0"/>
          <w:sz w:val="22"/>
          <w:szCs w:val="22"/>
        </w:rPr>
        <w:t>000s of fish) in the WCPO for the reference case.</w:t>
      </w:r>
    </w:p>
    <w:p w:rsidR="00013F4E" w:rsidRPr="00A05641" w:rsidRDefault="00013F4E" w:rsidP="00013F4E">
      <w:pPr>
        <w:pStyle w:val="Caption"/>
        <w:ind w:right="663"/>
        <w:jc w:val="center"/>
        <w:rPr>
          <w:rFonts w:ascii="Times New Roman" w:hAnsi="Times New Roman" w:cs="Times New Roman"/>
          <w:b/>
          <w:sz w:val="22"/>
          <w:szCs w:val="22"/>
        </w:rPr>
      </w:pPr>
      <w:r w:rsidRPr="00A05641">
        <w:rPr>
          <w:rFonts w:ascii="Times New Roman" w:hAnsi="Times New Roman" w:cs="Times New Roman"/>
          <w:b/>
          <w:noProof/>
          <w:sz w:val="22"/>
          <w:szCs w:val="22"/>
          <w:lang w:eastAsia="zh-CN"/>
        </w:rPr>
        <w:drawing>
          <wp:inline distT="0" distB="0" distL="0" distR="0" wp14:anchorId="6FF8BF18" wp14:editId="34C7E3A5">
            <wp:extent cx="4683319" cy="3562184"/>
            <wp:effectExtent l="0" t="0" r="0" b="0"/>
            <wp:docPr id="151"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1" cstate="print"/>
                    <a:srcRect/>
                    <a:stretch>
                      <a:fillRect/>
                    </a:stretch>
                  </pic:blipFill>
                  <pic:spPr bwMode="auto">
                    <a:xfrm>
                      <a:off x="0" y="0"/>
                      <a:ext cx="4679938" cy="3559612"/>
                    </a:xfrm>
                    <a:prstGeom prst="rect">
                      <a:avLst/>
                    </a:prstGeom>
                    <a:noFill/>
                    <a:ln w="9525">
                      <a:noFill/>
                      <a:miter lim="800000"/>
                      <a:headEnd/>
                      <a:tailEnd/>
                    </a:ln>
                  </pic:spPr>
                </pic:pic>
              </a:graphicData>
            </a:graphic>
          </wp:inline>
        </w:drawing>
      </w:r>
    </w:p>
    <w:p w:rsidR="00013F4E" w:rsidRPr="00A05641" w:rsidRDefault="00013F4E" w:rsidP="00013F4E">
      <w:pPr>
        <w:pStyle w:val="WCPFCCaption"/>
        <w:ind w:left="1440" w:hanging="1440"/>
        <w:rPr>
          <w:sz w:val="22"/>
          <w:szCs w:val="22"/>
        </w:rPr>
      </w:pPr>
      <w:r>
        <w:rPr>
          <w:sz w:val="22"/>
          <w:szCs w:val="22"/>
        </w:rPr>
        <w:t>Figure OCS 2:</w:t>
      </w:r>
      <w:r w:rsidRPr="00A05641">
        <w:rPr>
          <w:sz w:val="22"/>
          <w:szCs w:val="22"/>
        </w:rPr>
        <w:tab/>
      </w:r>
      <w:r w:rsidRPr="00A05641">
        <w:rPr>
          <w:b w:val="0"/>
          <w:sz w:val="22"/>
          <w:szCs w:val="22"/>
        </w:rPr>
        <w:t>Estimated fishing mortality by fleet for the reference case over the model period.</w:t>
      </w:r>
    </w:p>
    <w:p w:rsidR="00013F4E" w:rsidRPr="00A05641" w:rsidRDefault="00013F4E" w:rsidP="00013F4E">
      <w:pPr>
        <w:pStyle w:val="WCPFCCaption"/>
        <w:ind w:left="0" w:firstLine="0"/>
        <w:rPr>
          <w:b w:val="0"/>
          <w:sz w:val="22"/>
          <w:szCs w:val="22"/>
        </w:rPr>
      </w:pPr>
    </w:p>
    <w:p w:rsidR="00013F4E" w:rsidRPr="00A05641" w:rsidRDefault="00013F4E" w:rsidP="00013F4E">
      <w:pPr>
        <w:keepNext/>
        <w:rPr>
          <w:rFonts w:ascii="Times New Roman" w:hAnsi="Times New Roman" w:cs="Times New Roman"/>
        </w:rPr>
      </w:pPr>
      <w:r w:rsidRPr="00A05641">
        <w:rPr>
          <w:rFonts w:ascii="Times New Roman" w:hAnsi="Times New Roman" w:cs="Times New Roman"/>
          <w:noProof/>
          <w:lang w:eastAsia="zh-CN"/>
        </w:rPr>
        <w:drawing>
          <wp:inline distT="0" distB="0" distL="0" distR="0" wp14:anchorId="73750861" wp14:editId="6BCF7077">
            <wp:extent cx="5732145" cy="5732145"/>
            <wp:effectExtent l="0" t="0" r="0" b="0"/>
            <wp:docPr id="131"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2" cstate="print"/>
                    <a:srcRect/>
                    <a:stretch>
                      <a:fillRect/>
                    </a:stretch>
                  </pic:blipFill>
                  <pic:spPr bwMode="auto">
                    <a:xfrm>
                      <a:off x="0" y="0"/>
                      <a:ext cx="5732145" cy="5732145"/>
                    </a:xfrm>
                    <a:prstGeom prst="rect">
                      <a:avLst/>
                    </a:prstGeom>
                    <a:noFill/>
                    <a:ln w="9525">
                      <a:noFill/>
                      <a:miter lim="800000"/>
                      <a:headEnd/>
                      <a:tailEnd/>
                    </a:ln>
                  </pic:spPr>
                </pic:pic>
              </a:graphicData>
            </a:graphic>
          </wp:inline>
        </w:drawing>
      </w:r>
    </w:p>
    <w:p w:rsidR="00013F4E" w:rsidRPr="00A05641" w:rsidRDefault="00013F4E" w:rsidP="00013F4E">
      <w:pPr>
        <w:pStyle w:val="WCPFCCaption"/>
        <w:ind w:left="0" w:firstLine="0"/>
        <w:rPr>
          <w:sz w:val="22"/>
          <w:szCs w:val="22"/>
        </w:rPr>
      </w:pPr>
      <w:r>
        <w:rPr>
          <w:sz w:val="22"/>
          <w:szCs w:val="22"/>
        </w:rPr>
        <w:t>Figure OCS 3:</w:t>
      </w:r>
      <w:r w:rsidRPr="00A05641">
        <w:rPr>
          <w:sz w:val="22"/>
          <w:szCs w:val="22"/>
        </w:rPr>
        <w:tab/>
      </w:r>
      <w:r w:rsidRPr="00A05641">
        <w:rPr>
          <w:b w:val="0"/>
          <w:sz w:val="22"/>
          <w:szCs w:val="22"/>
        </w:rPr>
        <w:t xml:space="preserve">Sensitivity analysis effects on total biomass (top) and recruitment (bottom) of alternate variable levels on the reference case. </w:t>
      </w:r>
      <w:r>
        <w:rPr>
          <w:b w:val="0"/>
          <w:sz w:val="22"/>
          <w:szCs w:val="22"/>
        </w:rPr>
        <w:t>F</w:t>
      </w:r>
      <w:r w:rsidRPr="00A05641">
        <w:rPr>
          <w:b w:val="0"/>
          <w:sz w:val="22"/>
          <w:szCs w:val="22"/>
        </w:rPr>
        <w:t xml:space="preserve">igures on the left show the effects of natural mortality, SigmaR (the s.d. on the recruitment devs.) and steepness. </w:t>
      </w:r>
      <w:r>
        <w:rPr>
          <w:b w:val="0"/>
          <w:sz w:val="22"/>
          <w:szCs w:val="22"/>
        </w:rPr>
        <w:t>F</w:t>
      </w:r>
      <w:r w:rsidRPr="00A05641">
        <w:rPr>
          <w:b w:val="0"/>
          <w:sz w:val="22"/>
          <w:szCs w:val="22"/>
        </w:rPr>
        <w:t>igures on the right show the effects of changing the catch inputs, initial depletion, sample size down weighting, and CPUE inputs.</w:t>
      </w:r>
      <w:r w:rsidRPr="00A05641">
        <w:rPr>
          <w:sz w:val="22"/>
          <w:szCs w:val="22"/>
        </w:rPr>
        <w:t xml:space="preserve">  </w:t>
      </w:r>
    </w:p>
    <w:p w:rsidR="00013F4E" w:rsidRPr="00A05641" w:rsidRDefault="00013F4E" w:rsidP="00013F4E">
      <w:pPr>
        <w:pStyle w:val="Caption"/>
        <w:keepNext/>
        <w:jc w:val="center"/>
        <w:rPr>
          <w:rFonts w:ascii="Times New Roman" w:hAnsi="Times New Roman" w:cs="Times New Roman"/>
          <w:b/>
          <w:noProof/>
          <w:sz w:val="22"/>
          <w:szCs w:val="22"/>
        </w:rPr>
      </w:pPr>
    </w:p>
    <w:p w:rsidR="00013F4E" w:rsidRPr="00A05641" w:rsidRDefault="00013F4E" w:rsidP="00013F4E">
      <w:pPr>
        <w:rPr>
          <w:rFonts w:ascii="Times New Roman" w:hAnsi="Times New Roman" w:cs="Times New Roman"/>
        </w:rPr>
      </w:pPr>
    </w:p>
    <w:p w:rsidR="00013F4E" w:rsidRPr="00A05641" w:rsidRDefault="00013F4E" w:rsidP="00013F4E">
      <w:pPr>
        <w:rPr>
          <w:rFonts w:ascii="Times New Roman" w:hAnsi="Times New Roman" w:cs="Times New Roman"/>
          <w:highlight w:val="yellow"/>
        </w:rPr>
      </w:pPr>
    </w:p>
    <w:p w:rsidR="00013F4E" w:rsidRPr="00A05641" w:rsidRDefault="00013F4E" w:rsidP="00013F4E">
      <w:pPr>
        <w:snapToGrid w:val="0"/>
        <w:spacing w:line="240" w:lineRule="auto"/>
        <w:jc w:val="center"/>
        <w:rPr>
          <w:rFonts w:ascii="Times New Roman" w:eastAsia="MS Mincho" w:hAnsi="Times New Roman" w:cs="Times New Roman"/>
          <w:lang w:eastAsia="ja-JP"/>
        </w:rPr>
      </w:pPr>
    </w:p>
    <w:p w:rsidR="00013F4E" w:rsidRPr="00A05641" w:rsidRDefault="00013F4E" w:rsidP="00013F4E">
      <w:pPr>
        <w:snapToGrid w:val="0"/>
        <w:spacing w:line="240" w:lineRule="auto"/>
        <w:jc w:val="center"/>
        <w:rPr>
          <w:rFonts w:ascii="Times New Roman" w:eastAsia="MS Mincho" w:hAnsi="Times New Roman" w:cs="Times New Roman"/>
          <w:lang w:eastAsia="ja-JP"/>
        </w:rPr>
      </w:pPr>
      <w:r w:rsidRPr="00A05641">
        <w:rPr>
          <w:rFonts w:ascii="Times New Roman" w:eastAsia="MS Mincho" w:hAnsi="Times New Roman" w:cs="Times New Roman"/>
          <w:noProof/>
          <w:lang w:eastAsia="zh-CN"/>
        </w:rPr>
        <w:lastRenderedPageBreak/>
        <w:drawing>
          <wp:inline distT="0" distB="0" distL="0" distR="0" wp14:anchorId="101A6F8F" wp14:editId="61366AD5">
            <wp:extent cx="5004945" cy="5004945"/>
            <wp:effectExtent l="19050" t="0" r="5205" b="0"/>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004945" cy="5004945"/>
                    </a:xfrm>
                    <a:prstGeom prst="rect">
                      <a:avLst/>
                    </a:prstGeom>
                    <a:noFill/>
                  </pic:spPr>
                </pic:pic>
              </a:graphicData>
            </a:graphic>
          </wp:inline>
        </w:drawing>
      </w:r>
    </w:p>
    <w:p w:rsidR="00013F4E" w:rsidRPr="00A05641" w:rsidRDefault="00013F4E" w:rsidP="00013F4E">
      <w:pPr>
        <w:pStyle w:val="WCPFCCaption"/>
        <w:ind w:left="0" w:firstLine="0"/>
        <w:jc w:val="both"/>
        <w:rPr>
          <w:sz w:val="22"/>
          <w:szCs w:val="22"/>
        </w:rPr>
      </w:pPr>
      <w:r>
        <w:rPr>
          <w:rFonts w:eastAsia="Batang"/>
          <w:sz w:val="22"/>
          <w:szCs w:val="22"/>
        </w:rPr>
        <w:t>Figure OCS 4:</w:t>
      </w:r>
      <w:r w:rsidRPr="00A05641">
        <w:rPr>
          <w:rFonts w:eastAsia="Batang"/>
          <w:sz w:val="22"/>
          <w:szCs w:val="22"/>
        </w:rPr>
        <w:tab/>
      </w:r>
      <w:r w:rsidRPr="00A05641">
        <w:rPr>
          <w:b w:val="0"/>
          <w:sz w:val="22"/>
          <w:szCs w:val="22"/>
        </w:rPr>
        <w:t xml:space="preserve">Kobe plots indicating annual stock status, relative to </w:t>
      </w:r>
      <w:r w:rsidRPr="00EC28E0">
        <w:rPr>
          <w:b w:val="0"/>
          <w:i/>
          <w:sz w:val="22"/>
          <w:szCs w:val="22"/>
        </w:rPr>
        <w:t>SB</w:t>
      </w:r>
      <w:r w:rsidRPr="00EC28E0">
        <w:rPr>
          <w:b w:val="0"/>
          <w:i/>
          <w:sz w:val="22"/>
          <w:szCs w:val="22"/>
          <w:vertAlign w:val="subscript"/>
        </w:rPr>
        <w:t>MSY</w:t>
      </w:r>
      <w:r w:rsidRPr="00A05641">
        <w:rPr>
          <w:b w:val="0"/>
          <w:sz w:val="22"/>
          <w:szCs w:val="22"/>
        </w:rPr>
        <w:t xml:space="preserve"> (x-axis) and </w:t>
      </w:r>
      <w:r w:rsidRPr="00EC28E0">
        <w:rPr>
          <w:b w:val="0"/>
          <w:i/>
          <w:sz w:val="22"/>
          <w:szCs w:val="22"/>
        </w:rPr>
        <w:t>F</w:t>
      </w:r>
      <w:r w:rsidRPr="00EC28E0">
        <w:rPr>
          <w:b w:val="0"/>
          <w:i/>
          <w:sz w:val="22"/>
          <w:szCs w:val="22"/>
          <w:vertAlign w:val="subscript"/>
        </w:rPr>
        <w:t>MSY</w:t>
      </w:r>
      <w:r w:rsidRPr="00A05641">
        <w:rPr>
          <w:b w:val="0"/>
          <w:sz w:val="22"/>
          <w:szCs w:val="22"/>
        </w:rPr>
        <w:t xml:space="preserve"> (y-axis) reference points. These present the reference model for the period 1995–2009 (top left panel), the statistical uncertainty based on the</w:t>
      </w:r>
      <w:r>
        <w:rPr>
          <w:b w:val="0"/>
          <w:sz w:val="22"/>
          <w:szCs w:val="22"/>
        </w:rPr>
        <w:t xml:space="preserve"> </w:t>
      </w:r>
      <w:r w:rsidRPr="00EC28E0">
        <w:rPr>
          <w:b w:val="0"/>
          <w:sz w:val="24"/>
          <w:szCs w:val="24"/>
        </w:rPr>
        <w:t>Markov chain Monte Carlo</w:t>
      </w:r>
      <w:r w:rsidRPr="00EC28E0">
        <w:rPr>
          <w:b w:val="0"/>
          <w:sz w:val="22"/>
          <w:szCs w:val="22"/>
        </w:rPr>
        <w:t xml:space="preserve"> (MCMC)</w:t>
      </w:r>
      <w:r w:rsidRPr="00A05641">
        <w:rPr>
          <w:b w:val="0"/>
          <w:sz w:val="22"/>
          <w:szCs w:val="22"/>
        </w:rPr>
        <w:t xml:space="preserve"> analysis for the current (average of 2005</w:t>
      </w:r>
      <w:r>
        <w:rPr>
          <w:b w:val="0"/>
          <w:sz w:val="22"/>
          <w:szCs w:val="22"/>
        </w:rPr>
        <w:t>–</w:t>
      </w:r>
      <w:r w:rsidRPr="00A05641">
        <w:rPr>
          <w:b w:val="0"/>
          <w:sz w:val="22"/>
          <w:szCs w:val="22"/>
        </w:rPr>
        <w:t>2008) status (top right panel, blue dot indicates current estimates), and based on the current (average of 2005</w:t>
      </w:r>
      <w:r>
        <w:rPr>
          <w:b w:val="0"/>
          <w:sz w:val="22"/>
          <w:szCs w:val="22"/>
        </w:rPr>
        <w:t>–</w:t>
      </w:r>
      <w:r w:rsidRPr="00A05641">
        <w:rPr>
          <w:b w:val="0"/>
          <w:sz w:val="22"/>
          <w:szCs w:val="22"/>
        </w:rPr>
        <w:t>2008) estimates for all 648 models in the grid (bottom panel). In the bottom panel</w:t>
      </w:r>
      <w:r>
        <w:rPr>
          <w:b w:val="0"/>
          <w:sz w:val="22"/>
          <w:szCs w:val="22"/>
        </w:rPr>
        <w:t>,</w:t>
      </w:r>
      <w:r w:rsidRPr="00A05641">
        <w:rPr>
          <w:b w:val="0"/>
          <w:sz w:val="22"/>
          <w:szCs w:val="22"/>
        </w:rPr>
        <w:t xml:space="preserve"> the size of the blue circles is proportional to the weight (plausibility) of the model run. The pie chart in the top right summari</w:t>
      </w:r>
      <w:r>
        <w:rPr>
          <w:b w:val="0"/>
          <w:sz w:val="22"/>
          <w:szCs w:val="22"/>
        </w:rPr>
        <w:t>z</w:t>
      </w:r>
      <w:r w:rsidRPr="00A05641">
        <w:rPr>
          <w:b w:val="0"/>
          <w:sz w:val="22"/>
          <w:szCs w:val="22"/>
        </w:rPr>
        <w:t>es the proportion of model weight in each quadrant. Note that the y-axes range differ in the bottom plot.</w:t>
      </w:r>
      <w:r w:rsidRPr="00A05641" w:rsidDel="0022238A">
        <w:rPr>
          <w:b w:val="0"/>
          <w:sz w:val="22"/>
          <w:szCs w:val="22"/>
        </w:rPr>
        <w:t xml:space="preserve"> </w:t>
      </w:r>
    </w:p>
    <w:p w:rsidR="00013F4E" w:rsidRPr="007F3A49" w:rsidRDefault="00013F4E" w:rsidP="007F3A49">
      <w:pPr>
        <w:snapToGrid w:val="0"/>
        <w:spacing w:after="0" w:line="240" w:lineRule="auto"/>
        <w:jc w:val="both"/>
        <w:rPr>
          <w:rFonts w:ascii="Times New Roman" w:hAnsi="Times New Roman" w:cs="Times New Roman"/>
          <w:b/>
        </w:rPr>
      </w:pPr>
      <w:r w:rsidRPr="007F3A49">
        <w:rPr>
          <w:rFonts w:ascii="Times New Roman" w:hAnsi="Times New Roman" w:cs="Times New Roman"/>
          <w:b/>
        </w:rPr>
        <w:t>b.</w:t>
      </w:r>
      <w:r w:rsidRPr="007F3A49">
        <w:rPr>
          <w:rFonts w:ascii="Times New Roman" w:hAnsi="Times New Roman" w:cs="Times New Roman"/>
          <w:b/>
        </w:rPr>
        <w:tab/>
        <w:t xml:space="preserve">Management advice and implications </w:t>
      </w:r>
    </w:p>
    <w:p w:rsidR="00013F4E" w:rsidRPr="00A05641" w:rsidRDefault="00013F4E" w:rsidP="00013F4E">
      <w:pPr>
        <w:pStyle w:val="Default"/>
        <w:ind w:left="720" w:hanging="720"/>
        <w:rPr>
          <w:sz w:val="22"/>
          <w:szCs w:val="22"/>
        </w:rPr>
      </w:pPr>
    </w:p>
    <w:p w:rsidR="00013F4E" w:rsidRPr="00A05641" w:rsidRDefault="00013F4E" w:rsidP="00013F4E">
      <w:pPr>
        <w:pStyle w:val="ListParagraph"/>
        <w:numPr>
          <w:ilvl w:val="0"/>
          <w:numId w:val="37"/>
        </w:numPr>
        <w:ind w:left="0" w:firstLine="0"/>
        <w:rPr>
          <w:rFonts w:ascii="Times New Roman" w:hAnsi="Times New Roman"/>
          <w:b/>
          <w:color w:val="000000"/>
        </w:rPr>
      </w:pPr>
      <w:r w:rsidRPr="00A05641">
        <w:rPr>
          <w:rFonts w:ascii="Times New Roman" w:hAnsi="Times New Roman"/>
          <w:b/>
          <w:color w:val="000000"/>
        </w:rPr>
        <w:t xml:space="preserve">Despite the data limitations going into the assessment, and the wide range of uncertainties considered, all of the accepted model runs indicate that the WCPO oceanic whitetip shark stock is currently overfished and overfishing is occurring relative to commonly used MSY-based reference points and depletion-based reference points. Management measures to reduce fishing mortality and to rebuild spawning biomass have been agreed to under CMM 2011-04, but mitigation to avoid capture is recommended.  </w:t>
      </w:r>
    </w:p>
    <w:p w:rsidR="00013F4E" w:rsidRPr="00A05641" w:rsidRDefault="00013F4E" w:rsidP="00013F4E">
      <w:pPr>
        <w:pStyle w:val="ListParagraph"/>
        <w:ind w:left="630" w:hanging="630"/>
        <w:rPr>
          <w:rFonts w:ascii="Times New Roman" w:hAnsi="Times New Roman"/>
          <w:b/>
          <w:color w:val="000000"/>
        </w:rPr>
      </w:pPr>
    </w:p>
    <w:p w:rsidR="00013F4E" w:rsidRPr="00A05641" w:rsidRDefault="00013F4E" w:rsidP="00013F4E">
      <w:pPr>
        <w:pStyle w:val="ListParagraph"/>
        <w:numPr>
          <w:ilvl w:val="0"/>
          <w:numId w:val="37"/>
        </w:numPr>
        <w:ind w:left="0" w:firstLine="0"/>
        <w:rPr>
          <w:rFonts w:ascii="Times New Roman" w:hAnsi="Times New Roman"/>
          <w:b/>
          <w:color w:val="000000"/>
        </w:rPr>
      </w:pPr>
      <w:r w:rsidRPr="00A05641">
        <w:rPr>
          <w:rFonts w:ascii="Times New Roman" w:hAnsi="Times New Roman"/>
          <w:b/>
          <w:color w:val="000000"/>
        </w:rPr>
        <w:lastRenderedPageBreak/>
        <w:t xml:space="preserve">Given the bycatch nature of most fishery impacts, mitigation measures provide the best opportunity to improve the status of the WCPO oceanic whitetip shark stock.  </w:t>
      </w:r>
    </w:p>
    <w:p w:rsidR="00013F4E" w:rsidRPr="00A05641" w:rsidRDefault="00013F4E" w:rsidP="00013F4E">
      <w:pPr>
        <w:pStyle w:val="ListParagraph"/>
        <w:ind w:left="0"/>
        <w:rPr>
          <w:rFonts w:ascii="Times New Roman" w:hAnsi="Times New Roman"/>
          <w:b/>
          <w:color w:val="000000"/>
        </w:rPr>
      </w:pPr>
    </w:p>
    <w:p w:rsidR="00013F4E" w:rsidRPr="00A05641" w:rsidRDefault="00013F4E" w:rsidP="00013F4E">
      <w:pPr>
        <w:pStyle w:val="ListParagraph"/>
        <w:numPr>
          <w:ilvl w:val="0"/>
          <w:numId w:val="37"/>
        </w:numPr>
        <w:ind w:left="0" w:firstLine="0"/>
        <w:rPr>
          <w:rFonts w:ascii="Times New Roman" w:hAnsi="Times New Roman"/>
          <w:b/>
        </w:rPr>
      </w:pPr>
      <w:r w:rsidRPr="00A05641">
        <w:rPr>
          <w:rFonts w:ascii="Times New Roman" w:hAnsi="Times New Roman"/>
          <w:b/>
          <w:color w:val="000000"/>
        </w:rPr>
        <w:t>Reference points for non-target species, including oceanic whitetip sharks, should be developed as envisaged under Articles 5 and 10 of the WCPF Convention.</w:t>
      </w:r>
    </w:p>
    <w:p w:rsidR="00013F4E" w:rsidRDefault="00013F4E" w:rsidP="004F5506">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7178" w:rsidRDefault="005C7178" w:rsidP="005C7178">
      <w:pPr>
        <w:pStyle w:val="Heading1"/>
        <w:rPr>
          <w:rFonts w:eastAsia="MS Mincho"/>
          <w:lang w:val="en-NZ" w:eastAsia="en-NZ"/>
        </w:rPr>
      </w:pPr>
      <w:bookmarkStart w:id="8" w:name="_Toc495323856"/>
      <w:bookmarkStart w:id="9" w:name="_Toc504731674"/>
      <w:r>
        <w:rPr>
          <w:rFonts w:eastAsia="MS Mincho"/>
          <w:lang w:val="en-NZ" w:eastAsia="en-NZ"/>
        </w:rPr>
        <w:t>Useful References</w:t>
      </w:r>
      <w:bookmarkEnd w:id="8"/>
      <w:bookmarkEnd w:id="9"/>
    </w:p>
    <w:p w:rsidR="00416473" w:rsidRDefault="00416473" w:rsidP="00416473">
      <w:pPr>
        <w:spacing w:after="0" w:line="240" w:lineRule="auto"/>
        <w:rPr>
          <w:b/>
        </w:rPr>
      </w:pPr>
    </w:p>
    <w:p w:rsidR="005C7178" w:rsidRPr="005C7178" w:rsidRDefault="00B33AFC"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WCPFC-</w:t>
      </w:r>
      <w:r w:rsidR="0014362A">
        <w:rPr>
          <w:rFonts w:ascii="Times New Roman" w:eastAsia="MS Mincho" w:hAnsi="Times New Roman" w:cs="Times New Roman"/>
          <w:color w:val="000000"/>
          <w:lang w:val="en-NZ" w:eastAsia="en-NZ"/>
        </w:rPr>
        <w:t>SC</w:t>
      </w:r>
      <w:bookmarkStart w:id="10" w:name="_GoBack"/>
      <w:bookmarkEnd w:id="10"/>
      <w:r w:rsidR="0014362A">
        <w:rPr>
          <w:rFonts w:ascii="Times New Roman" w:eastAsia="MS Mincho" w:hAnsi="Times New Roman" w:cs="Times New Roman"/>
          <w:color w:val="000000"/>
          <w:lang w:val="en-NZ" w:eastAsia="en-NZ"/>
        </w:rPr>
        <w:t>8</w:t>
      </w:r>
      <w:r w:rsidR="005C7178" w:rsidRPr="005C7178">
        <w:rPr>
          <w:rFonts w:ascii="Times New Roman" w:eastAsia="MS Mincho" w:hAnsi="Times New Roman" w:cs="Times New Roman"/>
          <w:color w:val="000000"/>
          <w:lang w:val="en-NZ" w:eastAsia="en-NZ"/>
        </w:rPr>
        <w:t>-</w:t>
      </w:r>
      <w:r w:rsidR="005C7178">
        <w:rPr>
          <w:rFonts w:ascii="Times New Roman" w:eastAsia="MS Mincho" w:hAnsi="Times New Roman" w:cs="Times New Roman"/>
          <w:color w:val="000000"/>
          <w:lang w:val="en-NZ" w:eastAsia="en-NZ"/>
        </w:rPr>
        <w:t>SA-WP</w:t>
      </w:r>
      <w:r w:rsidR="004F5329">
        <w:rPr>
          <w:rFonts w:ascii="Times New Roman" w:eastAsia="MS Mincho" w:hAnsi="Times New Roman" w:cs="Times New Roman"/>
          <w:color w:val="000000"/>
          <w:lang w:val="en-NZ" w:eastAsia="en-NZ"/>
        </w:rPr>
        <w:t>-</w:t>
      </w:r>
      <w:r w:rsidR="0014362A">
        <w:rPr>
          <w:rFonts w:ascii="Times New Roman" w:eastAsia="MS Mincho" w:hAnsi="Times New Roman" w:cs="Times New Roman"/>
          <w:color w:val="000000"/>
          <w:lang w:val="en-NZ" w:eastAsia="en-NZ"/>
        </w:rPr>
        <w:t>06</w:t>
      </w:r>
      <w:r w:rsidR="005C7178">
        <w:rPr>
          <w:rFonts w:ascii="Times New Roman" w:eastAsia="MS Mincho" w:hAnsi="Times New Roman" w:cs="Times New Roman"/>
          <w:color w:val="000000"/>
          <w:lang w:val="en-NZ" w:eastAsia="en-NZ"/>
        </w:rPr>
        <w:t xml:space="preserve"> </w:t>
      </w:r>
      <w:r w:rsidR="0014362A" w:rsidRPr="0014362A">
        <w:rPr>
          <w:rFonts w:cs="Arial"/>
          <w:lang w:val="en"/>
        </w:rPr>
        <w:t>Stock Assessment of Oceanic Whitetip Sharks in the Western and Central Pacific Ocean Rev 1 (3 August 2012)</w:t>
      </w:r>
      <w:r w:rsidR="0014362A">
        <w:rPr>
          <w:rFonts w:cs="Arial"/>
          <w:lang w:val="en"/>
        </w:rPr>
        <w:t xml:space="preserve">. </w:t>
      </w:r>
      <w:hyperlink r:id="rId14" w:history="1">
        <w:r w:rsidR="0014362A" w:rsidRPr="008609E8">
          <w:rPr>
            <w:rStyle w:val="Hyperlink"/>
            <w:rFonts w:cs="Arial"/>
            <w:lang w:val="en"/>
          </w:rPr>
          <w:t>https://www.wcpfc.int/node/3235</w:t>
        </w:r>
      </w:hyperlink>
      <w:r w:rsidR="0014362A">
        <w:rPr>
          <w:rFonts w:cs="Arial"/>
          <w:lang w:val="en"/>
        </w:rPr>
        <w:t xml:space="preserve"> </w:t>
      </w: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BF5825" w:rsidRPr="005C7178"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BF5825" w:rsidRPr="005C7178" w:rsidSect="00400113">
      <w:footerReference w:type="default" r:id="rId15"/>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D13" w:rsidRDefault="00060D13" w:rsidP="005C2B8D">
      <w:pPr>
        <w:spacing w:after="0" w:line="240" w:lineRule="auto"/>
      </w:pPr>
      <w:r>
        <w:separator/>
      </w:r>
    </w:p>
  </w:endnote>
  <w:endnote w:type="continuationSeparator" w:id="0">
    <w:p w:rsidR="00060D13" w:rsidRDefault="00060D13"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B33AFC">
          <w:rPr>
            <w:noProof/>
          </w:rPr>
          <w:t>8</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D13" w:rsidRDefault="00060D13" w:rsidP="005C2B8D">
      <w:pPr>
        <w:spacing w:after="0" w:line="240" w:lineRule="auto"/>
      </w:pPr>
      <w:r>
        <w:separator/>
      </w:r>
    </w:p>
  </w:footnote>
  <w:footnote w:type="continuationSeparator" w:id="0">
    <w:p w:rsidR="00060D13" w:rsidRDefault="00060D13"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9250E"/>
    <w:multiLevelType w:val="hybridMultilevel"/>
    <w:tmpl w:val="2BF00DEA"/>
    <w:lvl w:ilvl="0" w:tplc="A39E8F12">
      <w:start w:val="359"/>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3"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7C0D20"/>
    <w:multiLevelType w:val="hybridMultilevel"/>
    <w:tmpl w:val="B908FB54"/>
    <w:lvl w:ilvl="0" w:tplc="778E1C44">
      <w:start w:val="20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1"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2"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4"/>
  </w:num>
  <w:num w:numId="4">
    <w:abstractNumId w:val="14"/>
  </w:num>
  <w:num w:numId="5">
    <w:abstractNumId w:val="0"/>
  </w:num>
  <w:num w:numId="6">
    <w:abstractNumId w:val="9"/>
    <w:lvlOverride w:ilvl="0">
      <w:startOverride w:val="393"/>
    </w:lvlOverride>
  </w:num>
  <w:num w:numId="7">
    <w:abstractNumId w:val="15"/>
  </w:num>
  <w:num w:numId="8">
    <w:abstractNumId w:val="17"/>
  </w:num>
  <w:num w:numId="9">
    <w:abstractNumId w:val="21"/>
  </w:num>
  <w:num w:numId="10">
    <w:abstractNumId w:val="13"/>
  </w:num>
  <w:num w:numId="11">
    <w:abstractNumId w:val="24"/>
  </w:num>
  <w:num w:numId="12">
    <w:abstractNumId w:val="9"/>
  </w:num>
  <w:num w:numId="13">
    <w:abstractNumId w:val="8"/>
  </w:num>
  <w:num w:numId="14">
    <w:abstractNumId w:val="10"/>
  </w:num>
  <w:num w:numId="15">
    <w:abstractNumId w:val="18"/>
  </w:num>
  <w:num w:numId="16">
    <w:abstractNumId w:val="19"/>
  </w:num>
  <w:num w:numId="17">
    <w:abstractNumId w:val="6"/>
  </w:num>
  <w:num w:numId="18">
    <w:abstractNumId w:val="2"/>
  </w:num>
  <w:num w:numId="19">
    <w:abstractNumId w:val="5"/>
  </w:num>
  <w:num w:numId="20">
    <w:abstractNumId w:val="7"/>
  </w:num>
  <w:num w:numId="21">
    <w:abstractNumId w:val="11"/>
  </w:num>
  <w:num w:numId="22">
    <w:abstractNumId w:val="9"/>
  </w:num>
  <w:num w:numId="23">
    <w:abstractNumId w:val="9"/>
  </w:num>
  <w:num w:numId="24">
    <w:abstractNumId w:val="1"/>
  </w:num>
  <w:num w:numId="25">
    <w:abstractNumId w:val="9"/>
  </w:num>
  <w:num w:numId="26">
    <w:abstractNumId w:val="9"/>
  </w:num>
  <w:num w:numId="27">
    <w:abstractNumId w:val="23"/>
  </w:num>
  <w:num w:numId="28">
    <w:abstractNumId w:val="12"/>
  </w:num>
  <w:num w:numId="29">
    <w:abstractNumId w:val="9"/>
  </w:num>
  <w:num w:numId="30">
    <w:abstractNumId w:val="9"/>
  </w:num>
  <w:num w:numId="31">
    <w:abstractNumId w:val="12"/>
  </w:num>
  <w:num w:numId="32">
    <w:abstractNumId w:val="20"/>
  </w:num>
  <w:num w:numId="33">
    <w:abstractNumId w:val="3"/>
  </w:num>
  <w:num w:numId="34">
    <w:abstractNumId w:val="12"/>
  </w:num>
  <w:num w:numId="35">
    <w:abstractNumId w:val="12"/>
  </w:num>
  <w:num w:numId="36">
    <w:abstractNumId w:val="12"/>
    <w:lvlOverride w:ilvl="0">
      <w:startOverride w:val="208"/>
    </w:lvlOverride>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DF"/>
    <w:rsid w:val="00013F4E"/>
    <w:rsid w:val="00060D13"/>
    <w:rsid w:val="0014362A"/>
    <w:rsid w:val="001B44D1"/>
    <w:rsid w:val="002D086C"/>
    <w:rsid w:val="003060E3"/>
    <w:rsid w:val="0038238E"/>
    <w:rsid w:val="003F50D6"/>
    <w:rsid w:val="00400113"/>
    <w:rsid w:val="00416473"/>
    <w:rsid w:val="004B05DF"/>
    <w:rsid w:val="004C0F6A"/>
    <w:rsid w:val="004C1EE5"/>
    <w:rsid w:val="004C4F3D"/>
    <w:rsid w:val="004D1F0E"/>
    <w:rsid w:val="004F5329"/>
    <w:rsid w:val="004F5506"/>
    <w:rsid w:val="005374AB"/>
    <w:rsid w:val="00550074"/>
    <w:rsid w:val="005A5AA1"/>
    <w:rsid w:val="005B1A1E"/>
    <w:rsid w:val="005C2B8D"/>
    <w:rsid w:val="005C5284"/>
    <w:rsid w:val="005C7178"/>
    <w:rsid w:val="00601C1F"/>
    <w:rsid w:val="00643A67"/>
    <w:rsid w:val="006515DB"/>
    <w:rsid w:val="006A51C4"/>
    <w:rsid w:val="006D1BC2"/>
    <w:rsid w:val="00713FF9"/>
    <w:rsid w:val="0073054D"/>
    <w:rsid w:val="007766EA"/>
    <w:rsid w:val="00786006"/>
    <w:rsid w:val="007A432D"/>
    <w:rsid w:val="007B6CCE"/>
    <w:rsid w:val="007F00F1"/>
    <w:rsid w:val="007F084A"/>
    <w:rsid w:val="007F3A49"/>
    <w:rsid w:val="0086258F"/>
    <w:rsid w:val="00867480"/>
    <w:rsid w:val="009C1672"/>
    <w:rsid w:val="00B33AFC"/>
    <w:rsid w:val="00BD56FE"/>
    <w:rsid w:val="00BF2822"/>
    <w:rsid w:val="00BF5825"/>
    <w:rsid w:val="00C01084"/>
    <w:rsid w:val="00C64AF4"/>
    <w:rsid w:val="00CC3DC6"/>
    <w:rsid w:val="00CC59BE"/>
    <w:rsid w:val="00CF0B93"/>
    <w:rsid w:val="00D4373F"/>
    <w:rsid w:val="00D97911"/>
    <w:rsid w:val="00DC50D2"/>
    <w:rsid w:val="00E15B3B"/>
    <w:rsid w:val="00F528D9"/>
    <w:rsid w:val="00F535CC"/>
    <w:rsid w:val="00FB657D"/>
    <w:rsid w:val="00FC2C77"/>
    <w:rsid w:val="00FE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A5C8"/>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wcpfc.int/node/3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A5F8-4828-4981-8EBA-1F50FDC9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7</cp:revision>
  <dcterms:created xsi:type="dcterms:W3CDTF">2018-01-26T00:30:00Z</dcterms:created>
  <dcterms:modified xsi:type="dcterms:W3CDTF">2018-01-26T01:16:00Z</dcterms:modified>
</cp:coreProperties>
</file>