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B4BE1B" w14:textId="77777777" w:rsidR="004B05DF" w:rsidRDefault="00B45E24" w:rsidP="004B05DF">
      <w:pPr>
        <w:spacing w:after="0" w:line="240" w:lineRule="auto"/>
        <w:jc w:val="center"/>
        <w:rPr>
          <w:b/>
          <w:sz w:val="36"/>
          <w:szCs w:val="36"/>
        </w:rPr>
      </w:pPr>
      <w:r>
        <w:rPr>
          <w:b/>
          <w:sz w:val="36"/>
          <w:szCs w:val="36"/>
        </w:rPr>
        <w:t xml:space="preserve">North Pacific </w:t>
      </w:r>
      <w:r w:rsidR="00D84C45">
        <w:rPr>
          <w:b/>
          <w:sz w:val="36"/>
          <w:szCs w:val="36"/>
        </w:rPr>
        <w:t xml:space="preserve">Blue </w:t>
      </w:r>
      <w:r w:rsidR="0015000E">
        <w:rPr>
          <w:b/>
          <w:sz w:val="36"/>
          <w:szCs w:val="36"/>
        </w:rPr>
        <w:t>Shark</w:t>
      </w:r>
      <w:r w:rsidR="007A432D">
        <w:rPr>
          <w:b/>
          <w:sz w:val="36"/>
          <w:szCs w:val="36"/>
        </w:rPr>
        <w:t xml:space="preserve"> </w:t>
      </w:r>
      <w:r w:rsidR="004B05DF" w:rsidRPr="004B05DF">
        <w:rPr>
          <w:b/>
          <w:sz w:val="36"/>
          <w:szCs w:val="36"/>
        </w:rPr>
        <w:t>(</w:t>
      </w:r>
      <w:proofErr w:type="spellStart"/>
      <w:r w:rsidR="00A71C99">
        <w:rPr>
          <w:b/>
          <w:sz w:val="36"/>
          <w:szCs w:val="36"/>
        </w:rPr>
        <w:t>Isurus</w:t>
      </w:r>
      <w:proofErr w:type="spellEnd"/>
      <w:r w:rsidR="00A71C99">
        <w:rPr>
          <w:b/>
          <w:sz w:val="36"/>
          <w:szCs w:val="36"/>
        </w:rPr>
        <w:t xml:space="preserve"> </w:t>
      </w:r>
      <w:proofErr w:type="spellStart"/>
      <w:r w:rsidR="00A71C99">
        <w:rPr>
          <w:b/>
          <w:sz w:val="36"/>
          <w:szCs w:val="36"/>
        </w:rPr>
        <w:t>oxyrinchus</w:t>
      </w:r>
      <w:proofErr w:type="spellEnd"/>
      <w:r w:rsidR="0015000E">
        <w:rPr>
          <w:b/>
          <w:sz w:val="36"/>
          <w:szCs w:val="36"/>
        </w:rPr>
        <w:t>)</w:t>
      </w:r>
    </w:p>
    <w:p w14:paraId="19EE13D0" w14:textId="77777777" w:rsidR="004B05DF" w:rsidRPr="004B05DF" w:rsidRDefault="004B05DF" w:rsidP="004B05DF">
      <w:pPr>
        <w:spacing w:after="0" w:line="240" w:lineRule="auto"/>
        <w:jc w:val="center"/>
        <w:rPr>
          <w:b/>
          <w:sz w:val="28"/>
          <w:szCs w:val="28"/>
        </w:rPr>
      </w:pPr>
      <w:r w:rsidRPr="004B05DF">
        <w:rPr>
          <w:b/>
          <w:sz w:val="28"/>
          <w:szCs w:val="28"/>
        </w:rPr>
        <w:t>Stock Status &amp;</w:t>
      </w:r>
      <w:r w:rsidR="0015000E">
        <w:rPr>
          <w:b/>
          <w:sz w:val="28"/>
          <w:szCs w:val="28"/>
        </w:rPr>
        <w:t xml:space="preserve"> </w:t>
      </w:r>
      <w:r w:rsidRPr="004B05DF">
        <w:rPr>
          <w:b/>
          <w:sz w:val="28"/>
          <w:szCs w:val="28"/>
        </w:rPr>
        <w:t>Trends</w:t>
      </w:r>
      <w:r>
        <w:rPr>
          <w:b/>
          <w:sz w:val="28"/>
          <w:szCs w:val="28"/>
        </w:rPr>
        <w:t xml:space="preserve"> plus Management Advice and Implications</w:t>
      </w:r>
    </w:p>
    <w:p w14:paraId="5D7ACBBB" w14:textId="77777777" w:rsidR="004B05DF" w:rsidRDefault="004B05DF" w:rsidP="004B05DF">
      <w:pPr>
        <w:spacing w:after="0" w:line="240" w:lineRule="auto"/>
        <w:rPr>
          <w:b/>
        </w:rPr>
      </w:pPr>
    </w:p>
    <w:sdt>
      <w:sdtPr>
        <w:rPr>
          <w:rFonts w:asciiTheme="minorHAnsi" w:eastAsiaTheme="minorHAnsi" w:hAnsiTheme="minorHAnsi" w:cstheme="minorBidi"/>
          <w:color w:val="auto"/>
          <w:sz w:val="22"/>
          <w:szCs w:val="22"/>
        </w:rPr>
        <w:id w:val="-1203621396"/>
        <w:docPartObj>
          <w:docPartGallery w:val="Table of Contents"/>
          <w:docPartUnique/>
        </w:docPartObj>
      </w:sdtPr>
      <w:sdtEndPr>
        <w:rPr>
          <w:b/>
          <w:bCs/>
          <w:noProof/>
        </w:rPr>
      </w:sdtEndPr>
      <w:sdtContent>
        <w:p w14:paraId="4AE6B57A" w14:textId="77777777" w:rsidR="004B05DF" w:rsidRDefault="004B05DF">
          <w:pPr>
            <w:pStyle w:val="TOCHeading"/>
          </w:pPr>
          <w:r>
            <w:t>Contents</w:t>
          </w:r>
        </w:p>
        <w:p w14:paraId="107783FF" w14:textId="5824C416" w:rsidR="00BF2D94" w:rsidRDefault="004B05DF">
          <w:pPr>
            <w:pStyle w:val="TOC1"/>
            <w:tabs>
              <w:tab w:val="right" w:leader="dot" w:pos="9350"/>
            </w:tabs>
            <w:rPr>
              <w:rFonts w:eastAsiaTheme="minorEastAsia"/>
              <w:noProof/>
              <w:lang w:val="en-GB" w:eastAsia="en-GB"/>
            </w:rPr>
          </w:pPr>
          <w:r>
            <w:fldChar w:fldCharType="begin"/>
          </w:r>
          <w:r>
            <w:instrText xml:space="preserve"> TOC \o "1-3" \h \z \u </w:instrText>
          </w:r>
          <w:r>
            <w:fldChar w:fldCharType="separate"/>
          </w:r>
          <w:hyperlink w:anchor="_Toc522795530" w:history="1">
            <w:r w:rsidR="00BF2D94" w:rsidRPr="00250C3C">
              <w:rPr>
                <w:rStyle w:val="Hyperlink"/>
                <w:noProof/>
              </w:rPr>
              <w:t>SC14 2018</w:t>
            </w:r>
            <w:r w:rsidR="00BF2D94">
              <w:rPr>
                <w:noProof/>
                <w:webHidden/>
              </w:rPr>
              <w:tab/>
            </w:r>
            <w:r w:rsidR="00BF2D94">
              <w:rPr>
                <w:noProof/>
                <w:webHidden/>
              </w:rPr>
              <w:fldChar w:fldCharType="begin"/>
            </w:r>
            <w:r w:rsidR="00BF2D94">
              <w:rPr>
                <w:noProof/>
                <w:webHidden/>
              </w:rPr>
              <w:instrText xml:space="preserve"> PAGEREF _Toc522795530 \h </w:instrText>
            </w:r>
            <w:r w:rsidR="00BF2D94">
              <w:rPr>
                <w:noProof/>
                <w:webHidden/>
              </w:rPr>
            </w:r>
            <w:r w:rsidR="00BF2D94">
              <w:rPr>
                <w:noProof/>
                <w:webHidden/>
              </w:rPr>
              <w:fldChar w:fldCharType="separate"/>
            </w:r>
            <w:r w:rsidR="00BF2D94">
              <w:rPr>
                <w:noProof/>
                <w:webHidden/>
              </w:rPr>
              <w:t>1</w:t>
            </w:r>
            <w:r w:rsidR="00BF2D94">
              <w:rPr>
                <w:noProof/>
                <w:webHidden/>
              </w:rPr>
              <w:fldChar w:fldCharType="end"/>
            </w:r>
          </w:hyperlink>
        </w:p>
        <w:p w14:paraId="540F998A" w14:textId="5D7B4C21" w:rsidR="00BF2D94" w:rsidRDefault="005A4994">
          <w:pPr>
            <w:pStyle w:val="TOC1"/>
            <w:tabs>
              <w:tab w:val="right" w:leader="dot" w:pos="9350"/>
            </w:tabs>
            <w:rPr>
              <w:rFonts w:eastAsiaTheme="minorEastAsia"/>
              <w:noProof/>
              <w:lang w:val="en-GB" w:eastAsia="en-GB"/>
            </w:rPr>
          </w:pPr>
          <w:hyperlink w:anchor="_Toc522795531" w:history="1">
            <w:r w:rsidR="00BF2D94" w:rsidRPr="00250C3C">
              <w:rPr>
                <w:rStyle w:val="Hyperlink"/>
                <w:noProof/>
              </w:rPr>
              <w:t>SC13 2017 (Assessment Conducted)</w:t>
            </w:r>
            <w:r w:rsidR="00BF2D94">
              <w:rPr>
                <w:noProof/>
                <w:webHidden/>
              </w:rPr>
              <w:tab/>
            </w:r>
            <w:r w:rsidR="00BF2D94">
              <w:rPr>
                <w:noProof/>
                <w:webHidden/>
              </w:rPr>
              <w:fldChar w:fldCharType="begin"/>
            </w:r>
            <w:r w:rsidR="00BF2D94">
              <w:rPr>
                <w:noProof/>
                <w:webHidden/>
              </w:rPr>
              <w:instrText xml:space="preserve"> PAGEREF _Toc522795531 \h </w:instrText>
            </w:r>
            <w:r w:rsidR="00BF2D94">
              <w:rPr>
                <w:noProof/>
                <w:webHidden/>
              </w:rPr>
            </w:r>
            <w:r w:rsidR="00BF2D94">
              <w:rPr>
                <w:noProof/>
                <w:webHidden/>
              </w:rPr>
              <w:fldChar w:fldCharType="separate"/>
            </w:r>
            <w:r w:rsidR="00BF2D94">
              <w:rPr>
                <w:noProof/>
                <w:webHidden/>
              </w:rPr>
              <w:t>3</w:t>
            </w:r>
            <w:r w:rsidR="00BF2D94">
              <w:rPr>
                <w:noProof/>
                <w:webHidden/>
              </w:rPr>
              <w:fldChar w:fldCharType="end"/>
            </w:r>
          </w:hyperlink>
        </w:p>
        <w:p w14:paraId="75821D0B" w14:textId="1FC4BB34" w:rsidR="00BF2D94" w:rsidRDefault="005A4994">
          <w:pPr>
            <w:pStyle w:val="TOC1"/>
            <w:tabs>
              <w:tab w:val="right" w:leader="dot" w:pos="9350"/>
            </w:tabs>
            <w:rPr>
              <w:rFonts w:eastAsiaTheme="minorEastAsia"/>
              <w:noProof/>
              <w:lang w:val="en-GB" w:eastAsia="en-GB"/>
            </w:rPr>
          </w:pPr>
          <w:hyperlink w:anchor="_Toc522795532" w:history="1">
            <w:r w:rsidR="00BF2D94" w:rsidRPr="00250C3C">
              <w:rPr>
                <w:rStyle w:val="Hyperlink"/>
                <w:rFonts w:eastAsia="MS Mincho"/>
                <w:noProof/>
                <w:lang w:val="en-NZ" w:eastAsia="en-NZ"/>
              </w:rPr>
              <w:t>Useful References</w:t>
            </w:r>
            <w:r w:rsidR="00BF2D94">
              <w:rPr>
                <w:noProof/>
                <w:webHidden/>
              </w:rPr>
              <w:tab/>
            </w:r>
            <w:r w:rsidR="00BF2D94">
              <w:rPr>
                <w:noProof/>
                <w:webHidden/>
              </w:rPr>
              <w:fldChar w:fldCharType="begin"/>
            </w:r>
            <w:r w:rsidR="00BF2D94">
              <w:rPr>
                <w:noProof/>
                <w:webHidden/>
              </w:rPr>
              <w:instrText xml:space="preserve"> PAGEREF _Toc522795532 \h </w:instrText>
            </w:r>
            <w:r w:rsidR="00BF2D94">
              <w:rPr>
                <w:noProof/>
                <w:webHidden/>
              </w:rPr>
            </w:r>
            <w:r w:rsidR="00BF2D94">
              <w:rPr>
                <w:noProof/>
                <w:webHidden/>
              </w:rPr>
              <w:fldChar w:fldCharType="separate"/>
            </w:r>
            <w:r w:rsidR="00BF2D94">
              <w:rPr>
                <w:noProof/>
                <w:webHidden/>
              </w:rPr>
              <w:t>7</w:t>
            </w:r>
            <w:r w:rsidR="00BF2D94">
              <w:rPr>
                <w:noProof/>
                <w:webHidden/>
              </w:rPr>
              <w:fldChar w:fldCharType="end"/>
            </w:r>
          </w:hyperlink>
        </w:p>
        <w:p w14:paraId="1BA12E01" w14:textId="78758798" w:rsidR="00BF2D94" w:rsidRDefault="005A4994">
          <w:pPr>
            <w:pStyle w:val="TOC1"/>
            <w:tabs>
              <w:tab w:val="right" w:leader="dot" w:pos="9350"/>
            </w:tabs>
            <w:rPr>
              <w:rFonts w:eastAsiaTheme="minorEastAsia"/>
              <w:noProof/>
              <w:lang w:val="en-GB" w:eastAsia="en-GB"/>
            </w:rPr>
          </w:pPr>
          <w:hyperlink w:anchor="_Toc522795533" w:history="1">
            <w:r w:rsidR="00BF2D94" w:rsidRPr="00250C3C">
              <w:rPr>
                <w:rStyle w:val="Hyperlink"/>
                <w:rFonts w:eastAsia="MS Mincho"/>
                <w:noProof/>
                <w:lang w:val="en-NZ" w:eastAsia="en-NZ"/>
              </w:rPr>
              <w:t>Previous Assessments</w:t>
            </w:r>
            <w:r w:rsidR="00BF2D94">
              <w:rPr>
                <w:noProof/>
                <w:webHidden/>
              </w:rPr>
              <w:tab/>
            </w:r>
            <w:r w:rsidR="00BF2D94">
              <w:rPr>
                <w:noProof/>
                <w:webHidden/>
              </w:rPr>
              <w:fldChar w:fldCharType="begin"/>
            </w:r>
            <w:r w:rsidR="00BF2D94">
              <w:rPr>
                <w:noProof/>
                <w:webHidden/>
              </w:rPr>
              <w:instrText xml:space="preserve"> PAGEREF _Toc522795533 \h </w:instrText>
            </w:r>
            <w:r w:rsidR="00BF2D94">
              <w:rPr>
                <w:noProof/>
                <w:webHidden/>
              </w:rPr>
            </w:r>
            <w:r w:rsidR="00BF2D94">
              <w:rPr>
                <w:noProof/>
                <w:webHidden/>
              </w:rPr>
              <w:fldChar w:fldCharType="separate"/>
            </w:r>
            <w:r w:rsidR="00BF2D94">
              <w:rPr>
                <w:noProof/>
                <w:webHidden/>
              </w:rPr>
              <w:t>7</w:t>
            </w:r>
            <w:r w:rsidR="00BF2D94">
              <w:rPr>
                <w:noProof/>
                <w:webHidden/>
              </w:rPr>
              <w:fldChar w:fldCharType="end"/>
            </w:r>
          </w:hyperlink>
        </w:p>
        <w:p w14:paraId="349C8127" w14:textId="6583E866" w:rsidR="004B05DF" w:rsidRDefault="004B05DF">
          <w:r>
            <w:rPr>
              <w:b/>
              <w:bCs/>
              <w:noProof/>
            </w:rPr>
            <w:fldChar w:fldCharType="end"/>
          </w:r>
        </w:p>
      </w:sdtContent>
    </w:sdt>
    <w:p w14:paraId="39471F96" w14:textId="21E355A6" w:rsidR="00BF2D94" w:rsidRDefault="00BF2D94" w:rsidP="00BF2D94">
      <w:pPr>
        <w:pStyle w:val="Heading1"/>
      </w:pPr>
      <w:bookmarkStart w:id="0" w:name="_Toc522795530"/>
      <w:r>
        <w:t>SC14 2018</w:t>
      </w:r>
      <w:bookmarkEnd w:id="0"/>
    </w:p>
    <w:p w14:paraId="4DFAD061" w14:textId="62910D30" w:rsidR="00BF2D94" w:rsidRPr="002828C2" w:rsidRDefault="00BF2D94" w:rsidP="00BF2D94">
      <w:pPr>
        <w:tabs>
          <w:tab w:val="left" w:pos="820"/>
        </w:tabs>
        <w:spacing w:after="0" w:line="240" w:lineRule="auto"/>
        <w:rPr>
          <w:b/>
          <w:sz w:val="24"/>
          <w:szCs w:val="24"/>
        </w:rPr>
      </w:pPr>
      <w:r w:rsidRPr="002828C2">
        <w:rPr>
          <w:b/>
          <w:sz w:val="24"/>
          <w:szCs w:val="24"/>
        </w:rPr>
        <w:t xml:space="preserve">Stock </w:t>
      </w:r>
      <w:r>
        <w:rPr>
          <w:b/>
          <w:sz w:val="24"/>
          <w:szCs w:val="24"/>
        </w:rPr>
        <w:t>Status</w:t>
      </w:r>
    </w:p>
    <w:p w14:paraId="2A18F673" w14:textId="77777777" w:rsidR="00BF2D94" w:rsidRPr="002828C2" w:rsidRDefault="00BF2D94" w:rsidP="00BF2D94">
      <w:pPr>
        <w:pStyle w:val="BodyText"/>
      </w:pPr>
    </w:p>
    <w:p w14:paraId="1AB3721F" w14:textId="0900FD68" w:rsidR="00BF2D94" w:rsidRPr="000F101D" w:rsidRDefault="00BF2D94" w:rsidP="00BF2D94">
      <w:pPr>
        <w:pStyle w:val="ListParagraph"/>
        <w:tabs>
          <w:tab w:val="left" w:pos="820"/>
        </w:tabs>
        <w:ind w:left="0" w:right="116" w:firstLine="0"/>
        <w:rPr>
          <w:b/>
        </w:rPr>
      </w:pPr>
      <w:r w:rsidRPr="000F101D">
        <w:rPr>
          <w:b/>
        </w:rPr>
        <w:t>SC14 noted that no stock assessments were conducted for north Pacific blue shark in 2018. Therefore, the stock status descriptions from SC13 are still current for north Pacific blue shark. Updated information on catches was not compiled for and reviewed by</w:t>
      </w:r>
      <w:r w:rsidRPr="000F101D">
        <w:rPr>
          <w:b/>
          <w:spacing w:val="-19"/>
        </w:rPr>
        <w:t xml:space="preserve"> </w:t>
      </w:r>
      <w:r w:rsidRPr="000F101D">
        <w:rPr>
          <w:b/>
        </w:rPr>
        <w:t>SC14.</w:t>
      </w:r>
    </w:p>
    <w:p w14:paraId="712DC8A7" w14:textId="77777777" w:rsidR="00BF2D94" w:rsidRPr="002828C2" w:rsidRDefault="00BF2D94" w:rsidP="00BF2D94">
      <w:pPr>
        <w:pStyle w:val="BodyText"/>
      </w:pPr>
    </w:p>
    <w:p w14:paraId="0477B41F" w14:textId="17EB5904" w:rsidR="00BF2D94" w:rsidRPr="002828C2" w:rsidRDefault="00BF2D94" w:rsidP="00BF2D94">
      <w:pPr>
        <w:tabs>
          <w:tab w:val="left" w:pos="820"/>
        </w:tabs>
        <w:spacing w:after="0" w:line="240" w:lineRule="auto"/>
        <w:rPr>
          <w:b/>
          <w:sz w:val="24"/>
          <w:szCs w:val="24"/>
        </w:rPr>
      </w:pPr>
      <w:r w:rsidRPr="002828C2">
        <w:rPr>
          <w:b/>
          <w:sz w:val="24"/>
          <w:szCs w:val="24"/>
        </w:rPr>
        <w:t xml:space="preserve">Management </w:t>
      </w:r>
      <w:r>
        <w:rPr>
          <w:b/>
          <w:sz w:val="24"/>
          <w:szCs w:val="24"/>
        </w:rPr>
        <w:t>Advice</w:t>
      </w:r>
    </w:p>
    <w:p w14:paraId="7F45A9B4" w14:textId="77777777" w:rsidR="00BF2D94" w:rsidRPr="002828C2" w:rsidRDefault="00BF2D94" w:rsidP="00BF2D94">
      <w:pPr>
        <w:pStyle w:val="BodyText"/>
      </w:pPr>
    </w:p>
    <w:p w14:paraId="2E8C512F" w14:textId="3321F42E" w:rsidR="00BF2D94" w:rsidRPr="000F101D" w:rsidRDefault="00BF2D94" w:rsidP="00BF2D94">
      <w:pPr>
        <w:pStyle w:val="ListParagraph"/>
        <w:tabs>
          <w:tab w:val="left" w:pos="820"/>
        </w:tabs>
        <w:ind w:left="0" w:right="117" w:firstLine="0"/>
        <w:rPr>
          <w:b/>
        </w:rPr>
      </w:pPr>
      <w:r w:rsidRPr="000F101D">
        <w:rPr>
          <w:b/>
        </w:rPr>
        <w:t xml:space="preserve">SC14 noted that no management advice has been provided since SC13 for north Pacific blue shark. Therefore, previous advice should be maintained, pending a new assessment or other new information. </w:t>
      </w:r>
      <w:r w:rsidRPr="000F101D">
        <w:rPr>
          <w:b/>
          <w:bCs/>
          <w:lang w:val="en-AU"/>
        </w:rPr>
        <w:t>For further information on the management advice and implications from SC13, please see below.</w:t>
      </w:r>
    </w:p>
    <w:p w14:paraId="5813360A" w14:textId="77777777" w:rsidR="00BF2D94" w:rsidRDefault="00BF2D94" w:rsidP="00BF2D94">
      <w:pPr>
        <w:spacing w:after="0" w:line="240" w:lineRule="auto"/>
      </w:pPr>
    </w:p>
    <w:p w14:paraId="740CFFC9" w14:textId="38A158A9" w:rsidR="00BF2D94" w:rsidRDefault="00BF2D94" w:rsidP="00BF2D94">
      <w:pPr>
        <w:tabs>
          <w:tab w:val="left" w:pos="820"/>
        </w:tabs>
        <w:spacing w:after="0" w:line="240" w:lineRule="auto"/>
        <w:rPr>
          <w:b/>
          <w:sz w:val="24"/>
          <w:szCs w:val="24"/>
        </w:rPr>
      </w:pPr>
      <w:r>
        <w:rPr>
          <w:b/>
          <w:sz w:val="24"/>
          <w:szCs w:val="24"/>
        </w:rPr>
        <w:t>North Pacific Blue Shark Recommendations</w:t>
      </w:r>
    </w:p>
    <w:p w14:paraId="20D31DF8" w14:textId="77777777" w:rsidR="00BF2D94" w:rsidRDefault="00BF2D94" w:rsidP="00BF2D94">
      <w:pPr>
        <w:tabs>
          <w:tab w:val="left" w:pos="820"/>
        </w:tabs>
        <w:spacing w:after="0" w:line="240" w:lineRule="auto"/>
        <w:rPr>
          <w:b/>
          <w:sz w:val="24"/>
          <w:szCs w:val="24"/>
        </w:rPr>
      </w:pPr>
    </w:p>
    <w:p w14:paraId="31BDC046" w14:textId="5E316D03" w:rsidR="00BF2D94" w:rsidRDefault="00BF2D94" w:rsidP="00BF2D94">
      <w:pPr>
        <w:tabs>
          <w:tab w:val="left" w:pos="820"/>
        </w:tabs>
        <w:spacing w:after="0" w:line="240" w:lineRule="auto"/>
        <w:rPr>
          <w:b/>
          <w:sz w:val="24"/>
          <w:szCs w:val="24"/>
        </w:rPr>
      </w:pPr>
      <w:r>
        <w:rPr>
          <w:b/>
          <w:sz w:val="24"/>
          <w:szCs w:val="24"/>
        </w:rPr>
        <w:t>Regarding the issue of the designation of North Pacific blue shark as a Northern Stock (</w:t>
      </w:r>
      <w:r w:rsidRPr="0093545A">
        <w:rPr>
          <w:rFonts w:cs="Times New Roman"/>
          <w:b/>
          <w:sz w:val="24"/>
          <w:szCs w:val="24"/>
          <w:lang w:eastAsia="ko-KR"/>
        </w:rPr>
        <w:t>WCPFC14 Report, Para 378</w:t>
      </w:r>
      <w:r>
        <w:rPr>
          <w:b/>
          <w:sz w:val="24"/>
          <w:szCs w:val="24"/>
        </w:rPr>
        <w:t>), SC14 provides the following recommendations:</w:t>
      </w:r>
    </w:p>
    <w:p w14:paraId="292FF597" w14:textId="77777777" w:rsidR="00BF2D94" w:rsidRDefault="00BF2D94" w:rsidP="00BF2D94">
      <w:pPr>
        <w:tabs>
          <w:tab w:val="left" w:pos="820"/>
        </w:tabs>
        <w:spacing w:after="0" w:line="240" w:lineRule="auto"/>
        <w:rPr>
          <w:b/>
          <w:sz w:val="24"/>
          <w:szCs w:val="24"/>
        </w:rPr>
      </w:pPr>
    </w:p>
    <w:p w14:paraId="578619D1" w14:textId="567F9655" w:rsidR="00BF2D94" w:rsidRDefault="00BF2D94" w:rsidP="00BF2D94">
      <w:pPr>
        <w:pStyle w:val="ListParagraph"/>
        <w:widowControl w:val="0"/>
        <w:numPr>
          <w:ilvl w:val="0"/>
          <w:numId w:val="47"/>
        </w:numPr>
        <w:autoSpaceDE w:val="0"/>
        <w:autoSpaceDN w:val="0"/>
        <w:contextualSpacing w:val="0"/>
        <w:rPr>
          <w:sz w:val="24"/>
          <w:szCs w:val="24"/>
        </w:rPr>
      </w:pPr>
      <w:r w:rsidRPr="0093545A">
        <w:rPr>
          <w:sz w:val="24"/>
          <w:szCs w:val="24"/>
        </w:rPr>
        <w:t>SC14 reco</w:t>
      </w:r>
      <w:bookmarkStart w:id="1" w:name="_GoBack"/>
      <w:bookmarkEnd w:id="1"/>
      <w:r w:rsidRPr="0093545A">
        <w:rPr>
          <w:sz w:val="24"/>
          <w:szCs w:val="24"/>
        </w:rPr>
        <w:t xml:space="preserve">mmends that </w:t>
      </w:r>
      <w:r w:rsidRPr="0093545A">
        <w:rPr>
          <w:rFonts w:hint="eastAsia"/>
          <w:sz w:val="24"/>
          <w:szCs w:val="24"/>
        </w:rPr>
        <w:t xml:space="preserve">the </w:t>
      </w:r>
      <w:r w:rsidRPr="0093545A">
        <w:rPr>
          <w:sz w:val="24"/>
          <w:szCs w:val="24"/>
        </w:rPr>
        <w:t>C</w:t>
      </w:r>
      <w:r w:rsidRPr="0093545A">
        <w:rPr>
          <w:rFonts w:hint="eastAsia"/>
          <w:sz w:val="24"/>
          <w:szCs w:val="24"/>
        </w:rPr>
        <w:t xml:space="preserve">ommission </w:t>
      </w:r>
      <w:r w:rsidRPr="0093545A">
        <w:rPr>
          <w:sz w:val="24"/>
          <w:szCs w:val="24"/>
        </w:rPr>
        <w:t>clarify</w:t>
      </w:r>
      <w:r w:rsidRPr="0093545A">
        <w:rPr>
          <w:rFonts w:hint="eastAsia"/>
          <w:sz w:val="24"/>
          <w:szCs w:val="24"/>
        </w:rPr>
        <w:t xml:space="preserve"> and quantify what is meant by </w:t>
      </w:r>
      <w:r w:rsidRPr="0093545A">
        <w:rPr>
          <w:sz w:val="24"/>
          <w:szCs w:val="24"/>
        </w:rPr>
        <w:t>“</w:t>
      </w:r>
      <w:r w:rsidRPr="0093545A">
        <w:rPr>
          <w:rFonts w:hint="eastAsia"/>
          <w:i/>
          <w:sz w:val="24"/>
          <w:szCs w:val="24"/>
        </w:rPr>
        <w:t>mostly north of 20 degrees N</w:t>
      </w:r>
      <w:r w:rsidRPr="0093545A">
        <w:rPr>
          <w:sz w:val="24"/>
          <w:szCs w:val="24"/>
        </w:rPr>
        <w:t>”.</w:t>
      </w:r>
      <w:r>
        <w:rPr>
          <w:sz w:val="24"/>
          <w:szCs w:val="24"/>
        </w:rPr>
        <w:t xml:space="preserve"> </w:t>
      </w:r>
    </w:p>
    <w:p w14:paraId="433F3DE4" w14:textId="77777777" w:rsidR="00BF2D94" w:rsidRPr="0093545A" w:rsidRDefault="00BF2D94" w:rsidP="00BF2D94">
      <w:pPr>
        <w:pStyle w:val="ListParagraph"/>
        <w:widowControl w:val="0"/>
        <w:autoSpaceDE w:val="0"/>
        <w:autoSpaceDN w:val="0"/>
        <w:ind w:firstLine="0"/>
        <w:contextualSpacing w:val="0"/>
        <w:rPr>
          <w:sz w:val="24"/>
          <w:szCs w:val="24"/>
        </w:rPr>
      </w:pPr>
    </w:p>
    <w:p w14:paraId="4E993F57" w14:textId="7C54B465" w:rsidR="00BF2D94" w:rsidRDefault="00BF2D94" w:rsidP="00BF2D94">
      <w:pPr>
        <w:pStyle w:val="ListParagraph"/>
        <w:widowControl w:val="0"/>
        <w:numPr>
          <w:ilvl w:val="0"/>
          <w:numId w:val="47"/>
        </w:numPr>
        <w:autoSpaceDE w:val="0"/>
        <w:autoSpaceDN w:val="0"/>
        <w:contextualSpacing w:val="0"/>
        <w:rPr>
          <w:sz w:val="24"/>
          <w:szCs w:val="24"/>
        </w:rPr>
      </w:pPr>
      <w:r w:rsidRPr="00566D75">
        <w:rPr>
          <w:sz w:val="24"/>
          <w:szCs w:val="24"/>
        </w:rPr>
        <w:t>In relation to para</w:t>
      </w:r>
      <w:r>
        <w:rPr>
          <w:sz w:val="24"/>
          <w:szCs w:val="24"/>
        </w:rPr>
        <w:t>graph 1, SC14 recommends</w:t>
      </w:r>
      <w:r w:rsidRPr="00566D75">
        <w:rPr>
          <w:sz w:val="24"/>
          <w:szCs w:val="24"/>
        </w:rPr>
        <w:t xml:space="preserve"> that a check-list of benchmark scientific information for North Pacific blue shark be developed to support the Commission’s deliberations in determining the designation of a northern stock. As such, the following </w:t>
      </w:r>
      <w:r>
        <w:rPr>
          <w:sz w:val="24"/>
          <w:szCs w:val="24"/>
        </w:rPr>
        <w:t xml:space="preserve">draft </w:t>
      </w:r>
      <w:proofErr w:type="gramStart"/>
      <w:r>
        <w:rPr>
          <w:sz w:val="24"/>
          <w:szCs w:val="24"/>
        </w:rPr>
        <w:t xml:space="preserve">checklist </w:t>
      </w:r>
      <w:r w:rsidRPr="00566D75">
        <w:rPr>
          <w:sz w:val="24"/>
          <w:szCs w:val="24"/>
        </w:rPr>
        <w:t xml:space="preserve"> is</w:t>
      </w:r>
      <w:proofErr w:type="gramEnd"/>
      <w:r w:rsidRPr="00566D75">
        <w:rPr>
          <w:sz w:val="24"/>
          <w:szCs w:val="24"/>
        </w:rPr>
        <w:t xml:space="preserve"> forwarded for the Commission’s consideration.</w:t>
      </w:r>
    </w:p>
    <w:p w14:paraId="15AAA76D" w14:textId="77777777" w:rsidR="00BF2D94" w:rsidRPr="00BF2D94" w:rsidRDefault="00BF2D94" w:rsidP="00BF2D94">
      <w:pPr>
        <w:pStyle w:val="ListParagraph"/>
        <w:rPr>
          <w:sz w:val="24"/>
          <w:szCs w:val="24"/>
        </w:rPr>
      </w:pPr>
    </w:p>
    <w:p w14:paraId="58998C5D" w14:textId="3F1B4317" w:rsidR="00BF2D94" w:rsidRDefault="00BF2D94" w:rsidP="00BF2D94">
      <w:pPr>
        <w:widowControl w:val="0"/>
        <w:autoSpaceDE w:val="0"/>
        <w:autoSpaceDN w:val="0"/>
        <w:rPr>
          <w:sz w:val="24"/>
          <w:szCs w:val="24"/>
        </w:rPr>
      </w:pPr>
    </w:p>
    <w:p w14:paraId="13E9A5E5" w14:textId="77777777" w:rsidR="00BF2D94" w:rsidRPr="00BF2D94" w:rsidRDefault="00BF2D94" w:rsidP="00BF2D94">
      <w:pPr>
        <w:widowControl w:val="0"/>
        <w:autoSpaceDE w:val="0"/>
        <w:autoSpaceDN w:val="0"/>
        <w:rPr>
          <w:sz w:val="24"/>
          <w:szCs w:val="24"/>
        </w:rPr>
      </w:pPr>
    </w:p>
    <w:tbl>
      <w:tblPr>
        <w:tblStyle w:val="TableGrid"/>
        <w:tblW w:w="0" w:type="auto"/>
        <w:tblLook w:val="04A0" w:firstRow="1" w:lastRow="0" w:firstColumn="1" w:lastColumn="0" w:noHBand="0" w:noVBand="1"/>
      </w:tblPr>
      <w:tblGrid>
        <w:gridCol w:w="510"/>
        <w:gridCol w:w="3186"/>
        <w:gridCol w:w="2125"/>
        <w:gridCol w:w="3529"/>
      </w:tblGrid>
      <w:tr w:rsidR="00BF2D94" w:rsidRPr="00C22E9B" w14:paraId="10B35874" w14:textId="77777777" w:rsidTr="00FD69F0">
        <w:trPr>
          <w:trHeight w:val="435"/>
        </w:trPr>
        <w:tc>
          <w:tcPr>
            <w:tcW w:w="510" w:type="dxa"/>
            <w:hideMark/>
          </w:tcPr>
          <w:p w14:paraId="27FB3ED8" w14:textId="77777777" w:rsidR="00BF2D94" w:rsidRPr="00C22E9B" w:rsidRDefault="00BF2D94" w:rsidP="00FD69F0">
            <w:pPr>
              <w:rPr>
                <w:rFonts w:ascii="Times New Roman" w:hAnsi="Times New Roman" w:cs="Times New Roman"/>
                <w:b/>
                <w:bCs/>
                <w:sz w:val="24"/>
                <w:szCs w:val="24"/>
              </w:rPr>
            </w:pPr>
            <w:r w:rsidRPr="00C22E9B">
              <w:rPr>
                <w:rFonts w:ascii="Times New Roman" w:hAnsi="Times New Roman" w:cs="Times New Roman"/>
                <w:b/>
                <w:bCs/>
                <w:sz w:val="24"/>
                <w:szCs w:val="24"/>
              </w:rPr>
              <w:lastRenderedPageBreak/>
              <w:t>No</w:t>
            </w:r>
          </w:p>
        </w:tc>
        <w:tc>
          <w:tcPr>
            <w:tcW w:w="3186" w:type="dxa"/>
            <w:hideMark/>
          </w:tcPr>
          <w:p w14:paraId="6CA6AB93" w14:textId="77777777" w:rsidR="00BF2D94" w:rsidRPr="00C22E9B" w:rsidRDefault="00BF2D94" w:rsidP="00FD69F0">
            <w:pPr>
              <w:rPr>
                <w:rFonts w:ascii="Times New Roman" w:hAnsi="Times New Roman" w:cs="Times New Roman"/>
                <w:b/>
                <w:bCs/>
                <w:sz w:val="24"/>
                <w:szCs w:val="24"/>
              </w:rPr>
            </w:pPr>
            <w:r w:rsidRPr="00C22E9B">
              <w:rPr>
                <w:rFonts w:ascii="Times New Roman" w:hAnsi="Times New Roman" w:cs="Times New Roman"/>
                <w:b/>
                <w:bCs/>
                <w:sz w:val="24"/>
                <w:szCs w:val="24"/>
              </w:rPr>
              <w:t>Criteria</w:t>
            </w:r>
          </w:p>
        </w:tc>
        <w:tc>
          <w:tcPr>
            <w:tcW w:w="2125" w:type="dxa"/>
            <w:hideMark/>
          </w:tcPr>
          <w:p w14:paraId="51110EB4" w14:textId="77777777" w:rsidR="00BF2D94" w:rsidRPr="00C22E9B" w:rsidRDefault="00BF2D94" w:rsidP="00FD69F0">
            <w:pPr>
              <w:rPr>
                <w:rFonts w:ascii="Times New Roman" w:hAnsi="Times New Roman" w:cs="Times New Roman"/>
                <w:b/>
                <w:bCs/>
                <w:sz w:val="24"/>
                <w:szCs w:val="24"/>
              </w:rPr>
            </w:pPr>
            <w:r w:rsidRPr="00C22E9B">
              <w:rPr>
                <w:rFonts w:ascii="Times New Roman" w:hAnsi="Times New Roman" w:cs="Times New Roman"/>
                <w:b/>
                <w:bCs/>
                <w:sz w:val="24"/>
                <w:szCs w:val="24"/>
              </w:rPr>
              <w:t>Response</w:t>
            </w:r>
          </w:p>
        </w:tc>
        <w:tc>
          <w:tcPr>
            <w:tcW w:w="3529" w:type="dxa"/>
            <w:hideMark/>
          </w:tcPr>
          <w:p w14:paraId="166DE33D" w14:textId="77777777" w:rsidR="00BF2D94" w:rsidRPr="00C22E9B" w:rsidRDefault="00BF2D94" w:rsidP="00FD69F0">
            <w:pPr>
              <w:rPr>
                <w:rFonts w:ascii="Times New Roman" w:hAnsi="Times New Roman" w:cs="Times New Roman"/>
                <w:b/>
                <w:bCs/>
                <w:sz w:val="24"/>
                <w:szCs w:val="24"/>
              </w:rPr>
            </w:pPr>
            <w:r w:rsidRPr="00C22E9B">
              <w:rPr>
                <w:rFonts w:ascii="Times New Roman" w:hAnsi="Times New Roman" w:cs="Times New Roman"/>
                <w:b/>
                <w:bCs/>
                <w:sz w:val="24"/>
                <w:szCs w:val="24"/>
              </w:rPr>
              <w:t>Comments</w:t>
            </w:r>
          </w:p>
        </w:tc>
      </w:tr>
      <w:tr w:rsidR="00BF2D94" w:rsidRPr="00C22E9B" w14:paraId="6339B2A6" w14:textId="77777777" w:rsidTr="00FD69F0">
        <w:trPr>
          <w:trHeight w:val="960"/>
        </w:trPr>
        <w:tc>
          <w:tcPr>
            <w:tcW w:w="510" w:type="dxa"/>
            <w:hideMark/>
          </w:tcPr>
          <w:p w14:paraId="4B5523F2" w14:textId="77777777" w:rsidR="00BF2D94" w:rsidRPr="00C22E9B" w:rsidRDefault="00BF2D94" w:rsidP="00FD69F0">
            <w:pPr>
              <w:rPr>
                <w:rFonts w:ascii="Times New Roman" w:hAnsi="Times New Roman" w:cs="Times New Roman"/>
                <w:b/>
                <w:bCs/>
                <w:sz w:val="24"/>
                <w:szCs w:val="24"/>
              </w:rPr>
            </w:pPr>
            <w:r w:rsidRPr="00C22E9B">
              <w:rPr>
                <w:rFonts w:ascii="Times New Roman" w:hAnsi="Times New Roman" w:cs="Times New Roman"/>
                <w:b/>
                <w:bCs/>
                <w:sz w:val="24"/>
                <w:szCs w:val="24"/>
              </w:rPr>
              <w:t>1</w:t>
            </w:r>
          </w:p>
        </w:tc>
        <w:tc>
          <w:tcPr>
            <w:tcW w:w="3186" w:type="dxa"/>
            <w:hideMark/>
          </w:tcPr>
          <w:p w14:paraId="1C50D189" w14:textId="77777777" w:rsidR="00BF2D94" w:rsidRPr="00C22E9B" w:rsidRDefault="00BF2D94" w:rsidP="00FD69F0">
            <w:pPr>
              <w:rPr>
                <w:rFonts w:ascii="Times New Roman" w:hAnsi="Times New Roman" w:cs="Times New Roman"/>
                <w:sz w:val="24"/>
                <w:szCs w:val="24"/>
              </w:rPr>
            </w:pPr>
            <w:r w:rsidRPr="00C22E9B">
              <w:rPr>
                <w:rFonts w:ascii="Times New Roman" w:hAnsi="Times New Roman" w:cs="Times New Roman"/>
                <w:sz w:val="24"/>
                <w:szCs w:val="24"/>
              </w:rPr>
              <w:t xml:space="preserve">What proportion of the total </w:t>
            </w:r>
            <w:r>
              <w:rPr>
                <w:rFonts w:ascii="Times New Roman" w:hAnsi="Times New Roman" w:cs="Times New Roman"/>
                <w:sz w:val="24"/>
                <w:szCs w:val="24"/>
              </w:rPr>
              <w:t xml:space="preserve">estimated </w:t>
            </w:r>
            <w:r w:rsidRPr="00C22E9B">
              <w:rPr>
                <w:rFonts w:ascii="Times New Roman" w:hAnsi="Times New Roman" w:cs="Times New Roman"/>
                <w:sz w:val="24"/>
                <w:szCs w:val="24"/>
              </w:rPr>
              <w:t>stock biomass occurs on average north of 20</w:t>
            </w:r>
            <w:r w:rsidRPr="00826D51">
              <w:rPr>
                <w:rFonts w:ascii="Times New Roman" w:hAnsi="Times New Roman" w:cs="Times New Roman"/>
                <w:sz w:val="24"/>
                <w:szCs w:val="24"/>
                <w:vertAlign w:val="superscript"/>
              </w:rPr>
              <w:t>o</w:t>
            </w:r>
            <w:r w:rsidRPr="00C22E9B">
              <w:rPr>
                <w:rFonts w:ascii="Times New Roman" w:hAnsi="Times New Roman" w:cs="Times New Roman"/>
                <w:sz w:val="24"/>
                <w:szCs w:val="24"/>
              </w:rPr>
              <w:t>N?</w:t>
            </w:r>
          </w:p>
        </w:tc>
        <w:tc>
          <w:tcPr>
            <w:tcW w:w="2125" w:type="dxa"/>
            <w:hideMark/>
          </w:tcPr>
          <w:p w14:paraId="63832758" w14:textId="77777777" w:rsidR="00BF2D94" w:rsidRPr="00C22E9B" w:rsidRDefault="00BF2D94" w:rsidP="00FD69F0">
            <w:pPr>
              <w:rPr>
                <w:rFonts w:ascii="Times New Roman" w:hAnsi="Times New Roman" w:cs="Times New Roman"/>
                <w:sz w:val="24"/>
                <w:szCs w:val="24"/>
              </w:rPr>
            </w:pPr>
            <w:r w:rsidRPr="00C22E9B">
              <w:rPr>
                <w:rFonts w:ascii="Times New Roman" w:hAnsi="Times New Roman" w:cs="Times New Roman"/>
                <w:sz w:val="24"/>
                <w:szCs w:val="24"/>
              </w:rPr>
              <w:t>Unknown</w:t>
            </w:r>
          </w:p>
        </w:tc>
        <w:tc>
          <w:tcPr>
            <w:tcW w:w="3529" w:type="dxa"/>
            <w:hideMark/>
          </w:tcPr>
          <w:p w14:paraId="39894C1C" w14:textId="77777777" w:rsidR="00BF2D94" w:rsidRPr="00C22E9B" w:rsidRDefault="00BF2D94" w:rsidP="00FD69F0">
            <w:pPr>
              <w:rPr>
                <w:rFonts w:ascii="Times New Roman" w:hAnsi="Times New Roman" w:cs="Times New Roman"/>
                <w:sz w:val="24"/>
                <w:szCs w:val="24"/>
              </w:rPr>
            </w:pPr>
            <w:r w:rsidRPr="00C22E9B">
              <w:rPr>
                <w:rFonts w:ascii="Times New Roman" w:hAnsi="Times New Roman" w:cs="Times New Roman"/>
                <w:sz w:val="24"/>
                <w:szCs w:val="24"/>
              </w:rPr>
              <w:t xml:space="preserve">Current assessment model does </w:t>
            </w:r>
            <w:r>
              <w:rPr>
                <w:rFonts w:ascii="Times New Roman" w:hAnsi="Times New Roman" w:cs="Times New Roman"/>
                <w:sz w:val="24"/>
                <w:szCs w:val="24"/>
              </w:rPr>
              <w:t xml:space="preserve">not </w:t>
            </w:r>
            <w:proofErr w:type="gramStart"/>
            <w:r>
              <w:rPr>
                <w:rFonts w:ascii="Times New Roman" w:hAnsi="Times New Roman" w:cs="Times New Roman"/>
                <w:sz w:val="24"/>
                <w:szCs w:val="24"/>
              </w:rPr>
              <w:t>included</w:t>
            </w:r>
            <w:proofErr w:type="gramEnd"/>
            <w:r>
              <w:rPr>
                <w:rFonts w:ascii="Times New Roman" w:hAnsi="Times New Roman" w:cs="Times New Roman"/>
                <w:sz w:val="24"/>
                <w:szCs w:val="24"/>
              </w:rPr>
              <w:t xml:space="preserve"> population </w:t>
            </w:r>
            <w:r w:rsidRPr="00C22E9B">
              <w:rPr>
                <w:rFonts w:ascii="Times New Roman" w:hAnsi="Times New Roman" w:cs="Times New Roman"/>
                <w:sz w:val="24"/>
                <w:szCs w:val="24"/>
              </w:rPr>
              <w:t>spatial structure</w:t>
            </w:r>
            <w:r>
              <w:rPr>
                <w:rFonts w:ascii="Times New Roman" w:hAnsi="Times New Roman" w:cs="Times New Roman"/>
                <w:sz w:val="24"/>
                <w:szCs w:val="24"/>
              </w:rPr>
              <w:t>.</w:t>
            </w:r>
            <w:r w:rsidRPr="00C22E9B">
              <w:rPr>
                <w:rFonts w:ascii="Times New Roman" w:hAnsi="Times New Roman" w:cs="Times New Roman"/>
                <w:sz w:val="24"/>
                <w:szCs w:val="24"/>
              </w:rPr>
              <w:t xml:space="preserve"> </w:t>
            </w:r>
            <w:r>
              <w:rPr>
                <w:rFonts w:ascii="Times New Roman" w:hAnsi="Times New Roman" w:cs="Times New Roman"/>
                <w:sz w:val="24"/>
                <w:szCs w:val="24"/>
              </w:rPr>
              <w:t xml:space="preserve">Nominal </w:t>
            </w:r>
            <w:r w:rsidRPr="00C22E9B">
              <w:rPr>
                <w:rFonts w:ascii="Times New Roman" w:hAnsi="Times New Roman" w:cs="Times New Roman"/>
                <w:sz w:val="24"/>
                <w:szCs w:val="24"/>
              </w:rPr>
              <w:t xml:space="preserve">CPUE </w:t>
            </w:r>
            <w:r>
              <w:rPr>
                <w:rFonts w:ascii="Times New Roman" w:hAnsi="Times New Roman" w:cs="Times New Roman"/>
                <w:sz w:val="24"/>
                <w:szCs w:val="24"/>
              </w:rPr>
              <w:t xml:space="preserve">may be </w:t>
            </w:r>
            <w:r w:rsidRPr="00C22E9B">
              <w:rPr>
                <w:rFonts w:ascii="Times New Roman" w:hAnsi="Times New Roman" w:cs="Times New Roman"/>
                <w:sz w:val="24"/>
                <w:szCs w:val="24"/>
              </w:rPr>
              <w:t>biase</w:t>
            </w:r>
            <w:r>
              <w:rPr>
                <w:rFonts w:ascii="Times New Roman" w:hAnsi="Times New Roman" w:cs="Times New Roman"/>
                <w:sz w:val="24"/>
                <w:szCs w:val="24"/>
              </w:rPr>
              <w:t>d and could be overestimated in the north unless the effects of fishing time, depth and depth distribution of blue sharks are accounted for.</w:t>
            </w:r>
          </w:p>
        </w:tc>
      </w:tr>
      <w:tr w:rsidR="00BF2D94" w:rsidRPr="00C22E9B" w14:paraId="2EE1D07F" w14:textId="77777777" w:rsidTr="00FD69F0">
        <w:trPr>
          <w:trHeight w:val="630"/>
        </w:trPr>
        <w:tc>
          <w:tcPr>
            <w:tcW w:w="510" w:type="dxa"/>
            <w:hideMark/>
          </w:tcPr>
          <w:p w14:paraId="37877A66" w14:textId="77777777" w:rsidR="00BF2D94" w:rsidRPr="00C22E9B" w:rsidRDefault="00BF2D94" w:rsidP="00FD69F0">
            <w:pPr>
              <w:rPr>
                <w:rFonts w:ascii="Times New Roman" w:hAnsi="Times New Roman" w:cs="Times New Roman"/>
                <w:b/>
                <w:bCs/>
                <w:sz w:val="24"/>
                <w:szCs w:val="24"/>
              </w:rPr>
            </w:pPr>
            <w:r w:rsidRPr="00C22E9B">
              <w:rPr>
                <w:rFonts w:ascii="Times New Roman" w:hAnsi="Times New Roman" w:cs="Times New Roman"/>
                <w:b/>
                <w:bCs/>
                <w:sz w:val="24"/>
                <w:szCs w:val="24"/>
              </w:rPr>
              <w:t>2</w:t>
            </w:r>
          </w:p>
        </w:tc>
        <w:tc>
          <w:tcPr>
            <w:tcW w:w="3186" w:type="dxa"/>
            <w:hideMark/>
          </w:tcPr>
          <w:p w14:paraId="636F6AB4" w14:textId="77777777" w:rsidR="00BF2D94" w:rsidRPr="00C22E9B" w:rsidRDefault="00BF2D94" w:rsidP="00FD69F0">
            <w:pPr>
              <w:rPr>
                <w:rFonts w:ascii="Times New Roman" w:hAnsi="Times New Roman" w:cs="Times New Roman"/>
                <w:sz w:val="24"/>
                <w:szCs w:val="24"/>
              </w:rPr>
            </w:pPr>
            <w:r w:rsidRPr="00C22E9B">
              <w:rPr>
                <w:rFonts w:ascii="Times New Roman" w:hAnsi="Times New Roman" w:cs="Times New Roman"/>
                <w:sz w:val="24"/>
                <w:szCs w:val="24"/>
              </w:rPr>
              <w:t xml:space="preserve">Does </w:t>
            </w:r>
            <w:proofErr w:type="gramStart"/>
            <w:r w:rsidRPr="00C22E9B">
              <w:rPr>
                <w:rFonts w:ascii="Times New Roman" w:hAnsi="Times New Roman" w:cs="Times New Roman"/>
                <w:sz w:val="24"/>
                <w:szCs w:val="24"/>
              </w:rPr>
              <w:t>all of</w:t>
            </w:r>
            <w:proofErr w:type="gramEnd"/>
            <w:r w:rsidRPr="00C22E9B">
              <w:rPr>
                <w:rFonts w:ascii="Times New Roman" w:hAnsi="Times New Roman" w:cs="Times New Roman"/>
                <w:sz w:val="24"/>
                <w:szCs w:val="24"/>
              </w:rPr>
              <w:t xml:space="preserve"> the breeding/spawning area</w:t>
            </w:r>
            <w:r>
              <w:rPr>
                <w:rFonts w:ascii="Times New Roman" w:hAnsi="Times New Roman" w:cs="Times New Roman"/>
                <w:sz w:val="24"/>
                <w:szCs w:val="24"/>
              </w:rPr>
              <w:t>(s)</w:t>
            </w:r>
            <w:r w:rsidRPr="00C22E9B">
              <w:rPr>
                <w:rFonts w:ascii="Times New Roman" w:hAnsi="Times New Roman" w:cs="Times New Roman"/>
                <w:sz w:val="24"/>
                <w:szCs w:val="24"/>
              </w:rPr>
              <w:t xml:space="preserve"> occur north of 20</w:t>
            </w:r>
            <w:r w:rsidRPr="00826D51">
              <w:rPr>
                <w:rFonts w:ascii="Times New Roman" w:hAnsi="Times New Roman" w:cs="Times New Roman"/>
                <w:sz w:val="24"/>
                <w:szCs w:val="24"/>
                <w:vertAlign w:val="superscript"/>
              </w:rPr>
              <w:t xml:space="preserve"> </w:t>
            </w:r>
            <w:proofErr w:type="spellStart"/>
            <w:r w:rsidRPr="00826D51">
              <w:rPr>
                <w:rFonts w:ascii="Times New Roman" w:hAnsi="Times New Roman" w:cs="Times New Roman"/>
                <w:sz w:val="24"/>
                <w:szCs w:val="24"/>
                <w:vertAlign w:val="superscript"/>
              </w:rPr>
              <w:t>o</w:t>
            </w:r>
            <w:r w:rsidRPr="00C22E9B">
              <w:rPr>
                <w:rFonts w:ascii="Times New Roman" w:hAnsi="Times New Roman" w:cs="Times New Roman"/>
                <w:sz w:val="24"/>
                <w:szCs w:val="24"/>
              </w:rPr>
              <w:t>N</w:t>
            </w:r>
            <w:proofErr w:type="spellEnd"/>
            <w:r w:rsidRPr="00C22E9B">
              <w:rPr>
                <w:rFonts w:ascii="Times New Roman" w:hAnsi="Times New Roman" w:cs="Times New Roman"/>
                <w:sz w:val="24"/>
                <w:szCs w:val="24"/>
              </w:rPr>
              <w:t>?</w:t>
            </w:r>
          </w:p>
        </w:tc>
        <w:tc>
          <w:tcPr>
            <w:tcW w:w="2125" w:type="dxa"/>
            <w:hideMark/>
          </w:tcPr>
          <w:p w14:paraId="445D5874" w14:textId="77777777" w:rsidR="00BF2D94" w:rsidRPr="00C22E9B" w:rsidRDefault="00BF2D94" w:rsidP="00FD69F0">
            <w:pPr>
              <w:rPr>
                <w:rFonts w:ascii="Times New Roman" w:hAnsi="Times New Roman" w:cs="Times New Roman"/>
                <w:sz w:val="24"/>
                <w:szCs w:val="24"/>
              </w:rPr>
            </w:pPr>
            <w:r w:rsidRPr="00C22E9B">
              <w:rPr>
                <w:rFonts w:ascii="Times New Roman" w:hAnsi="Times New Roman" w:cs="Times New Roman"/>
                <w:sz w:val="24"/>
                <w:szCs w:val="24"/>
              </w:rPr>
              <w:t>N</w:t>
            </w:r>
            <w:r>
              <w:rPr>
                <w:rFonts w:ascii="Times New Roman" w:hAnsi="Times New Roman" w:cs="Times New Roman"/>
                <w:sz w:val="24"/>
                <w:szCs w:val="24"/>
              </w:rPr>
              <w:t>o</w:t>
            </w:r>
          </w:p>
        </w:tc>
        <w:tc>
          <w:tcPr>
            <w:tcW w:w="3529" w:type="dxa"/>
            <w:hideMark/>
          </w:tcPr>
          <w:p w14:paraId="4C17248B" w14:textId="77777777" w:rsidR="00BF2D94" w:rsidRPr="00C22E9B" w:rsidRDefault="00BF2D94" w:rsidP="00FD69F0">
            <w:pPr>
              <w:rPr>
                <w:rFonts w:ascii="Times New Roman" w:hAnsi="Times New Roman" w:cs="Times New Roman"/>
                <w:sz w:val="24"/>
                <w:szCs w:val="24"/>
              </w:rPr>
            </w:pPr>
            <w:r w:rsidRPr="00C22E9B">
              <w:rPr>
                <w:rFonts w:ascii="Times New Roman" w:hAnsi="Times New Roman" w:cs="Times New Roman"/>
                <w:sz w:val="24"/>
                <w:szCs w:val="24"/>
              </w:rPr>
              <w:t xml:space="preserve">Breeding area </w:t>
            </w:r>
            <w:r>
              <w:rPr>
                <w:rFonts w:ascii="Times New Roman" w:hAnsi="Times New Roman" w:cs="Times New Roman"/>
                <w:sz w:val="24"/>
                <w:szCs w:val="24"/>
              </w:rPr>
              <w:t xml:space="preserve">is </w:t>
            </w:r>
            <w:r w:rsidRPr="00C22E9B">
              <w:rPr>
                <w:rFonts w:ascii="Times New Roman" w:hAnsi="Times New Roman" w:cs="Times New Roman"/>
                <w:sz w:val="24"/>
                <w:szCs w:val="24"/>
              </w:rPr>
              <w:t>mainly north of 20</w:t>
            </w:r>
            <w:r w:rsidRPr="00826D51">
              <w:rPr>
                <w:rFonts w:ascii="Times New Roman" w:hAnsi="Times New Roman" w:cs="Times New Roman"/>
                <w:sz w:val="24"/>
                <w:szCs w:val="24"/>
                <w:vertAlign w:val="superscript"/>
              </w:rPr>
              <w:t xml:space="preserve"> </w:t>
            </w:r>
            <w:proofErr w:type="spellStart"/>
            <w:r w:rsidRPr="00826D51">
              <w:rPr>
                <w:rFonts w:ascii="Times New Roman" w:hAnsi="Times New Roman" w:cs="Times New Roman"/>
                <w:sz w:val="24"/>
                <w:szCs w:val="24"/>
                <w:vertAlign w:val="superscript"/>
              </w:rPr>
              <w:t>o</w:t>
            </w:r>
            <w:r w:rsidRPr="00C22E9B">
              <w:rPr>
                <w:rFonts w:ascii="Times New Roman" w:hAnsi="Times New Roman" w:cs="Times New Roman"/>
                <w:sz w:val="24"/>
                <w:szCs w:val="24"/>
              </w:rPr>
              <w:t>N</w:t>
            </w:r>
            <w:proofErr w:type="spellEnd"/>
            <w:r w:rsidRPr="00C22E9B">
              <w:rPr>
                <w:rFonts w:ascii="Times New Roman" w:hAnsi="Times New Roman" w:cs="Times New Roman"/>
                <w:sz w:val="24"/>
                <w:szCs w:val="24"/>
              </w:rPr>
              <w:t xml:space="preserve"> but may overlap </w:t>
            </w:r>
            <w:r>
              <w:rPr>
                <w:rFonts w:ascii="Times New Roman" w:hAnsi="Times New Roman" w:cs="Times New Roman"/>
                <w:sz w:val="24"/>
                <w:szCs w:val="24"/>
              </w:rPr>
              <w:t xml:space="preserve">areas </w:t>
            </w:r>
            <w:r w:rsidRPr="00C22E9B">
              <w:rPr>
                <w:rFonts w:ascii="Times New Roman" w:hAnsi="Times New Roman" w:cs="Times New Roman"/>
                <w:sz w:val="24"/>
                <w:szCs w:val="24"/>
              </w:rPr>
              <w:t>south of 20</w:t>
            </w:r>
            <w:r w:rsidRPr="00826D51">
              <w:rPr>
                <w:rFonts w:ascii="Times New Roman" w:hAnsi="Times New Roman" w:cs="Times New Roman"/>
                <w:sz w:val="24"/>
                <w:szCs w:val="24"/>
                <w:vertAlign w:val="superscript"/>
              </w:rPr>
              <w:t xml:space="preserve"> </w:t>
            </w:r>
            <w:proofErr w:type="spellStart"/>
            <w:r w:rsidRPr="00826D51">
              <w:rPr>
                <w:rFonts w:ascii="Times New Roman" w:hAnsi="Times New Roman" w:cs="Times New Roman"/>
                <w:sz w:val="24"/>
                <w:szCs w:val="24"/>
                <w:vertAlign w:val="superscript"/>
              </w:rPr>
              <w:t>o</w:t>
            </w:r>
            <w:r w:rsidRPr="00C22E9B">
              <w:rPr>
                <w:rFonts w:ascii="Times New Roman" w:hAnsi="Times New Roman" w:cs="Times New Roman"/>
                <w:sz w:val="24"/>
                <w:szCs w:val="24"/>
              </w:rPr>
              <w:t>N</w:t>
            </w:r>
            <w:proofErr w:type="spellEnd"/>
          </w:p>
        </w:tc>
      </w:tr>
      <w:tr w:rsidR="00BF2D94" w:rsidRPr="00C22E9B" w14:paraId="6F076BF0" w14:textId="77777777" w:rsidTr="00FD69F0">
        <w:trPr>
          <w:trHeight w:val="570"/>
        </w:trPr>
        <w:tc>
          <w:tcPr>
            <w:tcW w:w="510" w:type="dxa"/>
            <w:hideMark/>
          </w:tcPr>
          <w:p w14:paraId="28087679" w14:textId="77777777" w:rsidR="00BF2D94" w:rsidRPr="00C22E9B" w:rsidRDefault="00BF2D94" w:rsidP="00FD69F0">
            <w:pPr>
              <w:rPr>
                <w:rFonts w:ascii="Times New Roman" w:hAnsi="Times New Roman" w:cs="Times New Roman"/>
                <w:b/>
                <w:bCs/>
                <w:sz w:val="24"/>
                <w:szCs w:val="24"/>
              </w:rPr>
            </w:pPr>
            <w:r w:rsidRPr="00C22E9B">
              <w:rPr>
                <w:rFonts w:ascii="Times New Roman" w:hAnsi="Times New Roman" w:cs="Times New Roman"/>
                <w:b/>
                <w:bCs/>
                <w:sz w:val="24"/>
                <w:szCs w:val="24"/>
              </w:rPr>
              <w:t>3</w:t>
            </w:r>
          </w:p>
        </w:tc>
        <w:tc>
          <w:tcPr>
            <w:tcW w:w="3186" w:type="dxa"/>
            <w:hideMark/>
          </w:tcPr>
          <w:p w14:paraId="67B5CDBB" w14:textId="77777777" w:rsidR="00BF2D94" w:rsidRPr="00C22E9B" w:rsidRDefault="00BF2D94" w:rsidP="00FD69F0">
            <w:pPr>
              <w:rPr>
                <w:rFonts w:ascii="Times New Roman" w:hAnsi="Times New Roman" w:cs="Times New Roman"/>
                <w:sz w:val="24"/>
                <w:szCs w:val="24"/>
              </w:rPr>
            </w:pPr>
            <w:r w:rsidRPr="00C22E9B">
              <w:rPr>
                <w:rFonts w:ascii="Times New Roman" w:hAnsi="Times New Roman" w:cs="Times New Roman"/>
                <w:sz w:val="24"/>
                <w:szCs w:val="24"/>
              </w:rPr>
              <w:t xml:space="preserve">Does </w:t>
            </w:r>
            <w:proofErr w:type="gramStart"/>
            <w:r w:rsidRPr="00C22E9B">
              <w:rPr>
                <w:rFonts w:ascii="Times New Roman" w:hAnsi="Times New Roman" w:cs="Times New Roman"/>
                <w:sz w:val="24"/>
                <w:szCs w:val="24"/>
              </w:rPr>
              <w:t>all of</w:t>
            </w:r>
            <w:proofErr w:type="gramEnd"/>
            <w:r w:rsidRPr="00C22E9B">
              <w:rPr>
                <w:rFonts w:ascii="Times New Roman" w:hAnsi="Times New Roman" w:cs="Times New Roman"/>
                <w:sz w:val="24"/>
                <w:szCs w:val="24"/>
              </w:rPr>
              <w:t xml:space="preserve"> the nursery area</w:t>
            </w:r>
            <w:r>
              <w:rPr>
                <w:rFonts w:ascii="Times New Roman" w:hAnsi="Times New Roman" w:cs="Times New Roman"/>
                <w:sz w:val="24"/>
                <w:szCs w:val="24"/>
              </w:rPr>
              <w:t>(s)</w:t>
            </w:r>
            <w:r w:rsidRPr="00C22E9B">
              <w:rPr>
                <w:rFonts w:ascii="Times New Roman" w:hAnsi="Times New Roman" w:cs="Times New Roman"/>
                <w:sz w:val="24"/>
                <w:szCs w:val="24"/>
              </w:rPr>
              <w:t xml:space="preserve"> occur north of 20</w:t>
            </w:r>
            <w:r w:rsidRPr="00826D51">
              <w:rPr>
                <w:rFonts w:ascii="Times New Roman" w:hAnsi="Times New Roman" w:cs="Times New Roman"/>
                <w:sz w:val="24"/>
                <w:szCs w:val="24"/>
                <w:vertAlign w:val="superscript"/>
              </w:rPr>
              <w:t xml:space="preserve"> </w:t>
            </w:r>
            <w:proofErr w:type="spellStart"/>
            <w:r w:rsidRPr="00826D51">
              <w:rPr>
                <w:rFonts w:ascii="Times New Roman" w:hAnsi="Times New Roman" w:cs="Times New Roman"/>
                <w:sz w:val="24"/>
                <w:szCs w:val="24"/>
                <w:vertAlign w:val="superscript"/>
              </w:rPr>
              <w:t>o</w:t>
            </w:r>
            <w:r w:rsidRPr="00C22E9B">
              <w:rPr>
                <w:rFonts w:ascii="Times New Roman" w:hAnsi="Times New Roman" w:cs="Times New Roman"/>
                <w:sz w:val="24"/>
                <w:szCs w:val="24"/>
              </w:rPr>
              <w:t>N</w:t>
            </w:r>
            <w:proofErr w:type="spellEnd"/>
          </w:p>
        </w:tc>
        <w:tc>
          <w:tcPr>
            <w:tcW w:w="2125" w:type="dxa"/>
            <w:hideMark/>
          </w:tcPr>
          <w:p w14:paraId="44A26D9A" w14:textId="77777777" w:rsidR="00BF2D94" w:rsidRPr="00C22E9B" w:rsidRDefault="00BF2D94" w:rsidP="00FD69F0">
            <w:pPr>
              <w:rPr>
                <w:rFonts w:ascii="Times New Roman" w:hAnsi="Times New Roman" w:cs="Times New Roman"/>
                <w:sz w:val="24"/>
                <w:szCs w:val="24"/>
              </w:rPr>
            </w:pPr>
            <w:r w:rsidRPr="00C22E9B">
              <w:rPr>
                <w:rFonts w:ascii="Times New Roman" w:hAnsi="Times New Roman" w:cs="Times New Roman"/>
                <w:sz w:val="24"/>
                <w:szCs w:val="24"/>
              </w:rPr>
              <w:t>Y</w:t>
            </w:r>
            <w:r>
              <w:rPr>
                <w:rFonts w:ascii="Times New Roman" w:hAnsi="Times New Roman" w:cs="Times New Roman"/>
                <w:sz w:val="24"/>
                <w:szCs w:val="24"/>
              </w:rPr>
              <w:t>es</w:t>
            </w:r>
          </w:p>
        </w:tc>
        <w:tc>
          <w:tcPr>
            <w:tcW w:w="3529" w:type="dxa"/>
            <w:hideMark/>
          </w:tcPr>
          <w:p w14:paraId="265391A7" w14:textId="77777777" w:rsidR="00BF2D94" w:rsidRPr="00C22E9B" w:rsidRDefault="00BF2D94" w:rsidP="00FD69F0">
            <w:pPr>
              <w:rPr>
                <w:rFonts w:ascii="Times New Roman" w:hAnsi="Times New Roman" w:cs="Times New Roman"/>
                <w:sz w:val="24"/>
                <w:szCs w:val="24"/>
              </w:rPr>
            </w:pPr>
            <w:r w:rsidRPr="00C22E9B">
              <w:rPr>
                <w:rFonts w:ascii="Times New Roman" w:hAnsi="Times New Roman" w:cs="Times New Roman"/>
                <w:sz w:val="24"/>
                <w:szCs w:val="24"/>
              </w:rPr>
              <w:t>Mostly in the area 30-40</w:t>
            </w:r>
            <w:r w:rsidRPr="00826D51">
              <w:rPr>
                <w:rFonts w:ascii="Times New Roman" w:hAnsi="Times New Roman" w:cs="Times New Roman"/>
                <w:sz w:val="24"/>
                <w:szCs w:val="24"/>
                <w:vertAlign w:val="superscript"/>
              </w:rPr>
              <w:t xml:space="preserve"> </w:t>
            </w:r>
            <w:proofErr w:type="spellStart"/>
            <w:r w:rsidRPr="00826D51">
              <w:rPr>
                <w:rFonts w:ascii="Times New Roman" w:hAnsi="Times New Roman" w:cs="Times New Roman"/>
                <w:sz w:val="24"/>
                <w:szCs w:val="24"/>
                <w:vertAlign w:val="superscript"/>
              </w:rPr>
              <w:t>o</w:t>
            </w:r>
            <w:r w:rsidRPr="00C22E9B">
              <w:rPr>
                <w:rFonts w:ascii="Times New Roman" w:hAnsi="Times New Roman" w:cs="Times New Roman"/>
                <w:sz w:val="24"/>
                <w:szCs w:val="24"/>
              </w:rPr>
              <w:t>N</w:t>
            </w:r>
            <w:proofErr w:type="spellEnd"/>
          </w:p>
        </w:tc>
      </w:tr>
      <w:tr w:rsidR="00BF2D94" w:rsidRPr="00C22E9B" w14:paraId="3744F8AD" w14:textId="77777777" w:rsidTr="00FD69F0">
        <w:trPr>
          <w:trHeight w:val="660"/>
        </w:trPr>
        <w:tc>
          <w:tcPr>
            <w:tcW w:w="510" w:type="dxa"/>
            <w:hideMark/>
          </w:tcPr>
          <w:p w14:paraId="0AC4BFD7" w14:textId="77777777" w:rsidR="00BF2D94" w:rsidRPr="00C22E9B" w:rsidRDefault="00BF2D94" w:rsidP="00FD69F0">
            <w:pPr>
              <w:rPr>
                <w:rFonts w:ascii="Times New Roman" w:hAnsi="Times New Roman" w:cs="Times New Roman"/>
                <w:b/>
                <w:bCs/>
                <w:sz w:val="24"/>
                <w:szCs w:val="24"/>
              </w:rPr>
            </w:pPr>
            <w:r w:rsidRPr="00C22E9B">
              <w:rPr>
                <w:rFonts w:ascii="Times New Roman" w:hAnsi="Times New Roman" w:cs="Times New Roman"/>
                <w:b/>
                <w:bCs/>
                <w:sz w:val="24"/>
                <w:szCs w:val="24"/>
              </w:rPr>
              <w:t>4</w:t>
            </w:r>
          </w:p>
        </w:tc>
        <w:tc>
          <w:tcPr>
            <w:tcW w:w="3186" w:type="dxa"/>
            <w:hideMark/>
          </w:tcPr>
          <w:p w14:paraId="39005314" w14:textId="77777777" w:rsidR="00BF2D94" w:rsidRPr="00C22E9B" w:rsidRDefault="00BF2D94" w:rsidP="00FD69F0">
            <w:pPr>
              <w:rPr>
                <w:rFonts w:ascii="Times New Roman" w:hAnsi="Times New Roman" w:cs="Times New Roman"/>
                <w:sz w:val="24"/>
                <w:szCs w:val="24"/>
              </w:rPr>
            </w:pPr>
            <w:r w:rsidRPr="00C22E9B">
              <w:rPr>
                <w:rFonts w:ascii="Times New Roman" w:hAnsi="Times New Roman" w:cs="Times New Roman"/>
                <w:sz w:val="24"/>
                <w:szCs w:val="24"/>
              </w:rPr>
              <w:t>Do any other important life history stages occur south of 20</w:t>
            </w:r>
            <w:r w:rsidRPr="00826D51">
              <w:rPr>
                <w:rFonts w:ascii="Times New Roman" w:hAnsi="Times New Roman" w:cs="Times New Roman"/>
                <w:sz w:val="24"/>
                <w:szCs w:val="24"/>
                <w:vertAlign w:val="superscript"/>
              </w:rPr>
              <w:t xml:space="preserve"> </w:t>
            </w:r>
            <w:proofErr w:type="spellStart"/>
            <w:r w:rsidRPr="00826D51">
              <w:rPr>
                <w:rFonts w:ascii="Times New Roman" w:hAnsi="Times New Roman" w:cs="Times New Roman"/>
                <w:sz w:val="24"/>
                <w:szCs w:val="24"/>
                <w:vertAlign w:val="superscript"/>
              </w:rPr>
              <w:t>o</w:t>
            </w:r>
            <w:r w:rsidRPr="00C22E9B">
              <w:rPr>
                <w:rFonts w:ascii="Times New Roman" w:hAnsi="Times New Roman" w:cs="Times New Roman"/>
                <w:sz w:val="24"/>
                <w:szCs w:val="24"/>
              </w:rPr>
              <w:t>N</w:t>
            </w:r>
            <w:proofErr w:type="spellEnd"/>
            <w:r w:rsidRPr="00C22E9B">
              <w:rPr>
                <w:rFonts w:ascii="Times New Roman" w:hAnsi="Times New Roman" w:cs="Times New Roman"/>
                <w:sz w:val="24"/>
                <w:szCs w:val="24"/>
              </w:rPr>
              <w:t>?</w:t>
            </w:r>
          </w:p>
        </w:tc>
        <w:tc>
          <w:tcPr>
            <w:tcW w:w="2125" w:type="dxa"/>
            <w:hideMark/>
          </w:tcPr>
          <w:p w14:paraId="5C7FF40A" w14:textId="77777777" w:rsidR="00BF2D94" w:rsidRPr="00C22E9B" w:rsidRDefault="00BF2D94" w:rsidP="00FD69F0">
            <w:pPr>
              <w:rPr>
                <w:rFonts w:ascii="Times New Roman" w:hAnsi="Times New Roman" w:cs="Times New Roman"/>
                <w:sz w:val="24"/>
                <w:szCs w:val="24"/>
              </w:rPr>
            </w:pPr>
            <w:r w:rsidRPr="00C22E9B">
              <w:rPr>
                <w:rFonts w:ascii="Times New Roman" w:hAnsi="Times New Roman" w:cs="Times New Roman"/>
                <w:sz w:val="24"/>
                <w:szCs w:val="24"/>
              </w:rPr>
              <w:t>Y</w:t>
            </w:r>
            <w:r>
              <w:rPr>
                <w:rFonts w:ascii="Times New Roman" w:hAnsi="Times New Roman" w:cs="Times New Roman"/>
                <w:sz w:val="24"/>
                <w:szCs w:val="24"/>
              </w:rPr>
              <w:t>es</w:t>
            </w:r>
          </w:p>
        </w:tc>
        <w:tc>
          <w:tcPr>
            <w:tcW w:w="3529" w:type="dxa"/>
            <w:hideMark/>
          </w:tcPr>
          <w:p w14:paraId="33C2124E" w14:textId="77777777" w:rsidR="00BF2D94" w:rsidRPr="00C22E9B" w:rsidRDefault="00BF2D94" w:rsidP="00FD69F0">
            <w:pPr>
              <w:rPr>
                <w:rFonts w:ascii="Times New Roman" w:hAnsi="Times New Roman" w:cs="Times New Roman"/>
                <w:sz w:val="24"/>
                <w:szCs w:val="24"/>
              </w:rPr>
            </w:pPr>
            <w:r w:rsidRPr="00C22E9B">
              <w:rPr>
                <w:rFonts w:ascii="Times New Roman" w:hAnsi="Times New Roman" w:cs="Times New Roman"/>
                <w:sz w:val="24"/>
                <w:szCs w:val="24"/>
              </w:rPr>
              <w:t>Pregnant females are commonly found south of 20</w:t>
            </w:r>
            <w:r w:rsidRPr="00826D51">
              <w:rPr>
                <w:rFonts w:ascii="Times New Roman" w:hAnsi="Times New Roman" w:cs="Times New Roman"/>
                <w:sz w:val="24"/>
                <w:szCs w:val="24"/>
                <w:vertAlign w:val="superscript"/>
              </w:rPr>
              <w:t xml:space="preserve"> </w:t>
            </w:r>
            <w:proofErr w:type="spellStart"/>
            <w:r w:rsidRPr="00826D51">
              <w:rPr>
                <w:rFonts w:ascii="Times New Roman" w:hAnsi="Times New Roman" w:cs="Times New Roman"/>
                <w:sz w:val="24"/>
                <w:szCs w:val="24"/>
                <w:vertAlign w:val="superscript"/>
              </w:rPr>
              <w:t>o</w:t>
            </w:r>
            <w:r w:rsidRPr="00C22E9B">
              <w:rPr>
                <w:rFonts w:ascii="Times New Roman" w:hAnsi="Times New Roman" w:cs="Times New Roman"/>
                <w:sz w:val="24"/>
                <w:szCs w:val="24"/>
              </w:rPr>
              <w:t>N</w:t>
            </w:r>
            <w:proofErr w:type="spellEnd"/>
          </w:p>
        </w:tc>
      </w:tr>
      <w:tr w:rsidR="00BF2D94" w:rsidRPr="00C22E9B" w14:paraId="78A997C7" w14:textId="77777777" w:rsidTr="00FD69F0">
        <w:trPr>
          <w:trHeight w:val="660"/>
        </w:trPr>
        <w:tc>
          <w:tcPr>
            <w:tcW w:w="510" w:type="dxa"/>
            <w:hideMark/>
          </w:tcPr>
          <w:p w14:paraId="6C04E37B" w14:textId="77777777" w:rsidR="00BF2D94" w:rsidRPr="00C22E9B" w:rsidRDefault="00BF2D94" w:rsidP="00FD69F0">
            <w:pPr>
              <w:rPr>
                <w:rFonts w:ascii="Times New Roman" w:hAnsi="Times New Roman" w:cs="Times New Roman"/>
                <w:b/>
                <w:bCs/>
                <w:sz w:val="24"/>
                <w:szCs w:val="24"/>
              </w:rPr>
            </w:pPr>
            <w:r w:rsidRPr="00C22E9B">
              <w:rPr>
                <w:rFonts w:ascii="Times New Roman" w:hAnsi="Times New Roman" w:cs="Times New Roman"/>
                <w:b/>
                <w:bCs/>
                <w:sz w:val="24"/>
                <w:szCs w:val="24"/>
              </w:rPr>
              <w:t>5</w:t>
            </w:r>
          </w:p>
        </w:tc>
        <w:tc>
          <w:tcPr>
            <w:tcW w:w="3186" w:type="dxa"/>
            <w:hideMark/>
          </w:tcPr>
          <w:p w14:paraId="1297CF56" w14:textId="77777777" w:rsidR="00BF2D94" w:rsidRPr="00C22E9B" w:rsidRDefault="00BF2D94" w:rsidP="00FD69F0">
            <w:pPr>
              <w:rPr>
                <w:rFonts w:ascii="Times New Roman" w:hAnsi="Times New Roman" w:cs="Times New Roman"/>
                <w:sz w:val="24"/>
                <w:szCs w:val="24"/>
              </w:rPr>
            </w:pPr>
            <w:r w:rsidRPr="00C22E9B">
              <w:rPr>
                <w:rFonts w:ascii="Times New Roman" w:hAnsi="Times New Roman" w:cs="Times New Roman"/>
                <w:sz w:val="24"/>
                <w:szCs w:val="24"/>
              </w:rPr>
              <w:t xml:space="preserve">What proportion of the total </w:t>
            </w:r>
            <w:r>
              <w:rPr>
                <w:rFonts w:ascii="Times New Roman" w:hAnsi="Times New Roman" w:cs="Times New Roman"/>
                <w:sz w:val="24"/>
                <w:szCs w:val="24"/>
              </w:rPr>
              <w:t xml:space="preserve">annual </w:t>
            </w:r>
            <w:r w:rsidRPr="00C22E9B">
              <w:rPr>
                <w:rFonts w:ascii="Times New Roman" w:hAnsi="Times New Roman" w:cs="Times New Roman"/>
                <w:sz w:val="24"/>
                <w:szCs w:val="24"/>
              </w:rPr>
              <w:t>estimated catch occurs north of 20</w:t>
            </w:r>
            <w:r w:rsidRPr="00826D51">
              <w:rPr>
                <w:rFonts w:ascii="Times New Roman" w:hAnsi="Times New Roman" w:cs="Times New Roman"/>
                <w:sz w:val="24"/>
                <w:szCs w:val="24"/>
                <w:vertAlign w:val="superscript"/>
              </w:rPr>
              <w:t xml:space="preserve"> </w:t>
            </w:r>
            <w:proofErr w:type="spellStart"/>
            <w:r w:rsidRPr="00826D51">
              <w:rPr>
                <w:rFonts w:ascii="Times New Roman" w:hAnsi="Times New Roman" w:cs="Times New Roman"/>
                <w:sz w:val="24"/>
                <w:szCs w:val="24"/>
                <w:vertAlign w:val="superscript"/>
              </w:rPr>
              <w:t>o</w:t>
            </w:r>
            <w:r w:rsidRPr="00C22E9B">
              <w:rPr>
                <w:rFonts w:ascii="Times New Roman" w:hAnsi="Times New Roman" w:cs="Times New Roman"/>
                <w:sz w:val="24"/>
                <w:szCs w:val="24"/>
              </w:rPr>
              <w:t>N</w:t>
            </w:r>
            <w:proofErr w:type="spellEnd"/>
            <w:r w:rsidRPr="00C22E9B">
              <w:rPr>
                <w:rFonts w:ascii="Times New Roman" w:hAnsi="Times New Roman" w:cs="Times New Roman"/>
                <w:sz w:val="24"/>
                <w:szCs w:val="24"/>
              </w:rPr>
              <w:t>?</w:t>
            </w:r>
          </w:p>
        </w:tc>
        <w:tc>
          <w:tcPr>
            <w:tcW w:w="2125" w:type="dxa"/>
            <w:hideMark/>
          </w:tcPr>
          <w:p w14:paraId="64F9CE36" w14:textId="77777777" w:rsidR="00BF2D94" w:rsidRPr="00C22E9B" w:rsidRDefault="00BF2D94" w:rsidP="00FD69F0">
            <w:pPr>
              <w:rPr>
                <w:rFonts w:ascii="Times New Roman" w:hAnsi="Times New Roman" w:cs="Times New Roman"/>
                <w:sz w:val="24"/>
                <w:szCs w:val="24"/>
              </w:rPr>
            </w:pPr>
            <w:r>
              <w:rPr>
                <w:rFonts w:ascii="Times New Roman" w:hAnsi="Times New Roman" w:cs="Times New Roman"/>
                <w:sz w:val="24"/>
                <w:szCs w:val="24"/>
              </w:rPr>
              <w:t>0.88 on average</w:t>
            </w:r>
          </w:p>
        </w:tc>
        <w:tc>
          <w:tcPr>
            <w:tcW w:w="3529" w:type="dxa"/>
            <w:hideMark/>
          </w:tcPr>
          <w:p w14:paraId="5E68E1C1" w14:textId="77777777" w:rsidR="00BF2D94" w:rsidRPr="00C22E9B" w:rsidRDefault="00BF2D94" w:rsidP="00FD69F0">
            <w:pPr>
              <w:rPr>
                <w:rFonts w:ascii="Times New Roman" w:hAnsi="Times New Roman" w:cs="Times New Roman"/>
                <w:sz w:val="24"/>
                <w:szCs w:val="24"/>
              </w:rPr>
            </w:pPr>
            <w:r w:rsidRPr="00C22E9B">
              <w:rPr>
                <w:rFonts w:ascii="Times New Roman" w:hAnsi="Times New Roman" w:cs="Times New Roman"/>
                <w:sz w:val="24"/>
                <w:szCs w:val="24"/>
              </w:rPr>
              <w:t xml:space="preserve">Based on </w:t>
            </w:r>
            <w:r>
              <w:rPr>
                <w:rFonts w:ascii="Times New Roman" w:hAnsi="Times New Roman" w:cs="Times New Roman"/>
                <w:sz w:val="24"/>
                <w:szCs w:val="24"/>
              </w:rPr>
              <w:t xml:space="preserve">raised, </w:t>
            </w:r>
            <w:r w:rsidRPr="00C22E9B">
              <w:rPr>
                <w:rFonts w:ascii="Times New Roman" w:hAnsi="Times New Roman" w:cs="Times New Roman"/>
                <w:sz w:val="24"/>
                <w:szCs w:val="24"/>
              </w:rPr>
              <w:t>aggregate</w:t>
            </w:r>
            <w:r>
              <w:rPr>
                <w:rFonts w:ascii="Times New Roman" w:hAnsi="Times New Roman" w:cs="Times New Roman"/>
                <w:sz w:val="24"/>
                <w:szCs w:val="24"/>
              </w:rPr>
              <w:t>d</w:t>
            </w:r>
            <w:r w:rsidRPr="00C22E9B">
              <w:rPr>
                <w:rFonts w:ascii="Times New Roman" w:hAnsi="Times New Roman" w:cs="Times New Roman"/>
                <w:sz w:val="24"/>
                <w:szCs w:val="24"/>
              </w:rPr>
              <w:t xml:space="preserve"> (5x5 degree) longline data 2014-2017 submitted to WCPFC</w:t>
            </w:r>
            <w:r>
              <w:rPr>
                <w:rFonts w:ascii="Times New Roman" w:hAnsi="Times New Roman" w:cs="Times New Roman"/>
                <w:sz w:val="24"/>
                <w:szCs w:val="24"/>
              </w:rPr>
              <w:t xml:space="preserve"> (Operational data would provide better resolution than aggregated data)</w:t>
            </w:r>
          </w:p>
        </w:tc>
      </w:tr>
      <w:tr w:rsidR="00BF2D94" w:rsidRPr="00C22E9B" w14:paraId="2CA090CC" w14:textId="77777777" w:rsidTr="00FD69F0">
        <w:trPr>
          <w:trHeight w:val="1185"/>
        </w:trPr>
        <w:tc>
          <w:tcPr>
            <w:tcW w:w="510" w:type="dxa"/>
            <w:vMerge w:val="restart"/>
            <w:hideMark/>
          </w:tcPr>
          <w:p w14:paraId="1D30B85D" w14:textId="77777777" w:rsidR="00BF2D94" w:rsidRPr="00C22E9B" w:rsidRDefault="00BF2D94" w:rsidP="00FD69F0">
            <w:pPr>
              <w:rPr>
                <w:rFonts w:ascii="Times New Roman" w:hAnsi="Times New Roman" w:cs="Times New Roman"/>
                <w:b/>
                <w:bCs/>
                <w:sz w:val="24"/>
                <w:szCs w:val="24"/>
              </w:rPr>
            </w:pPr>
            <w:r w:rsidRPr="00C22E9B">
              <w:rPr>
                <w:rFonts w:ascii="Times New Roman" w:hAnsi="Times New Roman" w:cs="Times New Roman"/>
                <w:b/>
                <w:bCs/>
                <w:sz w:val="24"/>
                <w:szCs w:val="24"/>
              </w:rPr>
              <w:t>6</w:t>
            </w:r>
          </w:p>
        </w:tc>
        <w:tc>
          <w:tcPr>
            <w:tcW w:w="3186" w:type="dxa"/>
            <w:vMerge w:val="restart"/>
            <w:hideMark/>
          </w:tcPr>
          <w:p w14:paraId="711D800E" w14:textId="77777777" w:rsidR="00BF2D94" w:rsidRPr="00C22E9B" w:rsidRDefault="00BF2D94" w:rsidP="00FD69F0">
            <w:pPr>
              <w:rPr>
                <w:rFonts w:ascii="Times New Roman" w:hAnsi="Times New Roman" w:cs="Times New Roman"/>
                <w:sz w:val="24"/>
                <w:szCs w:val="24"/>
              </w:rPr>
            </w:pPr>
            <w:r w:rsidRPr="00C22E9B">
              <w:rPr>
                <w:rFonts w:ascii="Times New Roman" w:hAnsi="Times New Roman" w:cs="Times New Roman"/>
                <w:sz w:val="24"/>
                <w:szCs w:val="24"/>
              </w:rPr>
              <w:t>Is fishery catch-per-unit-effort demonstrably higher north of 20</w:t>
            </w:r>
            <w:r w:rsidRPr="00826D51">
              <w:rPr>
                <w:rFonts w:ascii="Times New Roman" w:hAnsi="Times New Roman" w:cs="Times New Roman"/>
                <w:sz w:val="24"/>
                <w:szCs w:val="24"/>
                <w:vertAlign w:val="superscript"/>
              </w:rPr>
              <w:t xml:space="preserve"> </w:t>
            </w:r>
            <w:proofErr w:type="spellStart"/>
            <w:r w:rsidRPr="00826D51">
              <w:rPr>
                <w:rFonts w:ascii="Times New Roman" w:hAnsi="Times New Roman" w:cs="Times New Roman"/>
                <w:sz w:val="24"/>
                <w:szCs w:val="24"/>
                <w:vertAlign w:val="superscript"/>
              </w:rPr>
              <w:t>o</w:t>
            </w:r>
            <w:r w:rsidRPr="00C22E9B">
              <w:rPr>
                <w:rFonts w:ascii="Times New Roman" w:hAnsi="Times New Roman" w:cs="Times New Roman"/>
                <w:sz w:val="24"/>
                <w:szCs w:val="24"/>
              </w:rPr>
              <w:t>N</w:t>
            </w:r>
            <w:proofErr w:type="spellEnd"/>
            <w:r w:rsidRPr="00C22E9B">
              <w:rPr>
                <w:rFonts w:ascii="Times New Roman" w:hAnsi="Times New Roman" w:cs="Times New Roman"/>
                <w:sz w:val="24"/>
                <w:szCs w:val="24"/>
              </w:rPr>
              <w:t xml:space="preserve"> for comparable fisheries?</w:t>
            </w:r>
          </w:p>
        </w:tc>
        <w:tc>
          <w:tcPr>
            <w:tcW w:w="2125" w:type="dxa"/>
            <w:vMerge w:val="restart"/>
            <w:hideMark/>
          </w:tcPr>
          <w:p w14:paraId="13C682BD" w14:textId="77777777" w:rsidR="00BF2D94" w:rsidRDefault="00BF2D94" w:rsidP="00FD69F0">
            <w:pPr>
              <w:rPr>
                <w:rFonts w:ascii="Times New Roman" w:hAnsi="Times New Roman" w:cs="Times New Roman"/>
                <w:sz w:val="24"/>
                <w:szCs w:val="24"/>
              </w:rPr>
            </w:pPr>
            <w:r w:rsidRPr="00C22E9B">
              <w:rPr>
                <w:rFonts w:ascii="Times New Roman" w:hAnsi="Times New Roman" w:cs="Times New Roman"/>
                <w:sz w:val="24"/>
                <w:szCs w:val="24"/>
              </w:rPr>
              <w:t>(</w:t>
            </w:r>
            <w:proofErr w:type="spellStart"/>
            <w:r w:rsidRPr="00C22E9B">
              <w:rPr>
                <w:rFonts w:ascii="Times New Roman" w:hAnsi="Times New Roman" w:cs="Times New Roman"/>
                <w:sz w:val="24"/>
                <w:szCs w:val="24"/>
              </w:rPr>
              <w:t>i</w:t>
            </w:r>
            <w:proofErr w:type="spellEnd"/>
            <w:r w:rsidRPr="00C22E9B">
              <w:rPr>
                <w:rFonts w:ascii="Times New Roman" w:hAnsi="Times New Roman" w:cs="Times New Roman"/>
                <w:sz w:val="24"/>
                <w:szCs w:val="24"/>
              </w:rPr>
              <w:t xml:space="preserve">) Similar CPUE </w:t>
            </w:r>
            <w:r>
              <w:rPr>
                <w:rFonts w:ascii="Times New Roman" w:hAnsi="Times New Roman" w:cs="Times New Roman"/>
                <w:sz w:val="24"/>
                <w:szCs w:val="24"/>
              </w:rPr>
              <w:t xml:space="preserve">observed </w:t>
            </w:r>
            <w:r w:rsidRPr="00C22E9B">
              <w:rPr>
                <w:rFonts w:ascii="Times New Roman" w:hAnsi="Times New Roman" w:cs="Times New Roman"/>
                <w:sz w:val="24"/>
                <w:szCs w:val="24"/>
              </w:rPr>
              <w:t>north and south of 20</w:t>
            </w:r>
            <w:r w:rsidRPr="00826D51">
              <w:rPr>
                <w:rFonts w:ascii="Times New Roman" w:hAnsi="Times New Roman" w:cs="Times New Roman"/>
                <w:sz w:val="24"/>
                <w:szCs w:val="24"/>
                <w:vertAlign w:val="superscript"/>
              </w:rPr>
              <w:t xml:space="preserve"> </w:t>
            </w:r>
            <w:proofErr w:type="spellStart"/>
            <w:r w:rsidRPr="00826D51">
              <w:rPr>
                <w:rFonts w:ascii="Times New Roman" w:hAnsi="Times New Roman" w:cs="Times New Roman"/>
                <w:sz w:val="24"/>
                <w:szCs w:val="24"/>
                <w:vertAlign w:val="superscript"/>
              </w:rPr>
              <w:t>o</w:t>
            </w:r>
            <w:r w:rsidRPr="00C22E9B">
              <w:rPr>
                <w:rFonts w:ascii="Times New Roman" w:hAnsi="Times New Roman" w:cs="Times New Roman"/>
                <w:sz w:val="24"/>
                <w:szCs w:val="24"/>
              </w:rPr>
              <w:t>N</w:t>
            </w:r>
            <w:proofErr w:type="spellEnd"/>
            <w:r w:rsidRPr="00C22E9B">
              <w:rPr>
                <w:rFonts w:ascii="Times New Roman" w:hAnsi="Times New Roman" w:cs="Times New Roman"/>
                <w:sz w:val="24"/>
                <w:szCs w:val="24"/>
              </w:rPr>
              <w:t xml:space="preserve"> in Chinese Taipei LSTLL fishery and Hawaii deep-set LL fishery    </w:t>
            </w:r>
          </w:p>
          <w:p w14:paraId="419244A2" w14:textId="62219DB0" w:rsidR="00BF2D94" w:rsidRPr="00C22E9B" w:rsidRDefault="00BF2D94" w:rsidP="00FD69F0">
            <w:pPr>
              <w:rPr>
                <w:rFonts w:ascii="Times New Roman" w:hAnsi="Times New Roman" w:cs="Times New Roman"/>
                <w:sz w:val="24"/>
                <w:szCs w:val="24"/>
              </w:rPr>
            </w:pPr>
            <w:r w:rsidRPr="00C22E9B">
              <w:rPr>
                <w:rFonts w:ascii="Times New Roman" w:hAnsi="Times New Roman" w:cs="Times New Roman"/>
                <w:sz w:val="24"/>
                <w:szCs w:val="24"/>
              </w:rPr>
              <w:t>(ii) CPUE higher north of 20</w:t>
            </w:r>
            <w:r w:rsidRPr="00826D51">
              <w:rPr>
                <w:rFonts w:ascii="Times New Roman" w:hAnsi="Times New Roman" w:cs="Times New Roman"/>
                <w:sz w:val="24"/>
                <w:szCs w:val="24"/>
                <w:vertAlign w:val="superscript"/>
              </w:rPr>
              <w:t xml:space="preserve"> </w:t>
            </w:r>
            <w:proofErr w:type="spellStart"/>
            <w:r w:rsidRPr="00826D51">
              <w:rPr>
                <w:rFonts w:ascii="Times New Roman" w:hAnsi="Times New Roman" w:cs="Times New Roman"/>
                <w:sz w:val="24"/>
                <w:szCs w:val="24"/>
                <w:vertAlign w:val="superscript"/>
              </w:rPr>
              <w:t>o</w:t>
            </w:r>
            <w:r w:rsidRPr="00C22E9B">
              <w:rPr>
                <w:rFonts w:ascii="Times New Roman" w:hAnsi="Times New Roman" w:cs="Times New Roman"/>
                <w:sz w:val="24"/>
                <w:szCs w:val="24"/>
              </w:rPr>
              <w:t>N</w:t>
            </w:r>
            <w:proofErr w:type="spellEnd"/>
            <w:r w:rsidRPr="00C22E9B">
              <w:rPr>
                <w:rFonts w:ascii="Times New Roman" w:hAnsi="Times New Roman" w:cs="Times New Roman"/>
                <w:sz w:val="24"/>
                <w:szCs w:val="24"/>
              </w:rPr>
              <w:t xml:space="preserve"> in Japan shallow set research survey</w:t>
            </w:r>
          </w:p>
        </w:tc>
        <w:tc>
          <w:tcPr>
            <w:tcW w:w="3529" w:type="dxa"/>
            <w:vMerge w:val="restart"/>
            <w:hideMark/>
          </w:tcPr>
          <w:p w14:paraId="235FC8A1" w14:textId="77777777" w:rsidR="00BF2D94" w:rsidRPr="00C22E9B" w:rsidRDefault="00BF2D94" w:rsidP="00FD69F0">
            <w:pPr>
              <w:rPr>
                <w:rFonts w:ascii="Times New Roman" w:hAnsi="Times New Roman" w:cs="Times New Roman"/>
                <w:sz w:val="24"/>
                <w:szCs w:val="24"/>
              </w:rPr>
            </w:pPr>
            <w:r w:rsidRPr="00C22E9B">
              <w:rPr>
                <w:rFonts w:ascii="Times New Roman" w:hAnsi="Times New Roman" w:cs="Times New Roman"/>
                <w:sz w:val="24"/>
                <w:szCs w:val="24"/>
              </w:rPr>
              <w:t xml:space="preserve">CPUE comparisons may be biased by different depth distribution of </w:t>
            </w:r>
            <w:r>
              <w:rPr>
                <w:rFonts w:ascii="Times New Roman" w:hAnsi="Times New Roman" w:cs="Times New Roman"/>
                <w:sz w:val="24"/>
                <w:szCs w:val="24"/>
              </w:rPr>
              <w:t>blue shark</w:t>
            </w:r>
            <w:r w:rsidRPr="00C22E9B">
              <w:rPr>
                <w:rFonts w:ascii="Times New Roman" w:hAnsi="Times New Roman" w:cs="Times New Roman"/>
                <w:sz w:val="24"/>
                <w:szCs w:val="24"/>
              </w:rPr>
              <w:t xml:space="preserve"> north and south of 20</w:t>
            </w:r>
            <w:r w:rsidRPr="00826D51">
              <w:rPr>
                <w:rFonts w:ascii="Times New Roman" w:hAnsi="Times New Roman" w:cs="Times New Roman"/>
                <w:sz w:val="24"/>
                <w:szCs w:val="24"/>
                <w:vertAlign w:val="superscript"/>
              </w:rPr>
              <w:t xml:space="preserve"> </w:t>
            </w:r>
            <w:proofErr w:type="spellStart"/>
            <w:r w:rsidRPr="00826D51">
              <w:rPr>
                <w:rFonts w:ascii="Times New Roman" w:hAnsi="Times New Roman" w:cs="Times New Roman"/>
                <w:sz w:val="24"/>
                <w:szCs w:val="24"/>
                <w:vertAlign w:val="superscript"/>
              </w:rPr>
              <w:t>o</w:t>
            </w:r>
            <w:r w:rsidRPr="00C22E9B">
              <w:rPr>
                <w:rFonts w:ascii="Times New Roman" w:hAnsi="Times New Roman" w:cs="Times New Roman"/>
                <w:sz w:val="24"/>
                <w:szCs w:val="24"/>
              </w:rPr>
              <w:t>N</w:t>
            </w:r>
            <w:proofErr w:type="spellEnd"/>
            <w:r>
              <w:rPr>
                <w:rFonts w:ascii="Times New Roman" w:hAnsi="Times New Roman" w:cs="Times New Roman"/>
                <w:sz w:val="24"/>
                <w:szCs w:val="24"/>
              </w:rPr>
              <w:t>.</w:t>
            </w:r>
          </w:p>
        </w:tc>
      </w:tr>
      <w:tr w:rsidR="00BF2D94" w:rsidRPr="00C22E9B" w14:paraId="20EC847B" w14:textId="77777777" w:rsidTr="00FD69F0">
        <w:trPr>
          <w:trHeight w:val="915"/>
        </w:trPr>
        <w:tc>
          <w:tcPr>
            <w:tcW w:w="510" w:type="dxa"/>
            <w:vMerge/>
            <w:hideMark/>
          </w:tcPr>
          <w:p w14:paraId="26DFA074" w14:textId="77777777" w:rsidR="00BF2D94" w:rsidRPr="00C22E9B" w:rsidRDefault="00BF2D94" w:rsidP="00FD69F0">
            <w:pPr>
              <w:rPr>
                <w:rFonts w:ascii="Times New Roman" w:hAnsi="Times New Roman" w:cs="Times New Roman"/>
                <w:b/>
                <w:bCs/>
                <w:sz w:val="24"/>
                <w:szCs w:val="24"/>
              </w:rPr>
            </w:pPr>
          </w:p>
        </w:tc>
        <w:tc>
          <w:tcPr>
            <w:tcW w:w="3186" w:type="dxa"/>
            <w:vMerge/>
            <w:hideMark/>
          </w:tcPr>
          <w:p w14:paraId="6C1B3A69" w14:textId="77777777" w:rsidR="00BF2D94" w:rsidRPr="00C22E9B" w:rsidRDefault="00BF2D94" w:rsidP="00FD69F0">
            <w:pPr>
              <w:rPr>
                <w:rFonts w:ascii="Times New Roman" w:hAnsi="Times New Roman" w:cs="Times New Roman"/>
                <w:sz w:val="24"/>
                <w:szCs w:val="24"/>
              </w:rPr>
            </w:pPr>
          </w:p>
        </w:tc>
        <w:tc>
          <w:tcPr>
            <w:tcW w:w="2125" w:type="dxa"/>
            <w:vMerge/>
            <w:hideMark/>
          </w:tcPr>
          <w:p w14:paraId="6B9CB7CB" w14:textId="77777777" w:rsidR="00BF2D94" w:rsidRPr="00C22E9B" w:rsidRDefault="00BF2D94" w:rsidP="00FD69F0">
            <w:pPr>
              <w:rPr>
                <w:rFonts w:ascii="Times New Roman" w:hAnsi="Times New Roman" w:cs="Times New Roman"/>
                <w:sz w:val="24"/>
                <w:szCs w:val="24"/>
              </w:rPr>
            </w:pPr>
          </w:p>
        </w:tc>
        <w:tc>
          <w:tcPr>
            <w:tcW w:w="3529" w:type="dxa"/>
            <w:vMerge/>
            <w:hideMark/>
          </w:tcPr>
          <w:p w14:paraId="7643C514" w14:textId="77777777" w:rsidR="00BF2D94" w:rsidRPr="00C22E9B" w:rsidRDefault="00BF2D94" w:rsidP="00FD69F0">
            <w:pPr>
              <w:rPr>
                <w:rFonts w:ascii="Times New Roman" w:hAnsi="Times New Roman" w:cs="Times New Roman"/>
                <w:sz w:val="24"/>
                <w:szCs w:val="24"/>
              </w:rPr>
            </w:pPr>
          </w:p>
        </w:tc>
      </w:tr>
      <w:tr w:rsidR="00BF2D94" w:rsidRPr="00C22E9B" w14:paraId="02BCDA71" w14:textId="77777777" w:rsidTr="00FD69F0">
        <w:trPr>
          <w:trHeight w:val="915"/>
        </w:trPr>
        <w:tc>
          <w:tcPr>
            <w:tcW w:w="510" w:type="dxa"/>
          </w:tcPr>
          <w:p w14:paraId="2CA33209" w14:textId="77777777" w:rsidR="00BF2D94" w:rsidRPr="00C22E9B" w:rsidRDefault="00BF2D94" w:rsidP="00FD69F0">
            <w:pPr>
              <w:rPr>
                <w:rFonts w:ascii="Times New Roman" w:hAnsi="Times New Roman" w:cs="Times New Roman"/>
                <w:b/>
                <w:bCs/>
                <w:sz w:val="24"/>
                <w:szCs w:val="24"/>
              </w:rPr>
            </w:pPr>
            <w:r>
              <w:rPr>
                <w:rFonts w:ascii="Times New Roman" w:hAnsi="Times New Roman" w:cs="Times New Roman" w:hint="eastAsia"/>
                <w:b/>
                <w:bCs/>
                <w:sz w:val="24"/>
                <w:szCs w:val="24"/>
              </w:rPr>
              <w:t>7</w:t>
            </w:r>
          </w:p>
        </w:tc>
        <w:tc>
          <w:tcPr>
            <w:tcW w:w="3186" w:type="dxa"/>
          </w:tcPr>
          <w:p w14:paraId="0BC34476" w14:textId="77777777" w:rsidR="00BF2D94" w:rsidRPr="00C22E9B" w:rsidRDefault="00BF2D94" w:rsidP="00FD69F0">
            <w:pPr>
              <w:rPr>
                <w:rFonts w:ascii="Times New Roman" w:hAnsi="Times New Roman" w:cs="Times New Roman"/>
                <w:sz w:val="24"/>
                <w:szCs w:val="24"/>
              </w:rPr>
            </w:pPr>
            <w:r>
              <w:rPr>
                <w:rFonts w:ascii="Times New Roman" w:hAnsi="Times New Roman" w:cs="Times New Roman" w:hint="eastAsia"/>
                <w:sz w:val="24"/>
                <w:szCs w:val="24"/>
              </w:rPr>
              <w:t>I</w:t>
            </w:r>
            <w:r>
              <w:rPr>
                <w:rFonts w:ascii="Times New Roman" w:hAnsi="Times New Roman" w:cs="Times New Roman"/>
                <w:sz w:val="24"/>
                <w:szCs w:val="24"/>
              </w:rPr>
              <w:t xml:space="preserve">s there sufficient information about fish movement between the areas north and south </w:t>
            </w:r>
            <w:proofErr w:type="gramStart"/>
            <w:r>
              <w:rPr>
                <w:rFonts w:ascii="Times New Roman" w:hAnsi="Times New Roman" w:cs="Times New Roman"/>
                <w:sz w:val="24"/>
                <w:szCs w:val="24"/>
              </w:rPr>
              <w:t>of  20</w:t>
            </w:r>
            <w:proofErr w:type="gramEnd"/>
            <w:r w:rsidRPr="00826D51">
              <w:rPr>
                <w:rFonts w:ascii="Times New Roman" w:hAnsi="Times New Roman" w:cs="Times New Roman"/>
                <w:sz w:val="24"/>
                <w:szCs w:val="24"/>
                <w:vertAlign w:val="superscript"/>
              </w:rPr>
              <w:t xml:space="preserve"> </w:t>
            </w:r>
            <w:proofErr w:type="spellStart"/>
            <w:r w:rsidRPr="00826D51">
              <w:rPr>
                <w:rFonts w:ascii="Times New Roman" w:hAnsi="Times New Roman" w:cs="Times New Roman"/>
                <w:sz w:val="24"/>
                <w:szCs w:val="24"/>
                <w:vertAlign w:val="superscript"/>
              </w:rPr>
              <w:t>o</w:t>
            </w:r>
            <w:r w:rsidRPr="00C22E9B">
              <w:rPr>
                <w:rFonts w:ascii="Times New Roman" w:hAnsi="Times New Roman" w:cs="Times New Roman"/>
                <w:sz w:val="24"/>
                <w:szCs w:val="24"/>
              </w:rPr>
              <w:t>N</w:t>
            </w:r>
            <w:proofErr w:type="spellEnd"/>
            <w:r>
              <w:rPr>
                <w:rFonts w:ascii="Times New Roman" w:hAnsi="Times New Roman" w:cs="Times New Roman"/>
                <w:sz w:val="24"/>
                <w:szCs w:val="24"/>
              </w:rPr>
              <w:t>?</w:t>
            </w:r>
          </w:p>
        </w:tc>
        <w:tc>
          <w:tcPr>
            <w:tcW w:w="2125" w:type="dxa"/>
          </w:tcPr>
          <w:p w14:paraId="5D261764" w14:textId="77777777" w:rsidR="00BF2D94" w:rsidRPr="00C22E9B" w:rsidRDefault="00BF2D94" w:rsidP="00FD69F0">
            <w:pPr>
              <w:rPr>
                <w:rFonts w:ascii="Times New Roman" w:hAnsi="Times New Roman" w:cs="Times New Roman"/>
                <w:sz w:val="24"/>
                <w:szCs w:val="24"/>
              </w:rPr>
            </w:pPr>
            <w:r>
              <w:rPr>
                <w:rFonts w:ascii="Times New Roman" w:hAnsi="Times New Roman" w:cs="Times New Roman" w:hint="eastAsia"/>
                <w:sz w:val="24"/>
                <w:szCs w:val="24"/>
              </w:rPr>
              <w:t>Y</w:t>
            </w:r>
            <w:r>
              <w:rPr>
                <w:rFonts w:ascii="Times New Roman" w:hAnsi="Times New Roman" w:cs="Times New Roman"/>
                <w:sz w:val="24"/>
                <w:szCs w:val="24"/>
              </w:rPr>
              <w:t>es</w:t>
            </w:r>
          </w:p>
        </w:tc>
        <w:tc>
          <w:tcPr>
            <w:tcW w:w="3529" w:type="dxa"/>
          </w:tcPr>
          <w:p w14:paraId="195C3DD5" w14:textId="77777777" w:rsidR="00BF2D94" w:rsidRPr="00C22E9B" w:rsidRDefault="00BF2D94" w:rsidP="00FD69F0">
            <w:pPr>
              <w:rPr>
                <w:rFonts w:ascii="Times New Roman" w:hAnsi="Times New Roman" w:cs="Times New Roman"/>
                <w:sz w:val="24"/>
                <w:szCs w:val="24"/>
              </w:rPr>
            </w:pPr>
            <w:r>
              <w:rPr>
                <w:rFonts w:ascii="Times New Roman" w:hAnsi="Times New Roman" w:cs="Times New Roman"/>
                <w:sz w:val="24"/>
                <w:szCs w:val="24"/>
              </w:rPr>
              <w:t xml:space="preserve">Conventional tagging data shows </w:t>
            </w:r>
            <w:r>
              <w:rPr>
                <w:sz w:val="24"/>
                <w:szCs w:val="24"/>
              </w:rPr>
              <w:t xml:space="preserve">that </w:t>
            </w:r>
            <w:r w:rsidRPr="00AE669D">
              <w:rPr>
                <w:sz w:val="24"/>
                <w:szCs w:val="24"/>
              </w:rPr>
              <w:t xml:space="preserve">the maximum range of movements suggests at least northern and southern sub-populations of </w:t>
            </w:r>
            <w:r>
              <w:rPr>
                <w:sz w:val="24"/>
                <w:szCs w:val="24"/>
              </w:rPr>
              <w:t>blue shark</w:t>
            </w:r>
            <w:r w:rsidRPr="00AE669D">
              <w:rPr>
                <w:sz w:val="24"/>
                <w:szCs w:val="24"/>
              </w:rPr>
              <w:t xml:space="preserve">, </w:t>
            </w:r>
            <w:r>
              <w:rPr>
                <w:sz w:val="24"/>
                <w:szCs w:val="24"/>
              </w:rPr>
              <w:t xml:space="preserve">as </w:t>
            </w:r>
            <w:r w:rsidRPr="00AE669D">
              <w:rPr>
                <w:sz w:val="24"/>
                <w:szCs w:val="24"/>
              </w:rPr>
              <w:t>demarked by the equator</w:t>
            </w:r>
            <w:r>
              <w:rPr>
                <w:sz w:val="24"/>
                <w:szCs w:val="24"/>
              </w:rPr>
              <w:t>.</w:t>
            </w:r>
          </w:p>
        </w:tc>
      </w:tr>
    </w:tbl>
    <w:p w14:paraId="2214CE29" w14:textId="77777777" w:rsidR="00BF2D94" w:rsidRPr="0093545A" w:rsidRDefault="00BF2D94" w:rsidP="00BF2D94">
      <w:pPr>
        <w:pStyle w:val="ListParagraph"/>
        <w:rPr>
          <w:sz w:val="24"/>
          <w:szCs w:val="24"/>
        </w:rPr>
      </w:pPr>
    </w:p>
    <w:p w14:paraId="33F67D32" w14:textId="77777777" w:rsidR="00BF2D94" w:rsidRDefault="00BF2D94">
      <w:pPr>
        <w:rPr>
          <w:rFonts w:asciiTheme="majorHAnsi" w:eastAsiaTheme="majorEastAsia" w:hAnsiTheme="majorHAnsi" w:cstheme="majorBidi"/>
          <w:color w:val="2F5496" w:themeColor="accent1" w:themeShade="BF"/>
          <w:sz w:val="32"/>
          <w:szCs w:val="32"/>
        </w:rPr>
      </w:pPr>
      <w:r>
        <w:br w:type="page"/>
      </w:r>
    </w:p>
    <w:p w14:paraId="73138AF5" w14:textId="058E022F" w:rsidR="004B05DF" w:rsidRDefault="004B05DF" w:rsidP="004B05DF">
      <w:pPr>
        <w:pStyle w:val="Heading1"/>
      </w:pPr>
      <w:bookmarkStart w:id="2" w:name="_Toc522795531"/>
      <w:r>
        <w:lastRenderedPageBreak/>
        <w:t>SC13 2017</w:t>
      </w:r>
      <w:r w:rsidR="00360E4B">
        <w:t xml:space="preserve"> (Assessment Conducted)</w:t>
      </w:r>
      <w:bookmarkEnd w:id="2"/>
    </w:p>
    <w:p w14:paraId="4FC6D862" w14:textId="77777777" w:rsidR="006D1BC2" w:rsidRPr="009C2ADD" w:rsidRDefault="006D1BC2" w:rsidP="006D1BC2">
      <w:pPr>
        <w:adjustRightInd w:val="0"/>
        <w:snapToGrid w:val="0"/>
        <w:spacing w:after="0"/>
        <w:outlineLvl w:val="6"/>
        <w:rPr>
          <w:rFonts w:ascii="Times New Roman" w:hAnsi="Times New Roman"/>
          <w:b/>
          <w:lang w:val="en-AU" w:eastAsia="ko-KR"/>
        </w:rPr>
      </w:pPr>
    </w:p>
    <w:p w14:paraId="1A67F95A" w14:textId="77777777" w:rsidR="00D84C45" w:rsidRPr="009C2ADD" w:rsidRDefault="00D84C45" w:rsidP="00D84C45">
      <w:pPr>
        <w:pStyle w:val="ListParagraph"/>
        <w:numPr>
          <w:ilvl w:val="0"/>
          <w:numId w:val="44"/>
        </w:numPr>
        <w:adjustRightInd w:val="0"/>
        <w:snapToGrid w:val="0"/>
        <w:ind w:left="0" w:firstLine="0"/>
        <w:contextualSpacing w:val="0"/>
        <w:rPr>
          <w:rFonts w:ascii="Times New Roman" w:eastAsia="Batang" w:hAnsi="Times New Roman"/>
          <w:b/>
          <w:lang w:eastAsia="ko-KR"/>
        </w:rPr>
      </w:pPr>
      <w:bookmarkStart w:id="3" w:name="_Hlk505000354"/>
      <w:bookmarkStart w:id="4" w:name="_Toc495323856"/>
      <w:r w:rsidRPr="009C2ADD">
        <w:rPr>
          <w:rFonts w:ascii="Times New Roman" w:eastAsia="Batang" w:hAnsi="Times New Roman"/>
          <w:b/>
          <w:lang w:eastAsia="ko-KR"/>
        </w:rPr>
        <w:t>Stock status and trends</w:t>
      </w:r>
    </w:p>
    <w:p w14:paraId="21D5ABB1" w14:textId="77777777" w:rsidR="00D84C45" w:rsidRPr="009C2ADD" w:rsidRDefault="00D84C45" w:rsidP="00D84C45">
      <w:pPr>
        <w:pStyle w:val="WCPFC"/>
        <w:numPr>
          <w:ilvl w:val="0"/>
          <w:numId w:val="0"/>
        </w:numPr>
        <w:adjustRightInd w:val="0"/>
        <w:spacing w:after="0"/>
        <w:ind w:left="720"/>
        <w:rPr>
          <w:b/>
        </w:rPr>
      </w:pPr>
    </w:p>
    <w:p w14:paraId="1D286F68" w14:textId="77777777" w:rsidR="00D84C45" w:rsidRPr="00D84C45" w:rsidRDefault="00D84C45" w:rsidP="00D84C45">
      <w:pPr>
        <w:pStyle w:val="WCPFC"/>
        <w:ind w:left="0" w:firstLine="0"/>
        <w:rPr>
          <w:b/>
        </w:rPr>
      </w:pPr>
      <w:r w:rsidRPr="00D84C45">
        <w:rPr>
          <w:b/>
        </w:rPr>
        <w:t>SC13 noted that ISC provided the following conclusions on the stock status of North Pacific blue shark.</w:t>
      </w:r>
    </w:p>
    <w:p w14:paraId="3346B4E9" w14:textId="77777777" w:rsidR="00D84C45" w:rsidRPr="009C2ADD" w:rsidRDefault="00D84C45" w:rsidP="00D84C45">
      <w:pPr>
        <w:autoSpaceDE w:val="0"/>
        <w:autoSpaceDN w:val="0"/>
        <w:adjustRightInd w:val="0"/>
        <w:snapToGrid w:val="0"/>
        <w:spacing w:after="0"/>
        <w:rPr>
          <w:rFonts w:ascii="Times New Roman" w:hAnsi="Times New Roman"/>
          <w:b/>
          <w:lang w:val="en-AU"/>
        </w:rPr>
      </w:pPr>
    </w:p>
    <w:p w14:paraId="3A97171A" w14:textId="77777777" w:rsidR="00D84C45" w:rsidRDefault="00D84C45" w:rsidP="00D84C45">
      <w:pPr>
        <w:numPr>
          <w:ilvl w:val="0"/>
          <w:numId w:val="2"/>
        </w:numPr>
        <w:autoSpaceDE w:val="0"/>
        <w:autoSpaceDN w:val="0"/>
        <w:adjustRightInd w:val="0"/>
        <w:snapToGrid w:val="0"/>
        <w:spacing w:after="0" w:line="240" w:lineRule="auto"/>
        <w:ind w:left="0" w:firstLine="0"/>
        <w:jc w:val="both"/>
        <w:rPr>
          <w:rFonts w:ascii="Times New Roman" w:hAnsi="Times New Roman"/>
          <w:lang w:val="en-AU"/>
        </w:rPr>
      </w:pPr>
      <w:r w:rsidRPr="009C2ADD">
        <w:rPr>
          <w:rFonts w:ascii="Times New Roman" w:hAnsi="Times New Roman"/>
          <w:lang w:val="en-AU"/>
        </w:rPr>
        <w:t xml:space="preserve">The assessment uses a fully integrated approach in Stock Synthesis with model inputs that have been greatly improved since the previous assessment. The main differences between the present assessment and the 2014 assessment are: 1) use of SS with a thorough examination of the size composition data and the relative weighting of CPUE and composition data; 2) improved life history information, such as growth and reproductive biology, and their contribution to productivity assumptions; 3) an improved understanding and parametrization of the </w:t>
      </w:r>
      <w:r>
        <w:rPr>
          <w:rFonts w:ascii="Times New Roman" w:hAnsi="Times New Roman"/>
          <w:lang w:val="en-AU"/>
        </w:rPr>
        <w:t xml:space="preserve">low fecundity stock recruit relationship </w:t>
      </w:r>
      <w:r>
        <w:rPr>
          <w:rFonts w:ascii="Times New Roman" w:hAnsi="Times New Roman" w:hint="eastAsia"/>
          <w:lang w:val="en-AU" w:eastAsia="ko-KR"/>
        </w:rPr>
        <w:t>(</w:t>
      </w:r>
      <w:r w:rsidRPr="009C2ADD">
        <w:rPr>
          <w:rFonts w:ascii="Times New Roman" w:hAnsi="Times New Roman"/>
          <w:lang w:val="en-AU"/>
        </w:rPr>
        <w:t>LFSR</w:t>
      </w:r>
      <w:r>
        <w:rPr>
          <w:rFonts w:ascii="Times New Roman" w:hAnsi="Times New Roman" w:hint="eastAsia"/>
          <w:lang w:val="en-AU" w:eastAsia="ko-KR"/>
        </w:rPr>
        <w:t>)</w:t>
      </w:r>
      <w:r w:rsidRPr="009C2ADD">
        <w:rPr>
          <w:rFonts w:ascii="Times New Roman" w:hAnsi="Times New Roman"/>
          <w:lang w:val="en-AU"/>
        </w:rPr>
        <w:t xml:space="preserve">; 4) catch, CPUE and size time series updated through 2015; 5) a suite of model diagnostics including implementation of an Age Structured Production Model implemented in SS. There remain some uncertainties in the time series based on the quality (observer vs. logbook) and timespans of catch and relative abundance indices, limited size composition data for several fisheries, the potential for additional catch not accounted for in the assessment, and regarding life history parameters. </w:t>
      </w:r>
    </w:p>
    <w:p w14:paraId="515E0CB9" w14:textId="77777777" w:rsidR="00D84C45" w:rsidRDefault="00D84C45" w:rsidP="00D84C45">
      <w:pPr>
        <w:autoSpaceDE w:val="0"/>
        <w:autoSpaceDN w:val="0"/>
        <w:adjustRightInd w:val="0"/>
        <w:snapToGrid w:val="0"/>
        <w:spacing w:after="0"/>
        <w:rPr>
          <w:rFonts w:ascii="Times New Roman" w:hAnsi="Times New Roman"/>
          <w:lang w:val="en-AU"/>
        </w:rPr>
      </w:pPr>
    </w:p>
    <w:p w14:paraId="201AEB9A" w14:textId="77777777" w:rsidR="00D84C45" w:rsidRPr="009C2ADD" w:rsidRDefault="00D84C45" w:rsidP="00D84C45">
      <w:pPr>
        <w:numPr>
          <w:ilvl w:val="0"/>
          <w:numId w:val="2"/>
        </w:numPr>
        <w:autoSpaceDE w:val="0"/>
        <w:autoSpaceDN w:val="0"/>
        <w:adjustRightInd w:val="0"/>
        <w:snapToGrid w:val="0"/>
        <w:spacing w:after="0" w:line="240" w:lineRule="auto"/>
        <w:ind w:left="0" w:firstLine="0"/>
        <w:jc w:val="both"/>
        <w:rPr>
          <w:rFonts w:ascii="Times New Roman" w:hAnsi="Times New Roman"/>
          <w:lang w:val="en-AU"/>
        </w:rPr>
      </w:pPr>
      <w:r w:rsidRPr="00007081">
        <w:rPr>
          <w:rFonts w:ascii="Times New Roman" w:hAnsi="Times New Roman"/>
        </w:rPr>
        <w:t>Extensive model explorations showed that the reference run had the best model performance and showed fits most consistent with the data. The CPUE indices used in the reference case were considered most representative of the North Pacific blue shark stock due to their broader spatial temporal coverage in the core distribution of the stock and the statistical soundness of the standardizations. Alternate CPUE series for the latter part of the time series produced different stock trajectories depending upon the index used, but in each case, median SSB during the last three years exceeded SSBMSY. Using alternate assumptions on stock productivity (i.e., form of the stock recruitment relationship) also resulted in variation in the stock trajectories; assuming stock productivity lower than supported by current biological studies, resulted in lowered spawning stock biomass relative to MSY.</w:t>
      </w:r>
      <w:r w:rsidRPr="009C2ADD">
        <w:rPr>
          <w:rFonts w:ascii="Times New Roman" w:hAnsi="Times New Roman"/>
          <w:lang w:val="en-AU"/>
        </w:rPr>
        <w:t xml:space="preserve"> </w:t>
      </w:r>
    </w:p>
    <w:p w14:paraId="43CD36FB" w14:textId="77777777" w:rsidR="00D84C45" w:rsidRPr="009C2ADD" w:rsidRDefault="00D84C45" w:rsidP="00D84C45">
      <w:pPr>
        <w:autoSpaceDE w:val="0"/>
        <w:autoSpaceDN w:val="0"/>
        <w:adjustRightInd w:val="0"/>
        <w:snapToGrid w:val="0"/>
        <w:spacing w:after="0"/>
        <w:rPr>
          <w:rFonts w:ascii="Times New Roman" w:hAnsi="Times New Roman"/>
          <w:lang w:val="en-AU"/>
        </w:rPr>
      </w:pPr>
    </w:p>
    <w:p w14:paraId="32C31254" w14:textId="77777777" w:rsidR="00D84C45" w:rsidRPr="009C2ADD" w:rsidRDefault="00D84C45" w:rsidP="00D84C45">
      <w:pPr>
        <w:pStyle w:val="ListParagraph"/>
        <w:adjustRightInd w:val="0"/>
        <w:snapToGrid w:val="0"/>
        <w:contextualSpacing w:val="0"/>
        <w:rPr>
          <w:rFonts w:ascii="Times New Roman" w:hAnsi="Times New Roman"/>
          <w:lang w:val="en-AU"/>
        </w:rPr>
      </w:pPr>
    </w:p>
    <w:p w14:paraId="00A2DD83" w14:textId="77777777" w:rsidR="00D84C45" w:rsidRPr="00007081" w:rsidRDefault="00D84C45" w:rsidP="00D84C45">
      <w:pPr>
        <w:numPr>
          <w:ilvl w:val="0"/>
          <w:numId w:val="2"/>
        </w:numPr>
        <w:autoSpaceDE w:val="0"/>
        <w:autoSpaceDN w:val="0"/>
        <w:adjustRightInd w:val="0"/>
        <w:snapToGrid w:val="0"/>
        <w:spacing w:after="0" w:line="240" w:lineRule="auto"/>
        <w:ind w:left="0" w:firstLine="0"/>
        <w:jc w:val="both"/>
        <w:rPr>
          <w:rFonts w:ascii="Times New Roman" w:hAnsi="Times New Roman"/>
          <w:lang w:val="en-AU"/>
        </w:rPr>
      </w:pPr>
      <w:r w:rsidRPr="009C2ADD">
        <w:rPr>
          <w:rFonts w:ascii="Times New Roman" w:hAnsi="Times New Roman"/>
          <w:lang w:val="en-AU"/>
        </w:rPr>
        <w:t>Results of the reference case model showed that the spawning stock biomass was near a time-series high in the late 1970s, fell to its lowest level between 1990 to 1995, subsequently increased gradually to reach the time-series high again in 2005, and has since shown small fluctuations</w:t>
      </w:r>
      <w:r>
        <w:rPr>
          <w:rFonts w:ascii="Times New Roman" w:hAnsi="Times New Roman"/>
          <w:lang w:val="en-AU"/>
        </w:rPr>
        <w:t xml:space="preserve"> with no apparent trend (Figure </w:t>
      </w:r>
      <w:r w:rsidRPr="000A477B">
        <w:rPr>
          <w:rFonts w:ascii="Times New Roman" w:hAnsi="Times New Roman"/>
          <w:bCs/>
          <w:lang w:eastAsia="ja-JP"/>
        </w:rPr>
        <w:t>NPBSH- 1</w:t>
      </w:r>
      <w:r>
        <w:rPr>
          <w:rFonts w:ascii="Times New Roman" w:hAnsi="Times New Roman"/>
          <w:bCs/>
          <w:lang w:eastAsia="ja-JP"/>
        </w:rPr>
        <w:t>B</w:t>
      </w:r>
      <w:r w:rsidRPr="000A477B">
        <w:rPr>
          <w:rFonts w:ascii="Times New Roman" w:hAnsi="Times New Roman"/>
          <w:bCs/>
          <w:lang w:eastAsia="ja-JP"/>
        </w:rPr>
        <w:t>)</w:t>
      </w:r>
      <w:r w:rsidRPr="009C2ADD">
        <w:rPr>
          <w:rFonts w:ascii="Times New Roman" w:hAnsi="Times New Roman"/>
          <w:lang w:val="en-AU"/>
        </w:rPr>
        <w:t xml:space="preserve"> </w:t>
      </w:r>
      <w:r w:rsidRPr="006F5A32">
        <w:rPr>
          <w:rFonts w:ascii="Times New Roman" w:hAnsi="Times New Roman"/>
          <w:lang w:val="en-AU"/>
        </w:rPr>
        <w:t>close to the time-series high</w:t>
      </w:r>
      <w:r w:rsidRPr="006F5A32">
        <w:rPr>
          <w:rFonts w:ascii="Times New Roman" w:hAnsi="Times New Roman"/>
          <w:lang w:val="en-AU" w:eastAsia="ko-KR"/>
        </w:rPr>
        <w:t>. R</w:t>
      </w:r>
      <w:r w:rsidRPr="006F5A32">
        <w:rPr>
          <w:rFonts w:ascii="Times New Roman" w:hAnsi="Times New Roman"/>
          <w:lang w:val="en-AU"/>
        </w:rPr>
        <w:t xml:space="preserve">ecruitment has fluctuated around 37,000,000 age-0 sharks annually </w:t>
      </w:r>
      <w:r w:rsidRPr="006F5A32">
        <w:rPr>
          <w:rFonts w:ascii="Times New Roman" w:hAnsi="Times New Roman"/>
        </w:rPr>
        <w:t xml:space="preserve">with no apparent trend </w:t>
      </w:r>
      <w:r w:rsidRPr="006F5A32">
        <w:rPr>
          <w:rFonts w:ascii="Times New Roman" w:hAnsi="Times New Roman"/>
          <w:lang w:val="en-AU"/>
        </w:rPr>
        <w:t xml:space="preserve">(Figure NPBSH-1A). </w:t>
      </w:r>
      <w:r w:rsidRPr="00BF308B">
        <w:rPr>
          <w:rFonts w:ascii="Times New Roman" w:hAnsi="Times New Roman"/>
          <w:lang w:val="en-AU"/>
        </w:rPr>
        <w:t xml:space="preserve"> </w:t>
      </w:r>
      <w:r w:rsidRPr="00007081">
        <w:rPr>
          <w:rFonts w:ascii="Times New Roman" w:hAnsi="Times New Roman"/>
        </w:rPr>
        <w:t xml:space="preserve">Stock status is reported in relation to MSY based reference points. </w:t>
      </w:r>
    </w:p>
    <w:p w14:paraId="03189886" w14:textId="77777777" w:rsidR="00D84C45" w:rsidRDefault="00D84C45" w:rsidP="00D84C45">
      <w:pPr>
        <w:pStyle w:val="ListParagraph"/>
        <w:rPr>
          <w:rFonts w:ascii="Times New Roman" w:hAnsi="Times New Roman"/>
        </w:rPr>
      </w:pPr>
    </w:p>
    <w:p w14:paraId="61A00D6B" w14:textId="77777777" w:rsidR="00D84C45" w:rsidRPr="00007081" w:rsidRDefault="00D84C45" w:rsidP="00D84C45">
      <w:pPr>
        <w:numPr>
          <w:ilvl w:val="0"/>
          <w:numId w:val="2"/>
        </w:numPr>
        <w:autoSpaceDE w:val="0"/>
        <w:autoSpaceDN w:val="0"/>
        <w:adjustRightInd w:val="0"/>
        <w:snapToGrid w:val="0"/>
        <w:spacing w:after="0" w:line="240" w:lineRule="auto"/>
        <w:ind w:left="0" w:firstLine="0"/>
        <w:jc w:val="both"/>
        <w:rPr>
          <w:rFonts w:ascii="Times New Roman" w:hAnsi="Times New Roman"/>
          <w:lang w:val="en-AU"/>
        </w:rPr>
      </w:pPr>
      <w:r w:rsidRPr="00007081">
        <w:rPr>
          <w:rFonts w:ascii="Times New Roman" w:hAnsi="Times New Roman"/>
        </w:rPr>
        <w:t>Based on these findings, the following information on the status of the North Pacific blue shark stock is provided:</w:t>
      </w:r>
    </w:p>
    <w:p w14:paraId="542FA4D0" w14:textId="77777777" w:rsidR="00D84C45" w:rsidRPr="00007081" w:rsidRDefault="00D84C45" w:rsidP="00D84C45">
      <w:pPr>
        <w:pStyle w:val="ListParagraph"/>
        <w:numPr>
          <w:ilvl w:val="0"/>
          <w:numId w:val="45"/>
        </w:numPr>
        <w:rPr>
          <w:rFonts w:ascii="Times New Roman" w:hAnsi="Times New Roman"/>
          <w:lang w:val="en-AU"/>
        </w:rPr>
      </w:pPr>
      <w:r w:rsidRPr="006F5A32">
        <w:rPr>
          <w:rFonts w:ascii="Times New Roman" w:hAnsi="Times New Roman"/>
        </w:rPr>
        <w:t>Female spawning biomass in 2015 (SSB</w:t>
      </w:r>
      <w:r w:rsidRPr="006F5A32">
        <w:rPr>
          <w:rFonts w:ascii="Times New Roman" w:hAnsi="Times New Roman"/>
          <w:vertAlign w:val="subscript"/>
        </w:rPr>
        <w:t>2015</w:t>
      </w:r>
      <w:r w:rsidRPr="006F5A32">
        <w:rPr>
          <w:rFonts w:ascii="Times New Roman" w:hAnsi="Times New Roman"/>
        </w:rPr>
        <w:t xml:space="preserve">) was 69% higher than at MSY and estimated to be 295,774 </w:t>
      </w:r>
      <w:proofErr w:type="spellStart"/>
      <w:r w:rsidRPr="006F5A32">
        <w:rPr>
          <w:rFonts w:ascii="Times New Roman" w:hAnsi="Times New Roman"/>
        </w:rPr>
        <w:t>mt</w:t>
      </w:r>
      <w:proofErr w:type="spellEnd"/>
      <w:r w:rsidRPr="006F5A32">
        <w:rPr>
          <w:rFonts w:ascii="Times New Roman" w:hAnsi="Times New Roman"/>
        </w:rPr>
        <w:t xml:space="preserve"> (Table </w:t>
      </w:r>
      <w:r w:rsidRPr="006F5A32">
        <w:rPr>
          <w:rFonts w:ascii="Times New Roman" w:hAnsi="Times New Roman"/>
          <w:lang w:eastAsia="ja-JP"/>
        </w:rPr>
        <w:t>NPBSH-1</w:t>
      </w:r>
      <w:r w:rsidRPr="006F5A32">
        <w:rPr>
          <w:rFonts w:ascii="Times New Roman" w:hAnsi="Times New Roman"/>
        </w:rPr>
        <w:t xml:space="preserve">; Figure </w:t>
      </w:r>
      <w:r w:rsidRPr="006F5A32">
        <w:rPr>
          <w:rFonts w:ascii="Times New Roman" w:hAnsi="Times New Roman"/>
          <w:lang w:eastAsia="ja-JP"/>
        </w:rPr>
        <w:t>NPBSH-1B</w:t>
      </w:r>
      <w:r w:rsidRPr="006F5A32">
        <w:rPr>
          <w:rFonts w:ascii="Times New Roman" w:hAnsi="Times New Roman"/>
        </w:rPr>
        <w:t>).</w:t>
      </w:r>
    </w:p>
    <w:p w14:paraId="42D2901C" w14:textId="77777777" w:rsidR="00D84C45" w:rsidRPr="00007081" w:rsidRDefault="00D84C45" w:rsidP="00D84C45">
      <w:pPr>
        <w:pStyle w:val="ListParagraph"/>
        <w:numPr>
          <w:ilvl w:val="0"/>
          <w:numId w:val="45"/>
        </w:numPr>
        <w:rPr>
          <w:rFonts w:ascii="Times New Roman" w:hAnsi="Times New Roman"/>
          <w:lang w:val="en-AU"/>
        </w:rPr>
      </w:pPr>
      <w:r w:rsidRPr="006F5A32">
        <w:rPr>
          <w:rFonts w:ascii="Times New Roman" w:hAnsi="Times New Roman"/>
        </w:rPr>
        <w:t>The recent annual fishing mortality (F</w:t>
      </w:r>
      <w:r w:rsidRPr="006F5A32">
        <w:rPr>
          <w:rFonts w:ascii="Times New Roman" w:hAnsi="Times New Roman"/>
          <w:vertAlign w:val="subscript"/>
        </w:rPr>
        <w:t>2012-2014</w:t>
      </w:r>
      <w:r w:rsidRPr="006F5A32">
        <w:rPr>
          <w:rFonts w:ascii="Times New Roman" w:hAnsi="Times New Roman"/>
        </w:rPr>
        <w:t>) was estimated to be well below F</w:t>
      </w:r>
      <w:r w:rsidRPr="006F5A32">
        <w:rPr>
          <w:rFonts w:ascii="Times New Roman" w:hAnsi="Times New Roman"/>
          <w:vertAlign w:val="subscript"/>
        </w:rPr>
        <w:t>MSY</w:t>
      </w:r>
      <w:r w:rsidRPr="006F5A32">
        <w:rPr>
          <w:rFonts w:ascii="Times New Roman" w:hAnsi="Times New Roman"/>
        </w:rPr>
        <w:t xml:space="preserve"> at approximately 38% of F</w:t>
      </w:r>
      <w:r w:rsidRPr="006F5A32">
        <w:rPr>
          <w:rFonts w:ascii="Times New Roman" w:hAnsi="Times New Roman"/>
          <w:vertAlign w:val="subscript"/>
        </w:rPr>
        <w:t>MSY</w:t>
      </w:r>
      <w:r w:rsidRPr="006F5A32">
        <w:rPr>
          <w:rFonts w:ascii="Times New Roman" w:hAnsi="Times New Roman"/>
        </w:rPr>
        <w:t xml:space="preserve"> (Table </w:t>
      </w:r>
      <w:r w:rsidRPr="006F5A32">
        <w:rPr>
          <w:rFonts w:ascii="Times New Roman" w:hAnsi="Times New Roman"/>
          <w:bCs/>
          <w:lang w:eastAsia="ja-JP"/>
        </w:rPr>
        <w:t>NPBSH</w:t>
      </w:r>
      <w:r w:rsidRPr="00A175FB">
        <w:rPr>
          <w:rFonts w:ascii="Times New Roman" w:hAnsi="Times New Roman"/>
          <w:bCs/>
          <w:lang w:eastAsia="ja-JP"/>
        </w:rPr>
        <w:t>-1</w:t>
      </w:r>
      <w:r w:rsidRPr="00A175FB">
        <w:rPr>
          <w:rFonts w:ascii="Times New Roman" w:hAnsi="Times New Roman"/>
        </w:rPr>
        <w:t xml:space="preserve">; Figure </w:t>
      </w:r>
      <w:r w:rsidRPr="00A175FB">
        <w:rPr>
          <w:rFonts w:ascii="Times New Roman" w:hAnsi="Times New Roman"/>
          <w:bCs/>
          <w:lang w:eastAsia="ja-JP"/>
        </w:rPr>
        <w:t>NPBSH-1</w:t>
      </w:r>
      <w:r>
        <w:rPr>
          <w:rFonts w:ascii="Times New Roman" w:hAnsi="Times New Roman"/>
          <w:bCs/>
          <w:lang w:eastAsia="ja-JP"/>
        </w:rPr>
        <w:t>C</w:t>
      </w:r>
      <w:r w:rsidRPr="00A175FB">
        <w:rPr>
          <w:rFonts w:ascii="Times New Roman" w:hAnsi="Times New Roman"/>
        </w:rPr>
        <w:t>).</w:t>
      </w:r>
    </w:p>
    <w:p w14:paraId="22EF6621" w14:textId="77777777" w:rsidR="00D84C45" w:rsidRDefault="00D84C45" w:rsidP="00D84C45">
      <w:pPr>
        <w:pStyle w:val="ListParagraph"/>
        <w:numPr>
          <w:ilvl w:val="0"/>
          <w:numId w:val="45"/>
        </w:numPr>
        <w:rPr>
          <w:rFonts w:ascii="Times New Roman" w:hAnsi="Times New Roman"/>
          <w:lang w:val="en-AU"/>
        </w:rPr>
      </w:pPr>
      <w:r w:rsidRPr="00A175FB">
        <w:rPr>
          <w:rFonts w:ascii="Times New Roman" w:hAnsi="Times New Roman"/>
        </w:rPr>
        <w:t xml:space="preserve">The reference run produced terminal conditions that were predominately in the lower right quadrant of the Kobe plot (not overfished and overfishing not occurring) (Figure </w:t>
      </w:r>
      <w:r w:rsidRPr="00A175FB">
        <w:rPr>
          <w:rFonts w:ascii="Times New Roman" w:hAnsi="Times New Roman"/>
          <w:bCs/>
          <w:lang w:eastAsia="ja-JP"/>
        </w:rPr>
        <w:t>NPBSH-</w:t>
      </w:r>
      <w:r>
        <w:rPr>
          <w:rFonts w:ascii="Times New Roman" w:hAnsi="Times New Roman"/>
          <w:bCs/>
          <w:lang w:eastAsia="ja-JP"/>
        </w:rPr>
        <w:t>2</w:t>
      </w:r>
      <w:r w:rsidRPr="00A175FB">
        <w:rPr>
          <w:rFonts w:ascii="Times New Roman" w:hAnsi="Times New Roman"/>
        </w:rPr>
        <w:t>).</w:t>
      </w:r>
    </w:p>
    <w:p w14:paraId="552DBF4D" w14:textId="77777777" w:rsidR="00D84C45" w:rsidRPr="009C2ADD" w:rsidRDefault="00D84C45" w:rsidP="00D84C45">
      <w:pPr>
        <w:autoSpaceDE w:val="0"/>
        <w:autoSpaceDN w:val="0"/>
        <w:adjustRightInd w:val="0"/>
        <w:snapToGrid w:val="0"/>
        <w:spacing w:after="0"/>
        <w:rPr>
          <w:rFonts w:ascii="Times New Roman" w:hAnsi="Times New Roman"/>
          <w:lang w:val="en-AU"/>
        </w:rPr>
      </w:pPr>
    </w:p>
    <w:p w14:paraId="5710D978" w14:textId="77777777" w:rsidR="00D84C45" w:rsidRPr="009C2ADD" w:rsidRDefault="00D84C45" w:rsidP="00D84C45">
      <w:pPr>
        <w:pStyle w:val="ListParagraph"/>
        <w:adjustRightInd w:val="0"/>
        <w:snapToGrid w:val="0"/>
        <w:contextualSpacing w:val="0"/>
        <w:rPr>
          <w:rFonts w:ascii="Times New Roman" w:hAnsi="Times New Roman"/>
          <w:b/>
        </w:rPr>
      </w:pPr>
    </w:p>
    <w:p w14:paraId="3C73AB08" w14:textId="77777777" w:rsidR="00D84C45" w:rsidRDefault="00D84C45" w:rsidP="00D84C45">
      <w:pPr>
        <w:pStyle w:val="ListParagraph"/>
        <w:adjustRightInd w:val="0"/>
        <w:snapToGrid w:val="0"/>
        <w:contextualSpacing w:val="0"/>
        <w:rPr>
          <w:rFonts w:ascii="Times New Roman" w:hAnsi="Times New Roman"/>
          <w:b/>
          <w:lang w:eastAsia="ko-KR"/>
        </w:rPr>
      </w:pPr>
    </w:p>
    <w:p w14:paraId="3C7534F6" w14:textId="77777777" w:rsidR="00D84C45" w:rsidRPr="009C2ADD" w:rsidRDefault="00D84C45" w:rsidP="00D84C45">
      <w:pPr>
        <w:pStyle w:val="ListParagraph"/>
        <w:adjustRightInd w:val="0"/>
        <w:snapToGrid w:val="0"/>
        <w:contextualSpacing w:val="0"/>
        <w:jc w:val="center"/>
        <w:rPr>
          <w:rFonts w:ascii="Times New Roman" w:hAnsi="Times New Roman"/>
          <w:b/>
          <w:lang w:eastAsia="ko-KR"/>
        </w:rPr>
      </w:pPr>
      <w:r>
        <w:rPr>
          <w:rFonts w:ascii="Times New Roman" w:hAnsi="Times New Roman" w:hint="eastAsia"/>
          <w:b/>
          <w:noProof/>
          <w:lang w:val="en-US" w:eastAsia="ko-KR"/>
        </w:rPr>
        <w:lastRenderedPageBreak/>
        <w:drawing>
          <wp:inline distT="0" distB="0" distL="0" distR="0" wp14:anchorId="3012A117" wp14:editId="55BAADC5">
            <wp:extent cx="4398579" cy="3913137"/>
            <wp:effectExtent l="0" t="0" r="254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NPBSH-1 (rev).jpg"/>
                    <pic:cNvPicPr/>
                  </pic:nvPicPr>
                  <pic:blipFill>
                    <a:blip r:embed="rId8">
                      <a:extLst>
                        <a:ext uri="{28A0092B-C50C-407E-A947-70E740481C1C}">
                          <a14:useLocalDpi xmlns:a14="http://schemas.microsoft.com/office/drawing/2010/main" val="0"/>
                        </a:ext>
                      </a:extLst>
                    </a:blip>
                    <a:stretch>
                      <a:fillRect/>
                    </a:stretch>
                  </pic:blipFill>
                  <pic:spPr>
                    <a:xfrm>
                      <a:off x="0" y="0"/>
                      <a:ext cx="4407445" cy="3921025"/>
                    </a:xfrm>
                    <a:prstGeom prst="rect">
                      <a:avLst/>
                    </a:prstGeom>
                  </pic:spPr>
                </pic:pic>
              </a:graphicData>
            </a:graphic>
          </wp:inline>
        </w:drawing>
      </w:r>
    </w:p>
    <w:p w14:paraId="777DA026" w14:textId="77777777" w:rsidR="00D84C45" w:rsidRPr="009C2ADD" w:rsidRDefault="00D84C45" w:rsidP="00D84C45">
      <w:pPr>
        <w:pStyle w:val="ListParagraph"/>
        <w:adjustRightInd w:val="0"/>
        <w:snapToGrid w:val="0"/>
        <w:ind w:left="1593" w:firstLine="720"/>
        <w:contextualSpacing w:val="0"/>
        <w:jc w:val="center"/>
        <w:rPr>
          <w:rFonts w:ascii="Times New Roman" w:hAnsi="Times New Roman"/>
          <w:b/>
          <w:lang w:eastAsia="ja-JP"/>
        </w:rPr>
      </w:pPr>
    </w:p>
    <w:p w14:paraId="2975C964" w14:textId="77777777" w:rsidR="00D84C45" w:rsidRPr="009C2ADD" w:rsidRDefault="00D84C45" w:rsidP="00D84C45">
      <w:pPr>
        <w:pStyle w:val="ListParagraph"/>
        <w:adjustRightInd w:val="0"/>
        <w:snapToGrid w:val="0"/>
        <w:ind w:left="153" w:firstLine="0"/>
        <w:contextualSpacing w:val="0"/>
        <w:rPr>
          <w:rFonts w:ascii="Times New Roman" w:hAnsi="Times New Roman"/>
        </w:rPr>
      </w:pPr>
      <w:bookmarkStart w:id="5" w:name="_Hlk491604338"/>
      <w:r w:rsidRPr="009C2ADD">
        <w:rPr>
          <w:rFonts w:ascii="Times New Roman" w:hAnsi="Times New Roman"/>
          <w:b/>
          <w:lang w:eastAsia="ja-JP"/>
        </w:rPr>
        <w:t xml:space="preserve">Figure NPBSH- 1. </w:t>
      </w:r>
      <w:r w:rsidRPr="0070772D">
        <w:rPr>
          <w:rFonts w:ascii="Times New Roman" w:hAnsi="Times New Roman"/>
        </w:rPr>
        <w:t>Results of the SS stock assessment reference case model: (A) estimated age-0 recruits (circles) and 95% confidence intervals (vertical bars); (B) estimated female spawning biomass and 95% confidence intervals (blue shaded area); (C) estimated fishing mortality (sum of F’s across all fishing fleets). Red solid lines indicate the estimates of SB</w:t>
      </w:r>
      <w:r w:rsidRPr="0070772D">
        <w:rPr>
          <w:rFonts w:ascii="Times New Roman" w:hAnsi="Times New Roman"/>
          <w:vertAlign w:val="subscript"/>
        </w:rPr>
        <w:t>MSY</w:t>
      </w:r>
      <w:r w:rsidRPr="0070772D">
        <w:rPr>
          <w:rFonts w:ascii="Times New Roman" w:hAnsi="Times New Roman"/>
        </w:rPr>
        <w:t xml:space="preserve"> and F</w:t>
      </w:r>
      <w:r w:rsidRPr="0070772D">
        <w:rPr>
          <w:rFonts w:ascii="Times New Roman" w:hAnsi="Times New Roman"/>
          <w:vertAlign w:val="subscript"/>
        </w:rPr>
        <w:t>MSY</w:t>
      </w:r>
      <w:r w:rsidRPr="0070772D">
        <w:rPr>
          <w:rFonts w:ascii="Times New Roman" w:hAnsi="Times New Roman"/>
        </w:rPr>
        <w:t xml:space="preserve"> in (B) and (C), respectively</w:t>
      </w:r>
      <w:r w:rsidRPr="0070772D">
        <w:rPr>
          <w:rFonts w:ascii="Times New Roman" w:hAnsi="Times New Roman"/>
          <w:lang w:eastAsia="ko-KR"/>
        </w:rPr>
        <w:t>.</w:t>
      </w:r>
      <w:r>
        <w:rPr>
          <w:rFonts w:ascii="Times New Roman" w:hAnsi="Times New Roman" w:hint="eastAsia"/>
          <w:lang w:eastAsia="ko-KR"/>
        </w:rPr>
        <w:t xml:space="preserve"> </w:t>
      </w:r>
      <w:bookmarkEnd w:id="5"/>
    </w:p>
    <w:p w14:paraId="26BBD746" w14:textId="77777777" w:rsidR="00D84C45" w:rsidRPr="009C2ADD" w:rsidRDefault="00D84C45" w:rsidP="00D84C45">
      <w:pPr>
        <w:pStyle w:val="ListParagraph"/>
        <w:adjustRightInd w:val="0"/>
        <w:snapToGrid w:val="0"/>
        <w:ind w:left="153"/>
        <w:contextualSpacing w:val="0"/>
        <w:jc w:val="center"/>
        <w:rPr>
          <w:rFonts w:ascii="Times New Roman" w:hAnsi="Times New Roman"/>
          <w:b/>
          <w:highlight w:val="yellow"/>
        </w:rPr>
      </w:pPr>
    </w:p>
    <w:p w14:paraId="0F3E5905" w14:textId="77777777" w:rsidR="00D84C45" w:rsidRDefault="00D84C45" w:rsidP="00D84C45">
      <w:pPr>
        <w:pStyle w:val="ListParagraph"/>
        <w:adjustRightInd w:val="0"/>
        <w:snapToGrid w:val="0"/>
        <w:ind w:left="0" w:firstLine="0"/>
        <w:contextualSpacing w:val="0"/>
        <w:jc w:val="left"/>
        <w:rPr>
          <w:rFonts w:ascii="Times New Roman" w:hAnsi="Times New Roman"/>
          <w:b/>
          <w:lang w:eastAsia="ko-KR"/>
        </w:rPr>
      </w:pPr>
      <w:bookmarkStart w:id="6" w:name="_Hlk491604488"/>
    </w:p>
    <w:p w14:paraId="65E9DE52" w14:textId="77777777" w:rsidR="00D84C45" w:rsidRDefault="00D84C45" w:rsidP="00D84C45">
      <w:pPr>
        <w:pStyle w:val="ListParagraph"/>
        <w:adjustRightInd w:val="0"/>
        <w:snapToGrid w:val="0"/>
        <w:ind w:left="0" w:firstLine="0"/>
        <w:contextualSpacing w:val="0"/>
        <w:rPr>
          <w:rFonts w:ascii="Times New Roman" w:hAnsi="Times New Roman"/>
        </w:rPr>
      </w:pPr>
      <w:r w:rsidRPr="009C2ADD">
        <w:rPr>
          <w:rFonts w:ascii="Times New Roman" w:hAnsi="Times New Roman"/>
          <w:b/>
          <w:lang w:eastAsia="ja-JP"/>
        </w:rPr>
        <w:t xml:space="preserve">Table NPBSH-1. </w:t>
      </w:r>
      <w:r w:rsidRPr="0070772D">
        <w:rPr>
          <w:rFonts w:ascii="Times New Roman" w:hAnsi="Times New Roman"/>
        </w:rPr>
        <w:t>Estimates of key management quantities for the North Pacific blue shark SS stock assessment reference case model and the range of values for 13 sensitivity runs.</w:t>
      </w:r>
    </w:p>
    <w:tbl>
      <w:tblPr>
        <w:tblStyle w:val="TableGrid"/>
        <w:tblW w:w="0" w:type="auto"/>
        <w:tblInd w:w="648" w:type="dxa"/>
        <w:tblBorders>
          <w:left w:val="none" w:sz="0" w:space="0" w:color="auto"/>
          <w:right w:val="none" w:sz="0" w:space="0" w:color="auto"/>
          <w:insideV w:val="none" w:sz="0" w:space="0" w:color="auto"/>
        </w:tblBorders>
        <w:tblLook w:val="04A0" w:firstRow="1" w:lastRow="0" w:firstColumn="1" w:lastColumn="0" w:noHBand="0" w:noVBand="1"/>
      </w:tblPr>
      <w:tblGrid>
        <w:gridCol w:w="2544"/>
        <w:gridCol w:w="3192"/>
        <w:gridCol w:w="2814"/>
      </w:tblGrid>
      <w:tr w:rsidR="00D84C45" w14:paraId="375E5790" w14:textId="77777777" w:rsidTr="00A05208">
        <w:tc>
          <w:tcPr>
            <w:tcW w:w="2544" w:type="dxa"/>
            <w:tcBorders>
              <w:bottom w:val="single" w:sz="4" w:space="0" w:color="auto"/>
            </w:tcBorders>
          </w:tcPr>
          <w:bookmarkEnd w:id="6"/>
          <w:p w14:paraId="5802D0E5" w14:textId="77777777" w:rsidR="00D84C45" w:rsidRPr="00FA722C" w:rsidRDefault="00D84C45" w:rsidP="00A05208">
            <w:pPr>
              <w:adjustRightInd w:val="0"/>
              <w:snapToGrid w:val="0"/>
              <w:spacing w:before="60" w:after="60"/>
              <w:jc w:val="center"/>
              <w:rPr>
                <w:rFonts w:ascii="Times New Roman" w:hAnsi="Times New Roman"/>
                <w:b/>
              </w:rPr>
            </w:pPr>
            <w:r w:rsidRPr="00FA722C">
              <w:rPr>
                <w:rFonts w:ascii="Times New Roman" w:hAnsi="Times New Roman"/>
                <w:b/>
              </w:rPr>
              <w:t>Management Quantity</w:t>
            </w:r>
          </w:p>
        </w:tc>
        <w:tc>
          <w:tcPr>
            <w:tcW w:w="3192" w:type="dxa"/>
            <w:tcBorders>
              <w:bottom w:val="single" w:sz="4" w:space="0" w:color="auto"/>
            </w:tcBorders>
          </w:tcPr>
          <w:p w14:paraId="7F14CA9D" w14:textId="77777777" w:rsidR="00D84C45" w:rsidRPr="00FA722C" w:rsidRDefault="00D84C45" w:rsidP="00A05208">
            <w:pPr>
              <w:adjustRightInd w:val="0"/>
              <w:snapToGrid w:val="0"/>
              <w:spacing w:before="60" w:after="60"/>
              <w:jc w:val="center"/>
              <w:rPr>
                <w:rFonts w:ascii="Times New Roman" w:hAnsi="Times New Roman"/>
                <w:b/>
              </w:rPr>
            </w:pPr>
            <w:r w:rsidRPr="00FA722C">
              <w:rPr>
                <w:rFonts w:ascii="Times New Roman" w:hAnsi="Times New Roman"/>
                <w:b/>
              </w:rPr>
              <w:t>Reference Case Model</w:t>
            </w:r>
          </w:p>
        </w:tc>
        <w:tc>
          <w:tcPr>
            <w:tcW w:w="2814" w:type="dxa"/>
            <w:tcBorders>
              <w:bottom w:val="single" w:sz="4" w:space="0" w:color="auto"/>
            </w:tcBorders>
          </w:tcPr>
          <w:p w14:paraId="5BADD8AD" w14:textId="77777777" w:rsidR="00D84C45" w:rsidRPr="00FA722C" w:rsidRDefault="00D84C45" w:rsidP="00A05208">
            <w:pPr>
              <w:adjustRightInd w:val="0"/>
              <w:snapToGrid w:val="0"/>
              <w:spacing w:before="60" w:after="60"/>
              <w:jc w:val="center"/>
              <w:rPr>
                <w:rFonts w:ascii="Times New Roman" w:hAnsi="Times New Roman"/>
                <w:b/>
              </w:rPr>
            </w:pPr>
            <w:r w:rsidRPr="00FA722C">
              <w:rPr>
                <w:rFonts w:ascii="Times New Roman" w:hAnsi="Times New Roman"/>
                <w:b/>
              </w:rPr>
              <w:t>Range for Sensitivity Runs</w:t>
            </w:r>
          </w:p>
        </w:tc>
      </w:tr>
      <w:tr w:rsidR="00D84C45" w14:paraId="06159AE5" w14:textId="77777777" w:rsidTr="00A05208">
        <w:tc>
          <w:tcPr>
            <w:tcW w:w="2544" w:type="dxa"/>
            <w:tcBorders>
              <w:bottom w:val="nil"/>
            </w:tcBorders>
          </w:tcPr>
          <w:p w14:paraId="39520CAD" w14:textId="77777777" w:rsidR="00D84C45" w:rsidRPr="00FA722C" w:rsidRDefault="00D84C45" w:rsidP="00A05208">
            <w:pPr>
              <w:adjustRightInd w:val="0"/>
              <w:snapToGrid w:val="0"/>
              <w:ind w:left="450"/>
              <w:rPr>
                <w:rFonts w:ascii="Times New Roman" w:hAnsi="Times New Roman"/>
              </w:rPr>
            </w:pPr>
            <w:r w:rsidRPr="00FA722C">
              <w:rPr>
                <w:rFonts w:ascii="Times New Roman" w:hAnsi="Times New Roman"/>
              </w:rPr>
              <w:t>SSB</w:t>
            </w:r>
            <w:r w:rsidRPr="00FA722C">
              <w:rPr>
                <w:rFonts w:ascii="Times New Roman" w:hAnsi="Times New Roman"/>
                <w:vertAlign w:val="subscript"/>
              </w:rPr>
              <w:t>1971</w:t>
            </w:r>
          </w:p>
        </w:tc>
        <w:tc>
          <w:tcPr>
            <w:tcW w:w="3192" w:type="dxa"/>
            <w:tcBorders>
              <w:bottom w:val="nil"/>
            </w:tcBorders>
          </w:tcPr>
          <w:p w14:paraId="1BBD08C4" w14:textId="77777777" w:rsidR="00D84C45" w:rsidRPr="00FA722C" w:rsidRDefault="00D84C45" w:rsidP="00A05208">
            <w:pPr>
              <w:adjustRightInd w:val="0"/>
              <w:snapToGrid w:val="0"/>
              <w:jc w:val="center"/>
              <w:rPr>
                <w:rFonts w:ascii="Times New Roman" w:hAnsi="Times New Roman"/>
              </w:rPr>
            </w:pPr>
            <w:r w:rsidRPr="00FA722C">
              <w:rPr>
                <w:rFonts w:ascii="Times New Roman" w:hAnsi="Times New Roman"/>
              </w:rPr>
              <w:t>301,739 mt</w:t>
            </w:r>
          </w:p>
        </w:tc>
        <w:tc>
          <w:tcPr>
            <w:tcW w:w="2814" w:type="dxa"/>
            <w:tcBorders>
              <w:bottom w:val="nil"/>
            </w:tcBorders>
          </w:tcPr>
          <w:p w14:paraId="3E05F85B" w14:textId="77777777" w:rsidR="00D84C45" w:rsidRPr="00FA722C" w:rsidRDefault="00D84C45" w:rsidP="00A05208">
            <w:pPr>
              <w:pStyle w:val="Default"/>
              <w:snapToGrid w:val="0"/>
              <w:jc w:val="center"/>
              <w:rPr>
                <w:sz w:val="22"/>
                <w:szCs w:val="22"/>
              </w:rPr>
            </w:pPr>
            <w:r w:rsidRPr="00FA722C">
              <w:rPr>
                <w:sz w:val="22"/>
                <w:szCs w:val="22"/>
              </w:rPr>
              <w:t xml:space="preserve">174,381 - 980,878 </w:t>
            </w:r>
            <w:proofErr w:type="spellStart"/>
            <w:r w:rsidRPr="00FA722C">
              <w:rPr>
                <w:sz w:val="22"/>
                <w:szCs w:val="22"/>
              </w:rPr>
              <w:t>mt</w:t>
            </w:r>
            <w:proofErr w:type="spellEnd"/>
          </w:p>
        </w:tc>
      </w:tr>
      <w:tr w:rsidR="00D84C45" w14:paraId="78DEB5FD" w14:textId="77777777" w:rsidTr="00A05208">
        <w:tc>
          <w:tcPr>
            <w:tcW w:w="2544" w:type="dxa"/>
            <w:tcBorders>
              <w:top w:val="nil"/>
              <w:bottom w:val="nil"/>
            </w:tcBorders>
          </w:tcPr>
          <w:p w14:paraId="05E402E2" w14:textId="77777777" w:rsidR="00D84C45" w:rsidRPr="00FA722C" w:rsidRDefault="00D84C45" w:rsidP="00A05208">
            <w:pPr>
              <w:adjustRightInd w:val="0"/>
              <w:snapToGrid w:val="0"/>
              <w:ind w:left="450"/>
              <w:rPr>
                <w:rFonts w:ascii="Times New Roman" w:hAnsi="Times New Roman"/>
              </w:rPr>
            </w:pPr>
            <w:r w:rsidRPr="00FA722C">
              <w:rPr>
                <w:rFonts w:ascii="Times New Roman" w:hAnsi="Times New Roman"/>
              </w:rPr>
              <w:t>SSB</w:t>
            </w:r>
            <w:r w:rsidRPr="00FA722C">
              <w:rPr>
                <w:rFonts w:ascii="Times New Roman" w:hAnsi="Times New Roman"/>
                <w:vertAlign w:val="subscript"/>
              </w:rPr>
              <w:t>2015</w:t>
            </w:r>
          </w:p>
        </w:tc>
        <w:tc>
          <w:tcPr>
            <w:tcW w:w="3192" w:type="dxa"/>
            <w:tcBorders>
              <w:top w:val="nil"/>
              <w:bottom w:val="nil"/>
            </w:tcBorders>
          </w:tcPr>
          <w:p w14:paraId="174F5AB7" w14:textId="77777777" w:rsidR="00D84C45" w:rsidRPr="00FA722C" w:rsidRDefault="00D84C45" w:rsidP="00A05208">
            <w:pPr>
              <w:adjustRightInd w:val="0"/>
              <w:snapToGrid w:val="0"/>
              <w:jc w:val="center"/>
              <w:rPr>
                <w:rFonts w:ascii="Times New Roman" w:hAnsi="Times New Roman"/>
              </w:rPr>
            </w:pPr>
            <w:r w:rsidRPr="00FA722C">
              <w:rPr>
                <w:rFonts w:ascii="Times New Roman" w:hAnsi="Times New Roman"/>
              </w:rPr>
              <w:t>295,774 mt</w:t>
            </w:r>
          </w:p>
        </w:tc>
        <w:tc>
          <w:tcPr>
            <w:tcW w:w="2814" w:type="dxa"/>
            <w:tcBorders>
              <w:top w:val="nil"/>
              <w:bottom w:val="nil"/>
            </w:tcBorders>
          </w:tcPr>
          <w:p w14:paraId="5A57E450" w14:textId="77777777" w:rsidR="00D84C45" w:rsidRPr="00FA722C" w:rsidRDefault="00D84C45" w:rsidP="00A05208">
            <w:pPr>
              <w:pStyle w:val="Default"/>
              <w:snapToGrid w:val="0"/>
              <w:jc w:val="center"/>
              <w:rPr>
                <w:sz w:val="22"/>
                <w:szCs w:val="22"/>
              </w:rPr>
            </w:pPr>
            <w:r w:rsidRPr="00FA722C">
              <w:rPr>
                <w:sz w:val="22"/>
                <w:szCs w:val="22"/>
              </w:rPr>
              <w:t xml:space="preserve">140,742 - 1,082,300 </w:t>
            </w:r>
            <w:proofErr w:type="spellStart"/>
            <w:r w:rsidRPr="00FA722C">
              <w:rPr>
                <w:sz w:val="22"/>
                <w:szCs w:val="22"/>
              </w:rPr>
              <w:t>mt</w:t>
            </w:r>
            <w:proofErr w:type="spellEnd"/>
          </w:p>
        </w:tc>
      </w:tr>
      <w:tr w:rsidR="00D84C45" w14:paraId="0ECA1CAF" w14:textId="77777777" w:rsidTr="00A05208">
        <w:tc>
          <w:tcPr>
            <w:tcW w:w="2544" w:type="dxa"/>
            <w:tcBorders>
              <w:top w:val="nil"/>
              <w:bottom w:val="nil"/>
            </w:tcBorders>
          </w:tcPr>
          <w:p w14:paraId="12F89E74" w14:textId="77777777" w:rsidR="00D84C45" w:rsidRPr="00FA722C" w:rsidRDefault="00D84C45" w:rsidP="00A05208">
            <w:pPr>
              <w:adjustRightInd w:val="0"/>
              <w:snapToGrid w:val="0"/>
              <w:ind w:left="450"/>
              <w:rPr>
                <w:rFonts w:ascii="Times New Roman" w:hAnsi="Times New Roman"/>
              </w:rPr>
            </w:pPr>
            <w:r w:rsidRPr="00FA722C">
              <w:rPr>
                <w:rFonts w:ascii="Times New Roman" w:hAnsi="Times New Roman"/>
              </w:rPr>
              <w:t>SSB</w:t>
            </w:r>
            <w:r w:rsidRPr="00FA722C">
              <w:rPr>
                <w:rFonts w:ascii="Times New Roman" w:hAnsi="Times New Roman"/>
                <w:vertAlign w:val="subscript"/>
              </w:rPr>
              <w:t>MSY</w:t>
            </w:r>
          </w:p>
        </w:tc>
        <w:tc>
          <w:tcPr>
            <w:tcW w:w="3192" w:type="dxa"/>
            <w:tcBorders>
              <w:top w:val="nil"/>
              <w:bottom w:val="nil"/>
            </w:tcBorders>
          </w:tcPr>
          <w:p w14:paraId="66E37F36" w14:textId="77777777" w:rsidR="00D84C45" w:rsidRPr="00FA722C" w:rsidRDefault="00D84C45" w:rsidP="00A05208">
            <w:pPr>
              <w:adjustRightInd w:val="0"/>
              <w:snapToGrid w:val="0"/>
              <w:jc w:val="center"/>
              <w:rPr>
                <w:rFonts w:ascii="Times New Roman" w:hAnsi="Times New Roman"/>
              </w:rPr>
            </w:pPr>
            <w:r w:rsidRPr="00FA722C">
              <w:rPr>
                <w:rFonts w:ascii="Times New Roman" w:hAnsi="Times New Roman"/>
              </w:rPr>
              <w:t>175,401 mt</w:t>
            </w:r>
          </w:p>
        </w:tc>
        <w:tc>
          <w:tcPr>
            <w:tcW w:w="2814" w:type="dxa"/>
            <w:tcBorders>
              <w:top w:val="nil"/>
              <w:bottom w:val="nil"/>
            </w:tcBorders>
          </w:tcPr>
          <w:p w14:paraId="409427DD" w14:textId="77777777" w:rsidR="00D84C45" w:rsidRPr="00FA722C" w:rsidRDefault="00D84C45" w:rsidP="00A05208">
            <w:pPr>
              <w:pStyle w:val="Default"/>
              <w:snapToGrid w:val="0"/>
              <w:jc w:val="center"/>
              <w:rPr>
                <w:sz w:val="22"/>
                <w:szCs w:val="22"/>
              </w:rPr>
            </w:pPr>
            <w:r w:rsidRPr="00FA722C">
              <w:rPr>
                <w:sz w:val="22"/>
                <w:szCs w:val="22"/>
              </w:rPr>
              <w:t xml:space="preserve">100,984 - 482,638 </w:t>
            </w:r>
            <w:proofErr w:type="spellStart"/>
            <w:r w:rsidRPr="00FA722C">
              <w:rPr>
                <w:sz w:val="22"/>
                <w:szCs w:val="22"/>
              </w:rPr>
              <w:t>mt</w:t>
            </w:r>
            <w:proofErr w:type="spellEnd"/>
          </w:p>
        </w:tc>
      </w:tr>
      <w:tr w:rsidR="00D84C45" w14:paraId="41776209" w14:textId="77777777" w:rsidTr="00A05208">
        <w:tc>
          <w:tcPr>
            <w:tcW w:w="2544" w:type="dxa"/>
            <w:tcBorders>
              <w:top w:val="nil"/>
              <w:bottom w:val="nil"/>
            </w:tcBorders>
          </w:tcPr>
          <w:p w14:paraId="7ABB1F6A" w14:textId="77777777" w:rsidR="00D84C45" w:rsidRPr="00FA722C" w:rsidRDefault="00D84C45" w:rsidP="00A05208">
            <w:pPr>
              <w:adjustRightInd w:val="0"/>
              <w:snapToGrid w:val="0"/>
              <w:ind w:left="450"/>
              <w:rPr>
                <w:rFonts w:ascii="Times New Roman" w:hAnsi="Times New Roman"/>
              </w:rPr>
            </w:pPr>
            <w:r w:rsidRPr="00FA722C">
              <w:rPr>
                <w:rFonts w:ascii="Times New Roman" w:hAnsi="Times New Roman"/>
              </w:rPr>
              <w:t>F</w:t>
            </w:r>
            <w:r w:rsidRPr="00FA722C">
              <w:rPr>
                <w:rFonts w:ascii="Times New Roman" w:hAnsi="Times New Roman"/>
                <w:vertAlign w:val="subscript"/>
              </w:rPr>
              <w:t>1971</w:t>
            </w:r>
          </w:p>
        </w:tc>
        <w:tc>
          <w:tcPr>
            <w:tcW w:w="3192" w:type="dxa"/>
            <w:tcBorders>
              <w:top w:val="nil"/>
              <w:bottom w:val="nil"/>
            </w:tcBorders>
          </w:tcPr>
          <w:p w14:paraId="77B12E66" w14:textId="77777777" w:rsidR="00D84C45" w:rsidRPr="00FA722C" w:rsidRDefault="00D84C45" w:rsidP="00A05208">
            <w:pPr>
              <w:adjustRightInd w:val="0"/>
              <w:snapToGrid w:val="0"/>
              <w:jc w:val="center"/>
              <w:rPr>
                <w:rFonts w:ascii="Times New Roman" w:hAnsi="Times New Roman"/>
              </w:rPr>
            </w:pPr>
            <w:r w:rsidRPr="00FA722C">
              <w:rPr>
                <w:rFonts w:ascii="Times New Roman" w:hAnsi="Times New Roman"/>
              </w:rPr>
              <w:t>0.15</w:t>
            </w:r>
          </w:p>
        </w:tc>
        <w:tc>
          <w:tcPr>
            <w:tcW w:w="2814" w:type="dxa"/>
            <w:tcBorders>
              <w:top w:val="nil"/>
              <w:bottom w:val="nil"/>
            </w:tcBorders>
          </w:tcPr>
          <w:p w14:paraId="634DF9DC" w14:textId="77777777" w:rsidR="00D84C45" w:rsidRPr="00FA722C" w:rsidRDefault="00D84C45" w:rsidP="00A05208">
            <w:pPr>
              <w:pStyle w:val="Default"/>
              <w:snapToGrid w:val="0"/>
              <w:jc w:val="center"/>
              <w:rPr>
                <w:sz w:val="22"/>
                <w:szCs w:val="22"/>
              </w:rPr>
            </w:pPr>
            <w:r w:rsidRPr="00FA722C">
              <w:rPr>
                <w:sz w:val="22"/>
                <w:szCs w:val="22"/>
              </w:rPr>
              <w:t>0.01 - 0.15</w:t>
            </w:r>
          </w:p>
        </w:tc>
      </w:tr>
      <w:tr w:rsidR="00D84C45" w14:paraId="7EBFC335" w14:textId="77777777" w:rsidTr="00A05208">
        <w:tc>
          <w:tcPr>
            <w:tcW w:w="2544" w:type="dxa"/>
            <w:tcBorders>
              <w:top w:val="nil"/>
              <w:bottom w:val="nil"/>
            </w:tcBorders>
          </w:tcPr>
          <w:p w14:paraId="1BF8C971" w14:textId="77777777" w:rsidR="00D84C45" w:rsidRPr="00FA722C" w:rsidRDefault="00D84C45" w:rsidP="00A05208">
            <w:pPr>
              <w:adjustRightInd w:val="0"/>
              <w:snapToGrid w:val="0"/>
              <w:ind w:left="450"/>
              <w:rPr>
                <w:rFonts w:ascii="Times New Roman" w:hAnsi="Times New Roman"/>
              </w:rPr>
            </w:pPr>
            <w:r w:rsidRPr="00FA722C">
              <w:rPr>
                <w:rFonts w:ascii="Times New Roman" w:hAnsi="Times New Roman"/>
              </w:rPr>
              <w:t>F</w:t>
            </w:r>
            <w:r w:rsidRPr="00FA722C">
              <w:rPr>
                <w:rFonts w:ascii="Times New Roman" w:hAnsi="Times New Roman"/>
                <w:vertAlign w:val="subscript"/>
              </w:rPr>
              <w:t>2012-2014</w:t>
            </w:r>
          </w:p>
        </w:tc>
        <w:tc>
          <w:tcPr>
            <w:tcW w:w="3192" w:type="dxa"/>
            <w:tcBorders>
              <w:top w:val="nil"/>
              <w:bottom w:val="nil"/>
            </w:tcBorders>
          </w:tcPr>
          <w:p w14:paraId="3254A32F" w14:textId="77777777" w:rsidR="00D84C45" w:rsidRPr="00FA722C" w:rsidRDefault="00D84C45" w:rsidP="00A05208">
            <w:pPr>
              <w:adjustRightInd w:val="0"/>
              <w:snapToGrid w:val="0"/>
              <w:jc w:val="center"/>
              <w:rPr>
                <w:rFonts w:ascii="Times New Roman" w:hAnsi="Times New Roman"/>
              </w:rPr>
            </w:pPr>
            <w:r w:rsidRPr="00FA722C">
              <w:rPr>
                <w:rFonts w:ascii="Times New Roman" w:hAnsi="Times New Roman"/>
              </w:rPr>
              <w:t>0.14</w:t>
            </w:r>
          </w:p>
        </w:tc>
        <w:tc>
          <w:tcPr>
            <w:tcW w:w="2814" w:type="dxa"/>
            <w:tcBorders>
              <w:top w:val="nil"/>
              <w:bottom w:val="nil"/>
            </w:tcBorders>
          </w:tcPr>
          <w:p w14:paraId="7404FF36" w14:textId="77777777" w:rsidR="00D84C45" w:rsidRPr="00FA722C" w:rsidRDefault="00D84C45" w:rsidP="00A05208">
            <w:pPr>
              <w:pStyle w:val="Default"/>
              <w:snapToGrid w:val="0"/>
              <w:jc w:val="center"/>
              <w:rPr>
                <w:sz w:val="22"/>
                <w:szCs w:val="22"/>
              </w:rPr>
            </w:pPr>
            <w:r w:rsidRPr="00FA722C">
              <w:rPr>
                <w:sz w:val="22"/>
                <w:szCs w:val="22"/>
              </w:rPr>
              <w:t>0.06 - 0.15</w:t>
            </w:r>
          </w:p>
        </w:tc>
      </w:tr>
      <w:tr w:rsidR="00D84C45" w14:paraId="0A374591" w14:textId="77777777" w:rsidTr="00A05208">
        <w:tc>
          <w:tcPr>
            <w:tcW w:w="2544" w:type="dxa"/>
            <w:tcBorders>
              <w:top w:val="nil"/>
              <w:bottom w:val="nil"/>
            </w:tcBorders>
          </w:tcPr>
          <w:p w14:paraId="1DB0CD8E" w14:textId="77777777" w:rsidR="00D84C45" w:rsidRPr="00FA722C" w:rsidRDefault="00D84C45" w:rsidP="00A05208">
            <w:pPr>
              <w:adjustRightInd w:val="0"/>
              <w:snapToGrid w:val="0"/>
              <w:ind w:left="450"/>
              <w:rPr>
                <w:rFonts w:ascii="Times New Roman" w:hAnsi="Times New Roman"/>
              </w:rPr>
            </w:pPr>
            <w:r w:rsidRPr="00FA722C">
              <w:rPr>
                <w:rFonts w:ascii="Times New Roman" w:hAnsi="Times New Roman"/>
              </w:rPr>
              <w:t>F</w:t>
            </w:r>
            <w:r w:rsidRPr="00FA722C">
              <w:rPr>
                <w:rFonts w:ascii="Times New Roman" w:hAnsi="Times New Roman"/>
                <w:vertAlign w:val="subscript"/>
              </w:rPr>
              <w:t>MSY</w:t>
            </w:r>
          </w:p>
        </w:tc>
        <w:tc>
          <w:tcPr>
            <w:tcW w:w="3192" w:type="dxa"/>
            <w:tcBorders>
              <w:top w:val="nil"/>
              <w:bottom w:val="nil"/>
            </w:tcBorders>
          </w:tcPr>
          <w:p w14:paraId="22CA7975" w14:textId="77777777" w:rsidR="00D84C45" w:rsidRPr="00FA722C" w:rsidRDefault="00D84C45" w:rsidP="00A05208">
            <w:pPr>
              <w:adjustRightInd w:val="0"/>
              <w:snapToGrid w:val="0"/>
              <w:jc w:val="center"/>
              <w:rPr>
                <w:rFonts w:ascii="Times New Roman" w:hAnsi="Times New Roman"/>
              </w:rPr>
            </w:pPr>
            <w:r w:rsidRPr="00FA722C">
              <w:rPr>
                <w:rFonts w:ascii="Times New Roman" w:hAnsi="Times New Roman"/>
              </w:rPr>
              <w:t>0.36</w:t>
            </w:r>
          </w:p>
        </w:tc>
        <w:tc>
          <w:tcPr>
            <w:tcW w:w="2814" w:type="dxa"/>
            <w:tcBorders>
              <w:top w:val="nil"/>
              <w:bottom w:val="nil"/>
            </w:tcBorders>
          </w:tcPr>
          <w:p w14:paraId="4CA2522C" w14:textId="77777777" w:rsidR="00D84C45" w:rsidRPr="00FA722C" w:rsidRDefault="00D84C45" w:rsidP="00A05208">
            <w:pPr>
              <w:pStyle w:val="Default"/>
              <w:snapToGrid w:val="0"/>
              <w:jc w:val="center"/>
              <w:rPr>
                <w:sz w:val="22"/>
                <w:szCs w:val="22"/>
              </w:rPr>
            </w:pPr>
            <w:r w:rsidRPr="00FA722C">
              <w:rPr>
                <w:sz w:val="22"/>
                <w:szCs w:val="22"/>
              </w:rPr>
              <w:t>0.26 - 0.66</w:t>
            </w:r>
          </w:p>
        </w:tc>
      </w:tr>
      <w:tr w:rsidR="00D84C45" w14:paraId="3A0B68EE" w14:textId="77777777" w:rsidTr="00A05208">
        <w:tc>
          <w:tcPr>
            <w:tcW w:w="2544" w:type="dxa"/>
            <w:tcBorders>
              <w:top w:val="nil"/>
              <w:bottom w:val="nil"/>
            </w:tcBorders>
          </w:tcPr>
          <w:p w14:paraId="05748E84" w14:textId="77777777" w:rsidR="00D84C45" w:rsidRPr="00FA722C" w:rsidRDefault="00D84C45" w:rsidP="00A05208">
            <w:pPr>
              <w:adjustRightInd w:val="0"/>
              <w:snapToGrid w:val="0"/>
              <w:ind w:left="450"/>
              <w:rPr>
                <w:rFonts w:ascii="Times New Roman" w:hAnsi="Times New Roman"/>
              </w:rPr>
            </w:pPr>
            <w:r w:rsidRPr="00FA722C">
              <w:rPr>
                <w:rFonts w:ascii="Times New Roman" w:hAnsi="Times New Roman"/>
              </w:rPr>
              <w:t>SSB</w:t>
            </w:r>
            <w:r w:rsidRPr="00FA722C">
              <w:rPr>
                <w:rFonts w:ascii="Times New Roman" w:hAnsi="Times New Roman"/>
                <w:vertAlign w:val="subscript"/>
              </w:rPr>
              <w:t>2015</w:t>
            </w:r>
            <w:r w:rsidRPr="00FA722C">
              <w:rPr>
                <w:rFonts w:ascii="Times New Roman" w:hAnsi="Times New Roman"/>
              </w:rPr>
              <w:t>/SSB</w:t>
            </w:r>
            <w:r w:rsidRPr="00FA722C">
              <w:rPr>
                <w:rFonts w:ascii="Times New Roman" w:hAnsi="Times New Roman"/>
                <w:vertAlign w:val="subscript"/>
              </w:rPr>
              <w:t>MSY</w:t>
            </w:r>
          </w:p>
        </w:tc>
        <w:tc>
          <w:tcPr>
            <w:tcW w:w="3192" w:type="dxa"/>
            <w:tcBorders>
              <w:top w:val="nil"/>
              <w:bottom w:val="nil"/>
            </w:tcBorders>
          </w:tcPr>
          <w:p w14:paraId="638C1253" w14:textId="77777777" w:rsidR="00D84C45" w:rsidRPr="00FA722C" w:rsidRDefault="00D84C45" w:rsidP="00A05208">
            <w:pPr>
              <w:adjustRightInd w:val="0"/>
              <w:snapToGrid w:val="0"/>
              <w:jc w:val="center"/>
              <w:rPr>
                <w:rFonts w:ascii="Times New Roman" w:hAnsi="Times New Roman"/>
              </w:rPr>
            </w:pPr>
            <w:r w:rsidRPr="00FA722C">
              <w:rPr>
                <w:rFonts w:ascii="Times New Roman" w:hAnsi="Times New Roman"/>
              </w:rPr>
              <w:t>1.69</w:t>
            </w:r>
          </w:p>
        </w:tc>
        <w:tc>
          <w:tcPr>
            <w:tcW w:w="2814" w:type="dxa"/>
            <w:tcBorders>
              <w:top w:val="nil"/>
              <w:bottom w:val="nil"/>
            </w:tcBorders>
          </w:tcPr>
          <w:p w14:paraId="0FA7F916" w14:textId="77777777" w:rsidR="00D84C45" w:rsidRPr="00FA722C" w:rsidRDefault="00D84C45" w:rsidP="00A05208">
            <w:pPr>
              <w:pStyle w:val="Default"/>
              <w:snapToGrid w:val="0"/>
              <w:jc w:val="center"/>
              <w:rPr>
                <w:sz w:val="22"/>
                <w:szCs w:val="22"/>
              </w:rPr>
            </w:pPr>
            <w:r w:rsidRPr="00FA722C">
              <w:rPr>
                <w:sz w:val="22"/>
                <w:szCs w:val="22"/>
              </w:rPr>
              <w:t>1.39 - 2.59</w:t>
            </w:r>
          </w:p>
        </w:tc>
      </w:tr>
      <w:tr w:rsidR="00D84C45" w14:paraId="2DC91DD8" w14:textId="77777777" w:rsidTr="00A05208">
        <w:tc>
          <w:tcPr>
            <w:tcW w:w="2544" w:type="dxa"/>
            <w:tcBorders>
              <w:top w:val="nil"/>
            </w:tcBorders>
          </w:tcPr>
          <w:p w14:paraId="62C5452E" w14:textId="77777777" w:rsidR="00D84C45" w:rsidRPr="00FA722C" w:rsidRDefault="00D84C45" w:rsidP="00A05208">
            <w:pPr>
              <w:adjustRightInd w:val="0"/>
              <w:snapToGrid w:val="0"/>
              <w:ind w:left="450"/>
              <w:rPr>
                <w:rFonts w:ascii="Times New Roman" w:hAnsi="Times New Roman"/>
              </w:rPr>
            </w:pPr>
            <w:r w:rsidRPr="00FA722C">
              <w:rPr>
                <w:rFonts w:ascii="Times New Roman" w:hAnsi="Times New Roman"/>
              </w:rPr>
              <w:t>F</w:t>
            </w:r>
            <w:r w:rsidRPr="00FA722C">
              <w:rPr>
                <w:rFonts w:ascii="Times New Roman" w:hAnsi="Times New Roman"/>
                <w:vertAlign w:val="subscript"/>
              </w:rPr>
              <w:t>2012-2014</w:t>
            </w:r>
            <w:r w:rsidRPr="00FA722C">
              <w:rPr>
                <w:rFonts w:ascii="Times New Roman" w:hAnsi="Times New Roman"/>
              </w:rPr>
              <w:t>/F</w:t>
            </w:r>
            <w:r w:rsidRPr="00FA722C">
              <w:rPr>
                <w:rFonts w:ascii="Times New Roman" w:hAnsi="Times New Roman"/>
                <w:vertAlign w:val="subscript"/>
              </w:rPr>
              <w:t>MSY</w:t>
            </w:r>
          </w:p>
        </w:tc>
        <w:tc>
          <w:tcPr>
            <w:tcW w:w="3192" w:type="dxa"/>
            <w:tcBorders>
              <w:top w:val="nil"/>
            </w:tcBorders>
          </w:tcPr>
          <w:p w14:paraId="44FBE3EE" w14:textId="77777777" w:rsidR="00D84C45" w:rsidRPr="00FA722C" w:rsidRDefault="00D84C45" w:rsidP="00A05208">
            <w:pPr>
              <w:adjustRightInd w:val="0"/>
              <w:snapToGrid w:val="0"/>
              <w:jc w:val="center"/>
              <w:rPr>
                <w:rFonts w:ascii="Times New Roman" w:hAnsi="Times New Roman"/>
              </w:rPr>
            </w:pPr>
            <w:r w:rsidRPr="00FA722C">
              <w:rPr>
                <w:rFonts w:ascii="Times New Roman" w:hAnsi="Times New Roman"/>
              </w:rPr>
              <w:t>0.38</w:t>
            </w:r>
          </w:p>
        </w:tc>
        <w:tc>
          <w:tcPr>
            <w:tcW w:w="2814" w:type="dxa"/>
            <w:tcBorders>
              <w:top w:val="nil"/>
            </w:tcBorders>
          </w:tcPr>
          <w:p w14:paraId="0E6402B9" w14:textId="77777777" w:rsidR="00D84C45" w:rsidRPr="00FA722C" w:rsidRDefault="00D84C45" w:rsidP="00A05208">
            <w:pPr>
              <w:pStyle w:val="Default"/>
              <w:snapToGrid w:val="0"/>
              <w:jc w:val="center"/>
              <w:rPr>
                <w:sz w:val="22"/>
                <w:szCs w:val="22"/>
              </w:rPr>
            </w:pPr>
            <w:r w:rsidRPr="00FA722C">
              <w:rPr>
                <w:sz w:val="22"/>
                <w:szCs w:val="22"/>
              </w:rPr>
              <w:t>0.15 - 0.50</w:t>
            </w:r>
          </w:p>
        </w:tc>
      </w:tr>
    </w:tbl>
    <w:p w14:paraId="178AA882" w14:textId="77777777" w:rsidR="00D84C45" w:rsidRDefault="00D84C45" w:rsidP="00D84C45">
      <w:pPr>
        <w:pStyle w:val="ListParagraph"/>
        <w:adjustRightInd w:val="0"/>
        <w:snapToGrid w:val="0"/>
        <w:ind w:left="0" w:firstLine="360"/>
        <w:contextualSpacing w:val="0"/>
        <w:jc w:val="center"/>
        <w:rPr>
          <w:rFonts w:ascii="Times New Roman" w:hAnsi="Times New Roman"/>
          <w:b/>
          <w:highlight w:val="yellow"/>
          <w:lang w:eastAsia="ko-KR"/>
        </w:rPr>
      </w:pPr>
    </w:p>
    <w:p w14:paraId="3D6F502E" w14:textId="77777777" w:rsidR="00D84C45" w:rsidRPr="009C2ADD" w:rsidRDefault="00D84C45" w:rsidP="00D84C45">
      <w:pPr>
        <w:pStyle w:val="ListParagraph"/>
        <w:adjustRightInd w:val="0"/>
        <w:snapToGrid w:val="0"/>
        <w:ind w:left="0" w:firstLine="360"/>
        <w:contextualSpacing w:val="0"/>
        <w:jc w:val="center"/>
        <w:rPr>
          <w:rFonts w:ascii="Times New Roman" w:hAnsi="Times New Roman"/>
          <w:b/>
          <w:highlight w:val="yellow"/>
          <w:lang w:eastAsia="ko-KR"/>
        </w:rPr>
      </w:pPr>
    </w:p>
    <w:p w14:paraId="7263BD17" w14:textId="77777777" w:rsidR="00D84C45" w:rsidRPr="009C2ADD" w:rsidRDefault="00D84C45" w:rsidP="00D84C45">
      <w:pPr>
        <w:pStyle w:val="ListParagraph"/>
        <w:adjustRightInd w:val="0"/>
        <w:snapToGrid w:val="0"/>
        <w:ind w:left="0"/>
        <w:contextualSpacing w:val="0"/>
        <w:jc w:val="center"/>
        <w:rPr>
          <w:rFonts w:ascii="Times New Roman" w:hAnsi="Times New Roman"/>
        </w:rPr>
      </w:pPr>
      <w:r>
        <w:rPr>
          <w:rFonts w:ascii="Times New Roman" w:hAnsi="Times New Roman"/>
          <w:noProof/>
          <w:lang w:val="en-US" w:eastAsia="ko-KR"/>
        </w:rPr>
        <w:lastRenderedPageBreak/>
        <w:drawing>
          <wp:inline distT="0" distB="0" distL="0" distR="0" wp14:anchorId="75A9442B" wp14:editId="79A90B25">
            <wp:extent cx="3569918" cy="310766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NPBSH-2.jpg"/>
                    <pic:cNvPicPr/>
                  </pic:nvPicPr>
                  <pic:blipFill>
                    <a:blip r:embed="rId9">
                      <a:extLst>
                        <a:ext uri="{28A0092B-C50C-407E-A947-70E740481C1C}">
                          <a14:useLocalDpi xmlns:a14="http://schemas.microsoft.com/office/drawing/2010/main" val="0"/>
                        </a:ext>
                      </a:extLst>
                    </a:blip>
                    <a:stretch>
                      <a:fillRect/>
                    </a:stretch>
                  </pic:blipFill>
                  <pic:spPr>
                    <a:xfrm>
                      <a:off x="0" y="0"/>
                      <a:ext cx="3569770" cy="3107531"/>
                    </a:xfrm>
                    <a:prstGeom prst="rect">
                      <a:avLst/>
                    </a:prstGeom>
                  </pic:spPr>
                </pic:pic>
              </a:graphicData>
            </a:graphic>
          </wp:inline>
        </w:drawing>
      </w:r>
    </w:p>
    <w:p w14:paraId="775A0706" w14:textId="77777777" w:rsidR="00D84C45" w:rsidRPr="009C2ADD" w:rsidRDefault="00D84C45" w:rsidP="00D84C45">
      <w:pPr>
        <w:pStyle w:val="ListParagraph"/>
        <w:adjustRightInd w:val="0"/>
        <w:snapToGrid w:val="0"/>
        <w:ind w:left="0" w:firstLine="0"/>
        <w:contextualSpacing w:val="0"/>
        <w:jc w:val="left"/>
        <w:rPr>
          <w:rFonts w:ascii="Times New Roman" w:hAnsi="Times New Roman"/>
        </w:rPr>
      </w:pPr>
      <w:bookmarkStart w:id="7" w:name="_Hlk491604724"/>
      <w:r w:rsidRPr="009C2ADD">
        <w:rPr>
          <w:rFonts w:ascii="Times New Roman" w:hAnsi="Times New Roman"/>
          <w:b/>
          <w:lang w:eastAsia="ja-JP"/>
        </w:rPr>
        <w:t xml:space="preserve">Figure NPBSH- 2.  </w:t>
      </w:r>
      <w:r w:rsidRPr="0070772D">
        <w:rPr>
          <w:rFonts w:ascii="Times New Roman" w:hAnsi="Times New Roman"/>
        </w:rPr>
        <w:t>Kobe plot of the trends in estimates of relative fishing mortality and spawning biomass of North Pacific blue shark between 1971</w:t>
      </w:r>
      <w:r w:rsidRPr="005F3171">
        <w:rPr>
          <w:rFonts w:ascii="Cambria Math" w:hAnsi="Cambria Math" w:cs="Cambria Math"/>
        </w:rPr>
        <w:t>‐</w:t>
      </w:r>
      <w:r w:rsidRPr="0070772D">
        <w:rPr>
          <w:rFonts w:ascii="Times New Roman" w:hAnsi="Times New Roman"/>
        </w:rPr>
        <w:t xml:space="preserve">2015 for the reference case </w:t>
      </w:r>
      <w:r>
        <w:rPr>
          <w:rFonts w:ascii="Times New Roman" w:hAnsi="Times New Roman"/>
        </w:rPr>
        <w:t xml:space="preserve">of the SS </w:t>
      </w:r>
      <w:r w:rsidRPr="0070772D">
        <w:rPr>
          <w:rFonts w:ascii="Times New Roman" w:hAnsi="Times New Roman"/>
        </w:rPr>
        <w:t>stock assessment model.</w:t>
      </w:r>
    </w:p>
    <w:bookmarkEnd w:id="7"/>
    <w:p w14:paraId="53CC7221" w14:textId="77777777" w:rsidR="00D84C45" w:rsidRPr="009C2ADD" w:rsidRDefault="00D84C45" w:rsidP="00D84C45">
      <w:pPr>
        <w:pStyle w:val="Heading7"/>
        <w:adjustRightInd w:val="0"/>
        <w:snapToGrid w:val="0"/>
        <w:spacing w:before="0"/>
        <w:jc w:val="center"/>
        <w:rPr>
          <w:rFonts w:ascii="Times New Roman" w:hAnsi="Times New Roman"/>
          <w:i w:val="0"/>
          <w:color w:val="auto"/>
        </w:rPr>
      </w:pPr>
    </w:p>
    <w:p w14:paraId="65434D0E" w14:textId="77777777" w:rsidR="00D84C45" w:rsidRPr="009C2ADD" w:rsidRDefault="00D84C45" w:rsidP="00D84C45">
      <w:pPr>
        <w:pStyle w:val="ListParagraph"/>
        <w:numPr>
          <w:ilvl w:val="0"/>
          <w:numId w:val="44"/>
        </w:numPr>
        <w:adjustRightInd w:val="0"/>
        <w:snapToGrid w:val="0"/>
        <w:ind w:left="0" w:firstLine="0"/>
        <w:contextualSpacing w:val="0"/>
        <w:jc w:val="left"/>
        <w:rPr>
          <w:rFonts w:ascii="Times New Roman" w:eastAsia="Batang" w:hAnsi="Times New Roman"/>
          <w:b/>
          <w:lang w:eastAsia="ko-KR"/>
        </w:rPr>
      </w:pPr>
      <w:r w:rsidRPr="009C2ADD">
        <w:rPr>
          <w:rFonts w:ascii="Times New Roman" w:eastAsia="Batang" w:hAnsi="Times New Roman"/>
          <w:b/>
          <w:lang w:eastAsia="ko-KR"/>
        </w:rPr>
        <w:t>Management advice and implications</w:t>
      </w:r>
    </w:p>
    <w:p w14:paraId="61EFEF98" w14:textId="77777777" w:rsidR="00D84C45" w:rsidRPr="009C2ADD" w:rsidRDefault="00D84C45" w:rsidP="00D84C45">
      <w:pPr>
        <w:pStyle w:val="WCPFC"/>
        <w:numPr>
          <w:ilvl w:val="0"/>
          <w:numId w:val="0"/>
        </w:numPr>
        <w:adjustRightInd w:val="0"/>
        <w:spacing w:after="0"/>
        <w:jc w:val="left"/>
        <w:rPr>
          <w:b/>
        </w:rPr>
      </w:pPr>
    </w:p>
    <w:p w14:paraId="4CC78E6F" w14:textId="77777777" w:rsidR="00D84C45" w:rsidRPr="009C2ADD" w:rsidRDefault="00D84C45" w:rsidP="00D84C45">
      <w:pPr>
        <w:numPr>
          <w:ilvl w:val="0"/>
          <w:numId w:val="2"/>
        </w:numPr>
        <w:autoSpaceDE w:val="0"/>
        <w:autoSpaceDN w:val="0"/>
        <w:adjustRightInd w:val="0"/>
        <w:snapToGrid w:val="0"/>
        <w:spacing w:after="0" w:line="240" w:lineRule="auto"/>
        <w:ind w:left="0" w:firstLine="0"/>
        <w:jc w:val="both"/>
        <w:rPr>
          <w:rFonts w:ascii="Times New Roman" w:hAnsi="Times New Roman"/>
          <w:b/>
          <w:lang w:val="en-AU"/>
        </w:rPr>
      </w:pPr>
      <w:r w:rsidRPr="009C2ADD">
        <w:rPr>
          <w:rFonts w:ascii="Times New Roman" w:hAnsi="Times New Roman"/>
          <w:b/>
          <w:lang w:val="en-AU"/>
        </w:rPr>
        <w:t>SC13 noted the following conservation information from ISC.</w:t>
      </w:r>
    </w:p>
    <w:p w14:paraId="1EB0079A" w14:textId="77777777" w:rsidR="00D84C45" w:rsidRPr="009C2ADD" w:rsidRDefault="00D84C45" w:rsidP="00D84C45">
      <w:pPr>
        <w:autoSpaceDE w:val="0"/>
        <w:autoSpaceDN w:val="0"/>
        <w:adjustRightInd w:val="0"/>
        <w:snapToGrid w:val="0"/>
        <w:spacing w:after="0"/>
        <w:rPr>
          <w:rFonts w:ascii="Times New Roman" w:hAnsi="Times New Roman"/>
          <w:b/>
          <w:lang w:val="en-AU"/>
        </w:rPr>
      </w:pPr>
    </w:p>
    <w:p w14:paraId="6220592A" w14:textId="77777777" w:rsidR="00D84C45" w:rsidRPr="009C2ADD" w:rsidRDefault="00D84C45" w:rsidP="00D84C45">
      <w:pPr>
        <w:numPr>
          <w:ilvl w:val="0"/>
          <w:numId w:val="2"/>
        </w:numPr>
        <w:autoSpaceDE w:val="0"/>
        <w:autoSpaceDN w:val="0"/>
        <w:adjustRightInd w:val="0"/>
        <w:snapToGrid w:val="0"/>
        <w:spacing w:after="0" w:line="240" w:lineRule="auto"/>
        <w:ind w:left="0" w:firstLine="0"/>
        <w:jc w:val="both"/>
        <w:rPr>
          <w:rFonts w:ascii="Times New Roman" w:hAnsi="Times New Roman"/>
          <w:lang w:val="en-AU"/>
        </w:rPr>
      </w:pPr>
      <w:r w:rsidRPr="009C2ADD">
        <w:rPr>
          <w:rFonts w:ascii="Times New Roman" w:hAnsi="Times New Roman"/>
          <w:lang w:val="en-AU"/>
        </w:rPr>
        <w:t>Target and limit reference points have not yet been established for pelagic sharks</w:t>
      </w:r>
      <w:r w:rsidRPr="00D63189">
        <w:rPr>
          <w:rFonts w:ascii="Times New Roman" w:hAnsi="Times New Roman"/>
          <w:lang w:val="en-AU"/>
        </w:rPr>
        <w:t xml:space="preserve"> </w:t>
      </w:r>
      <w:r>
        <w:rPr>
          <w:rFonts w:ascii="Times New Roman" w:hAnsi="Times New Roman"/>
          <w:lang w:val="en-AU"/>
        </w:rPr>
        <w:t xml:space="preserve">by the WCPFC and IATTC, </w:t>
      </w:r>
      <w:r w:rsidRPr="005A59F0">
        <w:rPr>
          <w:rFonts w:ascii="Times New Roman" w:hAnsi="Times New Roman"/>
        </w:rPr>
        <w:t>the organizations responsible for management of pelagic sharks caught in international fisheries for tuna and tuna-like species</w:t>
      </w:r>
      <w:r w:rsidRPr="009C2ADD">
        <w:rPr>
          <w:rFonts w:ascii="Times New Roman" w:hAnsi="Times New Roman"/>
          <w:lang w:val="en-AU"/>
        </w:rPr>
        <w:t xml:space="preserve"> in the Pacific</w:t>
      </w:r>
      <w:r>
        <w:rPr>
          <w:rFonts w:ascii="Times New Roman" w:hAnsi="Times New Roman"/>
          <w:lang w:val="en-AU"/>
        </w:rPr>
        <w:t xml:space="preserve"> Ocean</w:t>
      </w:r>
      <w:r w:rsidRPr="009C2ADD">
        <w:rPr>
          <w:rFonts w:ascii="Times New Roman" w:hAnsi="Times New Roman"/>
          <w:lang w:val="en-AU"/>
        </w:rPr>
        <w:t xml:space="preserve">. </w:t>
      </w:r>
    </w:p>
    <w:p w14:paraId="0E097F45" w14:textId="77777777" w:rsidR="00D84C45" w:rsidRPr="009C2ADD" w:rsidRDefault="00D84C45" w:rsidP="00D84C45">
      <w:pPr>
        <w:pStyle w:val="ListParagraph"/>
        <w:adjustRightInd w:val="0"/>
        <w:snapToGrid w:val="0"/>
        <w:contextualSpacing w:val="0"/>
        <w:rPr>
          <w:rFonts w:ascii="Times New Roman" w:hAnsi="Times New Roman"/>
          <w:lang w:val="en-AU"/>
        </w:rPr>
      </w:pPr>
    </w:p>
    <w:p w14:paraId="1D6439D5" w14:textId="77777777" w:rsidR="00D84C45" w:rsidRPr="009C2ADD" w:rsidRDefault="00D84C45" w:rsidP="00D84C45">
      <w:pPr>
        <w:numPr>
          <w:ilvl w:val="0"/>
          <w:numId w:val="2"/>
        </w:numPr>
        <w:autoSpaceDE w:val="0"/>
        <w:autoSpaceDN w:val="0"/>
        <w:adjustRightInd w:val="0"/>
        <w:snapToGrid w:val="0"/>
        <w:spacing w:after="0" w:line="240" w:lineRule="auto"/>
        <w:ind w:left="0" w:firstLine="0"/>
        <w:jc w:val="both"/>
        <w:rPr>
          <w:rFonts w:ascii="Times New Roman" w:hAnsi="Times New Roman"/>
          <w:lang w:val="en-AU"/>
        </w:rPr>
      </w:pPr>
      <w:r w:rsidRPr="005A59F0">
        <w:rPr>
          <w:rFonts w:ascii="Times New Roman" w:hAnsi="Times New Roman"/>
        </w:rPr>
        <w:t>The 2015 SSB exceeds SSB</w:t>
      </w:r>
      <w:r w:rsidRPr="005A59F0">
        <w:rPr>
          <w:rFonts w:ascii="Times New Roman" w:hAnsi="Times New Roman"/>
          <w:vertAlign w:val="subscript"/>
        </w:rPr>
        <w:t>MSY</w:t>
      </w:r>
      <w:r w:rsidRPr="005A59F0">
        <w:rPr>
          <w:rFonts w:ascii="Times New Roman" w:hAnsi="Times New Roman"/>
        </w:rPr>
        <w:t xml:space="preserve"> and F</w:t>
      </w:r>
      <w:r w:rsidRPr="005A59F0">
        <w:rPr>
          <w:rFonts w:ascii="Times New Roman" w:hAnsi="Times New Roman"/>
          <w:vertAlign w:val="subscript"/>
        </w:rPr>
        <w:t>2012-2014</w:t>
      </w:r>
      <w:r w:rsidRPr="005A59F0">
        <w:rPr>
          <w:rFonts w:ascii="Times New Roman" w:hAnsi="Times New Roman"/>
        </w:rPr>
        <w:t xml:space="preserve"> is below F</w:t>
      </w:r>
      <w:r w:rsidRPr="005A59F0">
        <w:rPr>
          <w:rFonts w:ascii="Times New Roman" w:hAnsi="Times New Roman"/>
          <w:vertAlign w:val="subscript"/>
        </w:rPr>
        <w:t>MSY</w:t>
      </w:r>
      <w:r w:rsidRPr="005A59F0">
        <w:rPr>
          <w:rFonts w:ascii="Times New Roman" w:hAnsi="Times New Roman"/>
        </w:rPr>
        <w:t>.</w:t>
      </w:r>
      <w:r w:rsidRPr="00C846BA">
        <w:t xml:space="preserve"> </w:t>
      </w:r>
      <w:r w:rsidRPr="009C2ADD">
        <w:rPr>
          <w:rFonts w:ascii="Times New Roman" w:hAnsi="Times New Roman"/>
          <w:lang w:val="en-AU"/>
        </w:rPr>
        <w:t>Future projections under different fishing mortality (F) harvest policies (status quo, +20%, -20%, F</w:t>
      </w:r>
      <w:r w:rsidRPr="00104C78">
        <w:rPr>
          <w:rFonts w:ascii="Times New Roman" w:hAnsi="Times New Roman"/>
          <w:vertAlign w:val="subscript"/>
          <w:lang w:val="en-AU"/>
        </w:rPr>
        <w:t>MSY</w:t>
      </w:r>
      <w:r w:rsidRPr="009C2ADD">
        <w:rPr>
          <w:rFonts w:ascii="Times New Roman" w:hAnsi="Times New Roman"/>
          <w:lang w:val="en-AU"/>
        </w:rPr>
        <w:t>) show that median BSH biomass in the North Pacific will likely remain above B</w:t>
      </w:r>
      <w:r w:rsidRPr="00104C78">
        <w:rPr>
          <w:rFonts w:ascii="Times New Roman" w:hAnsi="Times New Roman"/>
          <w:vertAlign w:val="subscript"/>
          <w:lang w:val="en-AU"/>
        </w:rPr>
        <w:t>MSY</w:t>
      </w:r>
      <w:r w:rsidRPr="009C2ADD">
        <w:rPr>
          <w:rFonts w:ascii="Times New Roman" w:hAnsi="Times New Roman"/>
          <w:lang w:val="en-AU"/>
        </w:rPr>
        <w:t xml:space="preserve"> in the foreseeable future (</w:t>
      </w:r>
      <w:r w:rsidRPr="0070772D">
        <w:rPr>
          <w:rFonts w:ascii="Times New Roman" w:hAnsi="Times New Roman"/>
          <w:bCs/>
          <w:lang w:val="en-AU"/>
        </w:rPr>
        <w:t>Table NPBSH-2; Figure NPBSH-3</w:t>
      </w:r>
      <w:r w:rsidRPr="009C2ADD">
        <w:rPr>
          <w:rFonts w:ascii="Times New Roman" w:hAnsi="Times New Roman"/>
          <w:lang w:val="en-AU"/>
        </w:rPr>
        <w:t>).</w:t>
      </w:r>
      <w:r>
        <w:rPr>
          <w:rFonts w:ascii="Times New Roman" w:hAnsi="Times New Roman"/>
          <w:lang w:val="en-AU"/>
        </w:rPr>
        <w:t xml:space="preserve"> </w:t>
      </w:r>
      <w:r w:rsidRPr="005A59F0">
        <w:rPr>
          <w:rFonts w:ascii="Times New Roman" w:hAnsi="Times New Roman"/>
        </w:rPr>
        <w:t>Other potential reference points were not considered in these evaluations.</w:t>
      </w:r>
    </w:p>
    <w:p w14:paraId="290B69F6" w14:textId="77777777" w:rsidR="00D84C45" w:rsidRDefault="00D84C45" w:rsidP="00D84C45">
      <w:pPr>
        <w:pStyle w:val="WCPFC"/>
        <w:numPr>
          <w:ilvl w:val="0"/>
          <w:numId w:val="0"/>
        </w:numPr>
        <w:adjustRightInd w:val="0"/>
        <w:spacing w:after="0"/>
        <w:jc w:val="left"/>
        <w:rPr>
          <w:b/>
          <w:lang w:eastAsia="ja-JP"/>
        </w:rPr>
      </w:pPr>
      <w:bookmarkStart w:id="8" w:name="_Hlk491605000"/>
    </w:p>
    <w:p w14:paraId="35ECC415" w14:textId="77777777" w:rsidR="00D84C45" w:rsidRDefault="00D84C45" w:rsidP="00D84C45">
      <w:pPr>
        <w:pStyle w:val="WCPFC"/>
        <w:numPr>
          <w:ilvl w:val="0"/>
          <w:numId w:val="0"/>
        </w:numPr>
        <w:adjustRightInd w:val="0"/>
        <w:spacing w:after="0"/>
        <w:jc w:val="left"/>
        <w:rPr>
          <w:b/>
          <w:lang w:eastAsia="ja-JP"/>
        </w:rPr>
      </w:pPr>
    </w:p>
    <w:p w14:paraId="572B1891" w14:textId="77777777" w:rsidR="00D84C45" w:rsidRDefault="00D84C45" w:rsidP="00D84C45">
      <w:pPr>
        <w:pStyle w:val="WCPFC"/>
        <w:numPr>
          <w:ilvl w:val="0"/>
          <w:numId w:val="0"/>
        </w:numPr>
        <w:adjustRightInd w:val="0"/>
        <w:spacing w:after="0"/>
        <w:jc w:val="left"/>
        <w:rPr>
          <w:b/>
          <w:lang w:eastAsia="ja-JP"/>
        </w:rPr>
      </w:pPr>
    </w:p>
    <w:p w14:paraId="2B5A62B2" w14:textId="77777777" w:rsidR="00D84C45" w:rsidRDefault="00D84C45" w:rsidP="00D84C45">
      <w:pPr>
        <w:pStyle w:val="WCPFC"/>
        <w:numPr>
          <w:ilvl w:val="0"/>
          <w:numId w:val="0"/>
        </w:numPr>
        <w:adjustRightInd w:val="0"/>
        <w:spacing w:after="0"/>
        <w:jc w:val="left"/>
        <w:rPr>
          <w:b/>
          <w:lang w:eastAsia="ja-JP"/>
        </w:rPr>
      </w:pPr>
    </w:p>
    <w:p w14:paraId="45890F58" w14:textId="77777777" w:rsidR="00D84C45" w:rsidRDefault="00D84C45" w:rsidP="00D84C45">
      <w:pPr>
        <w:pStyle w:val="WCPFC"/>
        <w:numPr>
          <w:ilvl w:val="0"/>
          <w:numId w:val="0"/>
        </w:numPr>
        <w:adjustRightInd w:val="0"/>
        <w:spacing w:after="0"/>
        <w:jc w:val="left"/>
        <w:rPr>
          <w:b/>
          <w:lang w:eastAsia="ja-JP"/>
        </w:rPr>
      </w:pPr>
    </w:p>
    <w:p w14:paraId="361E8427" w14:textId="77777777" w:rsidR="00D84C45" w:rsidRDefault="00D84C45" w:rsidP="00D84C45">
      <w:pPr>
        <w:pStyle w:val="WCPFC"/>
        <w:numPr>
          <w:ilvl w:val="0"/>
          <w:numId w:val="0"/>
        </w:numPr>
        <w:adjustRightInd w:val="0"/>
        <w:spacing w:after="0"/>
        <w:jc w:val="left"/>
        <w:rPr>
          <w:b/>
          <w:lang w:eastAsia="ja-JP"/>
        </w:rPr>
      </w:pPr>
    </w:p>
    <w:p w14:paraId="4BC09632" w14:textId="77777777" w:rsidR="00D84C45" w:rsidRDefault="00D84C45" w:rsidP="00D84C45">
      <w:pPr>
        <w:pStyle w:val="WCPFC"/>
        <w:numPr>
          <w:ilvl w:val="0"/>
          <w:numId w:val="0"/>
        </w:numPr>
        <w:adjustRightInd w:val="0"/>
        <w:spacing w:after="0"/>
        <w:jc w:val="left"/>
        <w:rPr>
          <w:b/>
          <w:lang w:eastAsia="ja-JP"/>
        </w:rPr>
      </w:pPr>
    </w:p>
    <w:p w14:paraId="3C7C0F1F" w14:textId="77777777" w:rsidR="00BF2D94" w:rsidRDefault="00BF2D94">
      <w:pPr>
        <w:rPr>
          <w:rFonts w:ascii="Times New Roman" w:hAnsi="Times New Roman"/>
          <w:b/>
          <w:lang w:val="en-NZ" w:eastAsia="ja-JP"/>
        </w:rPr>
      </w:pPr>
      <w:r>
        <w:rPr>
          <w:b/>
          <w:lang w:eastAsia="ja-JP"/>
        </w:rPr>
        <w:br w:type="page"/>
      </w:r>
    </w:p>
    <w:p w14:paraId="364EE7B0" w14:textId="59E83668" w:rsidR="00D84C45" w:rsidRDefault="00D84C45" w:rsidP="00D84C45">
      <w:pPr>
        <w:pStyle w:val="WCPFC"/>
        <w:numPr>
          <w:ilvl w:val="0"/>
          <w:numId w:val="0"/>
        </w:numPr>
        <w:adjustRightInd w:val="0"/>
        <w:spacing w:after="0"/>
        <w:jc w:val="left"/>
        <w:rPr>
          <w:lang w:eastAsia="ko-KR"/>
        </w:rPr>
      </w:pPr>
      <w:r w:rsidRPr="009C2ADD">
        <w:rPr>
          <w:b/>
          <w:lang w:eastAsia="ja-JP"/>
        </w:rPr>
        <w:lastRenderedPageBreak/>
        <w:t xml:space="preserve">Table </w:t>
      </w:r>
      <w:r w:rsidRPr="009C2ADD">
        <w:rPr>
          <w:b/>
          <w:lang w:eastAsia="ko-KR"/>
        </w:rPr>
        <w:t>NPBSH-2.</w:t>
      </w:r>
      <w:r w:rsidRPr="009C2ADD">
        <w:rPr>
          <w:b/>
          <w:lang w:eastAsia="ja-JP"/>
        </w:rPr>
        <w:t xml:space="preserve"> </w:t>
      </w:r>
      <w:r>
        <w:t>Projected trajectory of spawning biomass (in metric tons) for alternative harvest scenarios.</w:t>
      </w:r>
      <w:bookmarkEnd w:id="8"/>
    </w:p>
    <w:p w14:paraId="0C1B1785" w14:textId="77777777" w:rsidR="00D84C45" w:rsidRPr="009C2ADD" w:rsidRDefault="00D84C45" w:rsidP="00D84C45">
      <w:pPr>
        <w:pStyle w:val="WCPFC"/>
        <w:numPr>
          <w:ilvl w:val="0"/>
          <w:numId w:val="0"/>
        </w:numPr>
        <w:adjustRightInd w:val="0"/>
        <w:spacing w:after="0"/>
        <w:jc w:val="center"/>
        <w:rPr>
          <w:lang w:eastAsia="ko-KR"/>
        </w:rPr>
      </w:pPr>
      <w:r>
        <w:rPr>
          <w:rFonts w:hint="eastAsia"/>
          <w:noProof/>
          <w:lang w:val="en-US" w:eastAsia="ko-KR"/>
        </w:rPr>
        <w:drawing>
          <wp:inline distT="0" distB="0" distL="0" distR="0" wp14:anchorId="651D8F70" wp14:editId="3A14A569">
            <wp:extent cx="4727275" cy="1833839"/>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 NPBSH-2.jpg"/>
                    <pic:cNvPicPr/>
                  </pic:nvPicPr>
                  <pic:blipFill>
                    <a:blip r:embed="rId10">
                      <a:extLst>
                        <a:ext uri="{28A0092B-C50C-407E-A947-70E740481C1C}">
                          <a14:useLocalDpi xmlns:a14="http://schemas.microsoft.com/office/drawing/2010/main" val="0"/>
                        </a:ext>
                      </a:extLst>
                    </a:blip>
                    <a:stretch>
                      <a:fillRect/>
                    </a:stretch>
                  </pic:blipFill>
                  <pic:spPr>
                    <a:xfrm>
                      <a:off x="0" y="0"/>
                      <a:ext cx="4727275" cy="1833839"/>
                    </a:xfrm>
                    <a:prstGeom prst="rect">
                      <a:avLst/>
                    </a:prstGeom>
                  </pic:spPr>
                </pic:pic>
              </a:graphicData>
            </a:graphic>
          </wp:inline>
        </w:drawing>
      </w:r>
    </w:p>
    <w:p w14:paraId="0661EEDC" w14:textId="77777777" w:rsidR="00D84C45" w:rsidRPr="009C2ADD" w:rsidRDefault="00D84C45" w:rsidP="00D84C45">
      <w:pPr>
        <w:pStyle w:val="WCPFC"/>
        <w:numPr>
          <w:ilvl w:val="0"/>
          <w:numId w:val="0"/>
        </w:numPr>
        <w:adjustRightInd w:val="0"/>
        <w:spacing w:after="0"/>
        <w:jc w:val="center"/>
        <w:rPr>
          <w:b/>
          <w:highlight w:val="yellow"/>
          <w:lang w:eastAsia="ja-JP"/>
        </w:rPr>
      </w:pPr>
    </w:p>
    <w:p w14:paraId="76152178" w14:textId="77777777" w:rsidR="00D84C45" w:rsidRPr="009C2ADD" w:rsidRDefault="00D84C45" w:rsidP="00D84C45">
      <w:pPr>
        <w:pStyle w:val="WCPFC"/>
        <w:numPr>
          <w:ilvl w:val="0"/>
          <w:numId w:val="0"/>
        </w:numPr>
        <w:adjustRightInd w:val="0"/>
        <w:spacing w:after="0"/>
        <w:jc w:val="center"/>
        <w:rPr>
          <w:b/>
          <w:highlight w:val="yellow"/>
          <w:lang w:eastAsia="ko-KR"/>
        </w:rPr>
      </w:pPr>
      <w:r>
        <w:rPr>
          <w:rFonts w:hint="eastAsia"/>
          <w:b/>
          <w:noProof/>
          <w:lang w:val="en-US" w:eastAsia="ko-KR"/>
        </w:rPr>
        <w:drawing>
          <wp:inline distT="0" distB="0" distL="0" distR="0" wp14:anchorId="451A924C" wp14:editId="276B4FB1">
            <wp:extent cx="5078872" cy="2517731"/>
            <wp:effectExtent l="0" t="0" r="762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NPBSH-3.jpg"/>
                    <pic:cNvPicPr/>
                  </pic:nvPicPr>
                  <pic:blipFill>
                    <a:blip r:embed="rId11">
                      <a:extLst>
                        <a:ext uri="{28A0092B-C50C-407E-A947-70E740481C1C}">
                          <a14:useLocalDpi xmlns:a14="http://schemas.microsoft.com/office/drawing/2010/main" val="0"/>
                        </a:ext>
                      </a:extLst>
                    </a:blip>
                    <a:stretch>
                      <a:fillRect/>
                    </a:stretch>
                  </pic:blipFill>
                  <pic:spPr>
                    <a:xfrm>
                      <a:off x="0" y="0"/>
                      <a:ext cx="5092891" cy="2524681"/>
                    </a:xfrm>
                    <a:prstGeom prst="rect">
                      <a:avLst/>
                    </a:prstGeom>
                  </pic:spPr>
                </pic:pic>
              </a:graphicData>
            </a:graphic>
          </wp:inline>
        </w:drawing>
      </w:r>
    </w:p>
    <w:p w14:paraId="23B1F799" w14:textId="77777777" w:rsidR="00D84C45" w:rsidRPr="009C2ADD" w:rsidRDefault="00D84C45" w:rsidP="00D84C45">
      <w:pPr>
        <w:pStyle w:val="WCPFC"/>
        <w:numPr>
          <w:ilvl w:val="0"/>
          <w:numId w:val="0"/>
        </w:numPr>
        <w:adjustRightInd w:val="0"/>
        <w:spacing w:after="0"/>
        <w:rPr>
          <w:lang w:eastAsia="ja-JP"/>
        </w:rPr>
      </w:pPr>
      <w:bookmarkStart w:id="9" w:name="_Hlk491604962"/>
      <w:r w:rsidRPr="009C2ADD">
        <w:rPr>
          <w:b/>
          <w:lang w:eastAsia="ja-JP"/>
        </w:rPr>
        <w:t xml:space="preserve">Figure NPBSH-3.  </w:t>
      </w:r>
      <w:r>
        <w:t>Comparison of future projected blue shark spawning biomass under different F harvest policies (status quo, +20%, -20%, and F</w:t>
      </w:r>
      <w:r w:rsidRPr="00104C78">
        <w:rPr>
          <w:vertAlign w:val="subscript"/>
          <w:lang w:val="en-AU"/>
        </w:rPr>
        <w:t>MSY</w:t>
      </w:r>
      <w:r>
        <w:t>) using the SS reference case model. Status quo fishing mortality was based on the average from 2012-2014.</w:t>
      </w:r>
      <w:bookmarkEnd w:id="9"/>
    </w:p>
    <w:bookmarkEnd w:id="3"/>
    <w:p w14:paraId="4B6AE787" w14:textId="77777777" w:rsidR="00BF2D94" w:rsidRDefault="00BF2D94">
      <w:pPr>
        <w:rPr>
          <w:rFonts w:asciiTheme="majorHAnsi" w:eastAsia="MS Mincho" w:hAnsiTheme="majorHAnsi" w:cstheme="majorBidi"/>
          <w:color w:val="2F5496" w:themeColor="accent1" w:themeShade="BF"/>
          <w:sz w:val="32"/>
          <w:szCs w:val="32"/>
          <w:lang w:val="en-NZ" w:eastAsia="en-NZ"/>
        </w:rPr>
      </w:pPr>
      <w:r>
        <w:rPr>
          <w:rFonts w:eastAsia="MS Mincho"/>
          <w:lang w:val="en-NZ" w:eastAsia="en-NZ"/>
        </w:rPr>
        <w:br w:type="page"/>
      </w:r>
    </w:p>
    <w:p w14:paraId="7D747DEC" w14:textId="7E5CDBD8" w:rsidR="005C7178" w:rsidRDefault="005C7178" w:rsidP="005C7178">
      <w:pPr>
        <w:pStyle w:val="Heading1"/>
        <w:rPr>
          <w:rFonts w:eastAsia="MS Mincho"/>
          <w:lang w:val="en-NZ" w:eastAsia="en-NZ"/>
        </w:rPr>
      </w:pPr>
      <w:bookmarkStart w:id="10" w:name="_Toc522795532"/>
      <w:r>
        <w:rPr>
          <w:rFonts w:eastAsia="MS Mincho"/>
          <w:lang w:val="en-NZ" w:eastAsia="en-NZ"/>
        </w:rPr>
        <w:lastRenderedPageBreak/>
        <w:t>Useful References</w:t>
      </w:r>
      <w:bookmarkEnd w:id="4"/>
      <w:bookmarkEnd w:id="10"/>
    </w:p>
    <w:p w14:paraId="790FC2AA" w14:textId="77777777" w:rsidR="00416473" w:rsidRDefault="00416473" w:rsidP="00416473">
      <w:pPr>
        <w:spacing w:after="0" w:line="240" w:lineRule="auto"/>
        <w:rPr>
          <w:b/>
        </w:rPr>
      </w:pPr>
    </w:p>
    <w:p w14:paraId="6CABDE61" w14:textId="5F40FBD6" w:rsidR="00295F2F" w:rsidRDefault="00D84C45" w:rsidP="005C7178">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r>
        <w:rPr>
          <w:rFonts w:ascii="Times New Roman" w:eastAsia="MS Mincho" w:hAnsi="Times New Roman" w:cs="Times New Roman"/>
          <w:color w:val="000000"/>
          <w:lang w:val="en-NZ" w:eastAsia="en-NZ"/>
        </w:rPr>
        <w:t xml:space="preserve">SC13-SA-WP-10 </w:t>
      </w:r>
      <w:r w:rsidRPr="00D84C45">
        <w:rPr>
          <w:rFonts w:ascii="Times New Roman" w:eastAsia="MS Mincho" w:hAnsi="Times New Roman" w:cs="Times New Roman"/>
          <w:color w:val="000000"/>
          <w:lang w:val="en-NZ" w:eastAsia="en-NZ"/>
        </w:rPr>
        <w:t>Stock Assessment and Future Projections of Blue Shark in the North Pacific Ocean through 2015</w:t>
      </w:r>
      <w:r>
        <w:rPr>
          <w:rFonts w:ascii="Times New Roman" w:eastAsia="MS Mincho" w:hAnsi="Times New Roman" w:cs="Times New Roman"/>
          <w:color w:val="000000"/>
          <w:lang w:val="en-NZ" w:eastAsia="en-NZ"/>
        </w:rPr>
        <w:t xml:space="preserve">. </w:t>
      </w:r>
      <w:hyperlink r:id="rId12" w:history="1">
        <w:r w:rsidRPr="00381BF4">
          <w:rPr>
            <w:rStyle w:val="Hyperlink"/>
            <w:rFonts w:ascii="Times New Roman" w:eastAsia="MS Mincho" w:hAnsi="Times New Roman" w:cs="Times New Roman"/>
            <w:lang w:val="en-NZ" w:eastAsia="en-NZ"/>
          </w:rPr>
          <w:t>https://www.wcpfc.int/node/29523</w:t>
        </w:r>
      </w:hyperlink>
      <w:r>
        <w:rPr>
          <w:rFonts w:ascii="Times New Roman" w:eastAsia="MS Mincho" w:hAnsi="Times New Roman" w:cs="Times New Roman"/>
          <w:color w:val="000000"/>
          <w:lang w:val="en-NZ" w:eastAsia="en-NZ"/>
        </w:rPr>
        <w:t xml:space="preserve"> </w:t>
      </w:r>
    </w:p>
    <w:p w14:paraId="5B0A19C1" w14:textId="42ABB648" w:rsidR="00BF2D94" w:rsidRDefault="00BF2D94" w:rsidP="005C7178">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p>
    <w:p w14:paraId="1D696388" w14:textId="77777777" w:rsidR="00BF2D94" w:rsidRDefault="00BF2D94" w:rsidP="00BF2D94">
      <w:pPr>
        <w:spacing w:after="0" w:line="240" w:lineRule="auto"/>
      </w:pPr>
      <w:r>
        <w:t>For current information related to Northern Stocks Working Group Reports and the ISC Plenary Report:</w:t>
      </w:r>
    </w:p>
    <w:p w14:paraId="6F1C1120" w14:textId="77777777" w:rsidR="00BF2D94" w:rsidRDefault="005A4994" w:rsidP="00BF2D94">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hyperlink r:id="rId13" w:history="1">
        <w:r w:rsidR="00BF2D94" w:rsidRPr="00E80987">
          <w:rPr>
            <w:rStyle w:val="Hyperlink"/>
            <w:rFonts w:ascii="Times New Roman" w:eastAsia="MS Mincho" w:hAnsi="Times New Roman" w:cs="Times New Roman"/>
            <w:lang w:val="en-NZ" w:eastAsia="en-NZ"/>
          </w:rPr>
          <w:t>http://isc.fra.go.jp/reports/isc/isc18_reports.html</w:t>
        </w:r>
      </w:hyperlink>
      <w:r w:rsidR="00BF2D94">
        <w:rPr>
          <w:rFonts w:ascii="Times New Roman" w:eastAsia="MS Mincho" w:hAnsi="Times New Roman" w:cs="Times New Roman"/>
          <w:color w:val="000000"/>
          <w:lang w:val="en-NZ" w:eastAsia="en-NZ"/>
        </w:rPr>
        <w:t xml:space="preserve"> </w:t>
      </w:r>
    </w:p>
    <w:p w14:paraId="187F1B5D" w14:textId="77777777" w:rsidR="005C7178" w:rsidRDefault="005C7178" w:rsidP="005C7178">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p>
    <w:p w14:paraId="5F497675" w14:textId="77777777" w:rsidR="00303455" w:rsidRDefault="00303455" w:rsidP="00303455">
      <w:pPr>
        <w:pStyle w:val="Heading1"/>
        <w:rPr>
          <w:rFonts w:ascii="Times New Roman" w:eastAsia="MS Mincho" w:hAnsi="Times New Roman" w:cs="Times New Roman"/>
          <w:color w:val="000000"/>
          <w:lang w:val="en-NZ" w:eastAsia="en-NZ"/>
        </w:rPr>
      </w:pPr>
      <w:bookmarkStart w:id="11" w:name="_Toc522795533"/>
      <w:r>
        <w:rPr>
          <w:rFonts w:eastAsia="MS Mincho"/>
          <w:lang w:val="en-NZ" w:eastAsia="en-NZ"/>
        </w:rPr>
        <w:t>Previous Assessments</w:t>
      </w:r>
      <w:bookmarkEnd w:id="11"/>
    </w:p>
    <w:p w14:paraId="20523EC6" w14:textId="77777777" w:rsidR="00303455" w:rsidRDefault="00303455" w:rsidP="005C7178">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p>
    <w:p w14:paraId="0E3EE45C" w14:textId="77777777" w:rsidR="00303455" w:rsidRDefault="00303455" w:rsidP="005C7178">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r>
        <w:rPr>
          <w:rFonts w:ascii="Times New Roman" w:eastAsia="MS Mincho" w:hAnsi="Times New Roman" w:cs="Times New Roman"/>
          <w:color w:val="000000"/>
          <w:lang w:val="en-NZ" w:eastAsia="en-NZ"/>
        </w:rPr>
        <w:t xml:space="preserve">SC10-SA-WP-14 </w:t>
      </w:r>
      <w:r w:rsidRPr="00303455">
        <w:rPr>
          <w:rFonts w:ascii="Times New Roman" w:eastAsia="MS Mincho" w:hAnsi="Times New Roman" w:cs="Times New Roman"/>
          <w:color w:val="000000"/>
          <w:lang w:val="en-NZ" w:eastAsia="en-NZ"/>
        </w:rPr>
        <w:t>Stock Assessment and Future Projections of Blue Shark in the North Pacific Ocean Rev 1</w:t>
      </w:r>
      <w:r>
        <w:rPr>
          <w:rFonts w:ascii="Times New Roman" w:eastAsia="MS Mincho" w:hAnsi="Times New Roman" w:cs="Times New Roman"/>
          <w:color w:val="000000"/>
          <w:lang w:val="en-NZ" w:eastAsia="en-NZ"/>
        </w:rPr>
        <w:t xml:space="preserve">. </w:t>
      </w:r>
      <w:hyperlink r:id="rId14" w:history="1">
        <w:r w:rsidRPr="00E4453F">
          <w:rPr>
            <w:rStyle w:val="Hyperlink"/>
            <w:rFonts w:ascii="Times New Roman" w:eastAsia="MS Mincho" w:hAnsi="Times New Roman" w:cs="Times New Roman"/>
            <w:lang w:val="en-NZ" w:eastAsia="en-NZ"/>
          </w:rPr>
          <w:t>https://wcpfc.int/node/19204</w:t>
        </w:r>
      </w:hyperlink>
      <w:r>
        <w:rPr>
          <w:rFonts w:ascii="Times New Roman" w:eastAsia="MS Mincho" w:hAnsi="Times New Roman" w:cs="Times New Roman"/>
          <w:color w:val="000000"/>
          <w:lang w:val="en-NZ" w:eastAsia="en-NZ"/>
        </w:rPr>
        <w:t xml:space="preserve"> </w:t>
      </w:r>
    </w:p>
    <w:p w14:paraId="1DCB5A44" w14:textId="77777777" w:rsidR="00B47D7F" w:rsidRDefault="00B47D7F" w:rsidP="005C7178">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p>
    <w:p w14:paraId="1D52A910" w14:textId="77777777" w:rsidR="00B47D7F" w:rsidRDefault="00B47D7F" w:rsidP="005C7178">
      <w:pPr>
        <w:autoSpaceDE w:val="0"/>
        <w:autoSpaceDN w:val="0"/>
        <w:adjustRightInd w:val="0"/>
        <w:snapToGrid w:val="0"/>
        <w:spacing w:after="0" w:line="240" w:lineRule="auto"/>
        <w:jc w:val="both"/>
        <w:rPr>
          <w:rFonts w:cs="Arial"/>
          <w:lang w:val="en"/>
        </w:rPr>
      </w:pPr>
      <w:r>
        <w:rPr>
          <w:rFonts w:ascii="Times New Roman" w:eastAsia="MS Mincho" w:hAnsi="Times New Roman" w:cs="Times New Roman"/>
          <w:color w:val="000000"/>
          <w:lang w:val="en-NZ" w:eastAsia="en-NZ"/>
        </w:rPr>
        <w:t xml:space="preserve">SC9-SA-WP-02 </w:t>
      </w:r>
      <w:r>
        <w:rPr>
          <w:rFonts w:cs="Arial"/>
          <w:lang w:val="en"/>
        </w:rPr>
        <w:t xml:space="preserve">Stock assessment of blue shark in the north Pacific Ocean using Stock Synthesis.  </w:t>
      </w:r>
      <w:hyperlink r:id="rId15" w:history="1">
        <w:r w:rsidRPr="0002310F">
          <w:rPr>
            <w:rStyle w:val="Hyperlink"/>
            <w:rFonts w:cs="Arial"/>
            <w:lang w:val="en"/>
          </w:rPr>
          <w:t>https://wcpfc.int/node/3668</w:t>
        </w:r>
      </w:hyperlink>
      <w:r>
        <w:rPr>
          <w:rFonts w:cs="Arial"/>
          <w:lang w:val="en"/>
        </w:rPr>
        <w:t xml:space="preserve"> </w:t>
      </w:r>
    </w:p>
    <w:p w14:paraId="072C93CC" w14:textId="77777777" w:rsidR="00B47D7F" w:rsidRDefault="00B47D7F" w:rsidP="005C7178">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p>
    <w:p w14:paraId="542EA970" w14:textId="77777777" w:rsidR="00B47D7F" w:rsidRDefault="00B47D7F" w:rsidP="005C7178">
      <w:pPr>
        <w:autoSpaceDE w:val="0"/>
        <w:autoSpaceDN w:val="0"/>
        <w:adjustRightInd w:val="0"/>
        <w:snapToGrid w:val="0"/>
        <w:spacing w:after="0" w:line="240" w:lineRule="auto"/>
        <w:jc w:val="both"/>
        <w:rPr>
          <w:rFonts w:cs="Arial"/>
          <w:lang w:val="en"/>
        </w:rPr>
      </w:pPr>
      <w:r>
        <w:rPr>
          <w:rFonts w:ascii="Times New Roman" w:eastAsia="MS Mincho" w:hAnsi="Times New Roman" w:cs="Times New Roman"/>
          <w:color w:val="000000"/>
          <w:lang w:val="en-NZ" w:eastAsia="en-NZ"/>
        </w:rPr>
        <w:t xml:space="preserve">SC9-SA-WP11 </w:t>
      </w:r>
      <w:r>
        <w:rPr>
          <w:rFonts w:cs="Arial"/>
          <w:lang w:val="en"/>
        </w:rPr>
        <w:t xml:space="preserve">Stock Assessment and Future Projections of Blue Shark in the North Pacific, plus reports from the associated ISC Shark WG Workshops. </w:t>
      </w:r>
      <w:hyperlink r:id="rId16" w:history="1">
        <w:r w:rsidRPr="0002310F">
          <w:rPr>
            <w:rStyle w:val="Hyperlink"/>
            <w:rFonts w:cs="Arial"/>
            <w:lang w:val="en"/>
          </w:rPr>
          <w:t>https://wcpfc.int/node/4730</w:t>
        </w:r>
      </w:hyperlink>
      <w:r>
        <w:rPr>
          <w:rFonts w:cs="Arial"/>
          <w:lang w:val="en"/>
        </w:rPr>
        <w:t xml:space="preserve"> </w:t>
      </w:r>
    </w:p>
    <w:p w14:paraId="1D270D99" w14:textId="77777777" w:rsidR="007A3C81" w:rsidRDefault="007A3C81" w:rsidP="005C7178">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p>
    <w:p w14:paraId="7E416D3C" w14:textId="77777777" w:rsidR="007A3C81" w:rsidRDefault="007A3C81" w:rsidP="005C7178">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r>
        <w:rPr>
          <w:rFonts w:ascii="Times New Roman" w:eastAsia="MS Mincho" w:hAnsi="Times New Roman" w:cs="Times New Roman"/>
          <w:color w:val="000000"/>
          <w:lang w:val="en-NZ" w:eastAsia="en-NZ"/>
        </w:rPr>
        <w:t xml:space="preserve">SC3-SA-WP-07 </w:t>
      </w:r>
      <w:r w:rsidRPr="007A3C81">
        <w:rPr>
          <w:rFonts w:ascii="Times New Roman" w:eastAsia="MS Mincho" w:hAnsi="Times New Roman" w:cs="Times New Roman"/>
          <w:color w:val="000000"/>
          <w:lang w:val="en-NZ" w:eastAsia="en-NZ"/>
        </w:rPr>
        <w:t>North Pacific blue shark stock assessment</w:t>
      </w:r>
      <w:r>
        <w:rPr>
          <w:rFonts w:ascii="Times New Roman" w:eastAsia="MS Mincho" w:hAnsi="Times New Roman" w:cs="Times New Roman"/>
          <w:color w:val="000000"/>
          <w:lang w:val="en-NZ" w:eastAsia="en-NZ"/>
        </w:rPr>
        <w:t xml:space="preserve">. </w:t>
      </w:r>
      <w:hyperlink r:id="rId17" w:history="1">
        <w:r w:rsidRPr="00482870">
          <w:rPr>
            <w:rStyle w:val="Hyperlink"/>
            <w:rFonts w:ascii="Times New Roman" w:eastAsia="MS Mincho" w:hAnsi="Times New Roman" w:cs="Times New Roman"/>
            <w:lang w:val="en-NZ" w:eastAsia="en-NZ"/>
          </w:rPr>
          <w:t>https://wcpfc.int/node/2055</w:t>
        </w:r>
      </w:hyperlink>
      <w:r>
        <w:rPr>
          <w:rFonts w:ascii="Times New Roman" w:eastAsia="MS Mincho" w:hAnsi="Times New Roman" w:cs="Times New Roman"/>
          <w:color w:val="000000"/>
          <w:lang w:val="en-NZ" w:eastAsia="en-NZ"/>
        </w:rPr>
        <w:t xml:space="preserve">  </w:t>
      </w:r>
    </w:p>
    <w:p w14:paraId="2F08A204" w14:textId="77777777" w:rsidR="007A3C81" w:rsidRDefault="007A3C81" w:rsidP="005C7178">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p>
    <w:p w14:paraId="793C39CF" w14:textId="77777777" w:rsidR="007A3C81" w:rsidRDefault="007A3C81" w:rsidP="005C7178">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p>
    <w:p w14:paraId="1682A98C" w14:textId="77777777" w:rsidR="00303455" w:rsidRDefault="00303455" w:rsidP="005C7178">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p>
    <w:p w14:paraId="2DAF1057" w14:textId="77777777" w:rsidR="00B47D7F" w:rsidRPr="005C7178" w:rsidRDefault="00B47D7F" w:rsidP="005C7178">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p>
    <w:sectPr w:rsidR="00B47D7F" w:rsidRPr="005C7178" w:rsidSect="00400113">
      <w:footerReference w:type="default" r:id="rId18"/>
      <w:pgSz w:w="12240" w:h="15840"/>
      <w:pgMar w:top="1440" w:right="1440" w:bottom="1440" w:left="1440" w:header="0" w:footer="101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467367" w14:textId="77777777" w:rsidR="005A4994" w:rsidRDefault="005A4994" w:rsidP="005C2B8D">
      <w:pPr>
        <w:spacing w:after="0" w:line="240" w:lineRule="auto"/>
      </w:pPr>
      <w:r>
        <w:separator/>
      </w:r>
    </w:p>
  </w:endnote>
  <w:endnote w:type="continuationSeparator" w:id="0">
    <w:p w14:paraId="26089E8A" w14:textId="77777777" w:rsidR="005A4994" w:rsidRDefault="005A4994" w:rsidP="005C2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6353592"/>
      <w:docPartObj>
        <w:docPartGallery w:val="Page Numbers (Bottom of Page)"/>
        <w:docPartUnique/>
      </w:docPartObj>
    </w:sdtPr>
    <w:sdtEndPr>
      <w:rPr>
        <w:noProof/>
      </w:rPr>
    </w:sdtEndPr>
    <w:sdtContent>
      <w:p w14:paraId="5FCE5A3B" w14:textId="77777777" w:rsidR="00550074" w:rsidRDefault="00550074">
        <w:pPr>
          <w:pStyle w:val="Footer"/>
          <w:jc w:val="center"/>
        </w:pPr>
        <w:r>
          <w:fldChar w:fldCharType="begin"/>
        </w:r>
        <w:r>
          <w:instrText xml:space="preserve"> PAGE   \* MERGEFORMAT </w:instrText>
        </w:r>
        <w:r>
          <w:fldChar w:fldCharType="separate"/>
        </w:r>
        <w:r w:rsidR="00360E4B">
          <w:rPr>
            <w:noProof/>
          </w:rPr>
          <w:t>4</w:t>
        </w:r>
        <w:r>
          <w:rPr>
            <w:noProof/>
          </w:rPr>
          <w:fldChar w:fldCharType="end"/>
        </w:r>
      </w:p>
    </w:sdtContent>
  </w:sdt>
  <w:p w14:paraId="0A687D6D" w14:textId="77777777" w:rsidR="00550074" w:rsidRDefault="005500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8B8882" w14:textId="77777777" w:rsidR="005A4994" w:rsidRDefault="005A4994" w:rsidP="005C2B8D">
      <w:pPr>
        <w:spacing w:after="0" w:line="240" w:lineRule="auto"/>
      </w:pPr>
      <w:r>
        <w:separator/>
      </w:r>
    </w:p>
  </w:footnote>
  <w:footnote w:type="continuationSeparator" w:id="0">
    <w:p w14:paraId="33BA74CD" w14:textId="77777777" w:rsidR="005A4994" w:rsidRDefault="005A4994" w:rsidP="005C2B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917B6"/>
    <w:multiLevelType w:val="hybridMultilevel"/>
    <w:tmpl w:val="E5D49662"/>
    <w:lvl w:ilvl="0" w:tplc="CAF812E2">
      <w:start w:val="1"/>
      <w:numFmt w:val="lowerLetter"/>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0A744118"/>
    <w:multiLevelType w:val="hybridMultilevel"/>
    <w:tmpl w:val="92FA228A"/>
    <w:lvl w:ilvl="0" w:tplc="6A5E046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14507E"/>
    <w:multiLevelType w:val="hybridMultilevel"/>
    <w:tmpl w:val="6B3411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0774C8"/>
    <w:multiLevelType w:val="hybridMultilevel"/>
    <w:tmpl w:val="F58822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17383C"/>
    <w:multiLevelType w:val="hybridMultilevel"/>
    <w:tmpl w:val="2AEE34AE"/>
    <w:lvl w:ilvl="0" w:tplc="AC746B3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713112"/>
    <w:multiLevelType w:val="hybridMultilevel"/>
    <w:tmpl w:val="19A674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6763AFD"/>
    <w:multiLevelType w:val="hybridMultilevel"/>
    <w:tmpl w:val="5308CCC4"/>
    <w:lvl w:ilvl="0" w:tplc="E8E2DD8E">
      <w:start w:val="37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CC66EC"/>
    <w:multiLevelType w:val="hybridMultilevel"/>
    <w:tmpl w:val="48540C48"/>
    <w:lvl w:ilvl="0" w:tplc="8B0023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EC39F0"/>
    <w:multiLevelType w:val="hybridMultilevel"/>
    <w:tmpl w:val="DB3AD75A"/>
    <w:lvl w:ilvl="0" w:tplc="35CADB86">
      <w:start w:val="36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A16B26"/>
    <w:multiLevelType w:val="hybridMultilevel"/>
    <w:tmpl w:val="14CAD5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E13992"/>
    <w:multiLevelType w:val="hybridMultilevel"/>
    <w:tmpl w:val="B0984250"/>
    <w:lvl w:ilvl="0" w:tplc="BC2423B4">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09250E"/>
    <w:multiLevelType w:val="hybridMultilevel"/>
    <w:tmpl w:val="B8D448B0"/>
    <w:lvl w:ilvl="0" w:tplc="30F20AE8">
      <w:start w:val="377"/>
      <w:numFmt w:val="decimal"/>
      <w:pStyle w:val="WCPFC"/>
      <w:lvlText w:val="%1."/>
      <w:lvlJc w:val="left"/>
      <w:pPr>
        <w:ind w:left="567" w:hanging="567"/>
      </w:pPr>
      <w:rPr>
        <w:rFonts w:ascii="Times New Roman" w:hAnsi="Times New Roman" w:cs="Times New Roman" w:hint="default"/>
        <w:b w:val="0"/>
        <w:i w:val="0"/>
        <w:color w:val="auto"/>
        <w:sz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3B0A73B2">
      <w:start w:val="1"/>
      <w:numFmt w:val="upperLetter"/>
      <w:lvlText w:val="%4."/>
      <w:lvlJc w:val="left"/>
      <w:pPr>
        <w:ind w:left="2880" w:hanging="360"/>
      </w:p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3B334C78"/>
    <w:multiLevelType w:val="hybridMultilevel"/>
    <w:tmpl w:val="B0984250"/>
    <w:lvl w:ilvl="0" w:tplc="BC2423B4">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9515E6"/>
    <w:multiLevelType w:val="hybridMultilevel"/>
    <w:tmpl w:val="6B3411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5D58C0"/>
    <w:multiLevelType w:val="hybridMultilevel"/>
    <w:tmpl w:val="4C52674A"/>
    <w:lvl w:ilvl="0" w:tplc="9CEC773A">
      <w:start w:val="396"/>
      <w:numFmt w:val="decimal"/>
      <w:pStyle w:val="Best2"/>
      <w:lvlText w:val="%1."/>
      <w:lvlJc w:val="left"/>
      <w:pPr>
        <w:ind w:left="360" w:hanging="360"/>
      </w:pPr>
      <w:rPr>
        <w:rFonts w:hint="default"/>
      </w:rPr>
    </w:lvl>
    <w:lvl w:ilvl="1" w:tplc="0C090019">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15" w15:restartNumberingAfterBreak="0">
    <w:nsid w:val="44844032"/>
    <w:multiLevelType w:val="hybridMultilevel"/>
    <w:tmpl w:val="38547C34"/>
    <w:lvl w:ilvl="0" w:tplc="14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4A461A3E"/>
    <w:multiLevelType w:val="hybridMultilevel"/>
    <w:tmpl w:val="167CDF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5605ED"/>
    <w:multiLevelType w:val="hybridMultilevel"/>
    <w:tmpl w:val="E5D49662"/>
    <w:lvl w:ilvl="0" w:tplc="CAF812E2">
      <w:start w:val="1"/>
      <w:numFmt w:val="lowerLetter"/>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15:restartNumberingAfterBreak="0">
    <w:nsid w:val="4C0E739F"/>
    <w:multiLevelType w:val="hybridMultilevel"/>
    <w:tmpl w:val="14CAD5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EE0405"/>
    <w:multiLevelType w:val="hybridMultilevel"/>
    <w:tmpl w:val="71BA91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126600"/>
    <w:multiLevelType w:val="hybridMultilevel"/>
    <w:tmpl w:val="F26A5F06"/>
    <w:lvl w:ilvl="0" w:tplc="EFD2FA4C">
      <w:start w:val="313"/>
      <w:numFmt w:val="decimal"/>
      <w:lvlText w:val="%1."/>
      <w:lvlJc w:val="left"/>
      <w:pPr>
        <w:ind w:left="36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838AA5F0">
      <w:start w:val="1"/>
      <w:numFmt w:val="lowerLetter"/>
      <w:lvlText w:val="%4)"/>
      <w:lvlJc w:val="left"/>
      <w:pPr>
        <w:ind w:left="2880" w:hanging="360"/>
      </w:pPr>
      <w:rPr>
        <w:rFonts w:eastAsiaTheme="minorEastAsia" w:hint="default"/>
      </w:r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4DBE3EF0"/>
    <w:multiLevelType w:val="hybridMultilevel"/>
    <w:tmpl w:val="EA1484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CD4CB3"/>
    <w:multiLevelType w:val="hybridMultilevel"/>
    <w:tmpl w:val="F6081528"/>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AC30B7"/>
    <w:multiLevelType w:val="hybridMultilevel"/>
    <w:tmpl w:val="B0984250"/>
    <w:lvl w:ilvl="0" w:tplc="BC2423B4">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D709BA"/>
    <w:multiLevelType w:val="hybridMultilevel"/>
    <w:tmpl w:val="A4446AA6"/>
    <w:lvl w:ilvl="0" w:tplc="0C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7C0D20"/>
    <w:multiLevelType w:val="hybridMultilevel"/>
    <w:tmpl w:val="2A7C20A8"/>
    <w:lvl w:ilvl="0" w:tplc="ECBA5F2A">
      <w:start w:val="228"/>
      <w:numFmt w:val="decimal"/>
      <w:pStyle w:val="favourite"/>
      <w:lvlText w:val="%1."/>
      <w:lvlJc w:val="left"/>
      <w:pPr>
        <w:ind w:left="1800" w:hanging="360"/>
      </w:pPr>
      <w:rPr>
        <w:rFonts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14090019">
      <w:start w:val="1"/>
      <w:numFmt w:val="lowerLetter"/>
      <w:lvlText w:val="%2."/>
      <w:lvlJc w:val="left"/>
      <w:pPr>
        <w:ind w:left="2520" w:hanging="360"/>
      </w:pPr>
    </w:lvl>
    <w:lvl w:ilvl="2" w:tplc="1409001B">
      <w:start w:val="1"/>
      <w:numFmt w:val="lowerRoman"/>
      <w:lvlText w:val="%3."/>
      <w:lvlJc w:val="right"/>
      <w:pPr>
        <w:ind w:left="3240" w:hanging="180"/>
      </w:pPr>
    </w:lvl>
    <w:lvl w:ilvl="3" w:tplc="1409000F">
      <w:start w:val="1"/>
      <w:numFmt w:val="decimal"/>
      <w:lvlText w:val="%4."/>
      <w:lvlJc w:val="left"/>
      <w:pPr>
        <w:ind w:left="3960" w:hanging="360"/>
      </w:pPr>
    </w:lvl>
    <w:lvl w:ilvl="4" w:tplc="6E52C89C">
      <w:start w:val="1"/>
      <w:numFmt w:val="lowerLetter"/>
      <w:lvlText w:val="%5)"/>
      <w:lvlJc w:val="left"/>
      <w:pPr>
        <w:ind w:left="4680" w:hanging="360"/>
      </w:pPr>
      <w:rPr>
        <w:rFonts w:hint="default"/>
      </w:r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26" w15:restartNumberingAfterBreak="0">
    <w:nsid w:val="665E6A11"/>
    <w:multiLevelType w:val="hybridMultilevel"/>
    <w:tmpl w:val="AEE88892"/>
    <w:lvl w:ilvl="0" w:tplc="6958DAC8">
      <w:start w:val="1"/>
      <w:numFmt w:val="lowerLetter"/>
      <w:lvlText w:val="%1."/>
      <w:lvlJc w:val="left"/>
      <w:pPr>
        <w:ind w:left="411" w:hanging="360"/>
      </w:pPr>
      <w:rPr>
        <w:rFonts w:hint="default"/>
      </w:rPr>
    </w:lvl>
    <w:lvl w:ilvl="1" w:tplc="04090019" w:tentative="1">
      <w:start w:val="1"/>
      <w:numFmt w:val="lowerLetter"/>
      <w:lvlText w:val="%2."/>
      <w:lvlJc w:val="left"/>
      <w:pPr>
        <w:ind w:left="1131" w:hanging="360"/>
      </w:pPr>
    </w:lvl>
    <w:lvl w:ilvl="2" w:tplc="0409001B" w:tentative="1">
      <w:start w:val="1"/>
      <w:numFmt w:val="lowerRoman"/>
      <w:lvlText w:val="%3."/>
      <w:lvlJc w:val="right"/>
      <w:pPr>
        <w:ind w:left="1851" w:hanging="180"/>
      </w:pPr>
    </w:lvl>
    <w:lvl w:ilvl="3" w:tplc="0409000F" w:tentative="1">
      <w:start w:val="1"/>
      <w:numFmt w:val="decimal"/>
      <w:lvlText w:val="%4."/>
      <w:lvlJc w:val="left"/>
      <w:pPr>
        <w:ind w:left="2571" w:hanging="360"/>
      </w:pPr>
    </w:lvl>
    <w:lvl w:ilvl="4" w:tplc="04090019" w:tentative="1">
      <w:start w:val="1"/>
      <w:numFmt w:val="lowerLetter"/>
      <w:lvlText w:val="%5."/>
      <w:lvlJc w:val="left"/>
      <w:pPr>
        <w:ind w:left="3291" w:hanging="360"/>
      </w:pPr>
    </w:lvl>
    <w:lvl w:ilvl="5" w:tplc="0409001B" w:tentative="1">
      <w:start w:val="1"/>
      <w:numFmt w:val="lowerRoman"/>
      <w:lvlText w:val="%6."/>
      <w:lvlJc w:val="right"/>
      <w:pPr>
        <w:ind w:left="4011" w:hanging="180"/>
      </w:pPr>
    </w:lvl>
    <w:lvl w:ilvl="6" w:tplc="0409000F" w:tentative="1">
      <w:start w:val="1"/>
      <w:numFmt w:val="decimal"/>
      <w:lvlText w:val="%7."/>
      <w:lvlJc w:val="left"/>
      <w:pPr>
        <w:ind w:left="4731" w:hanging="360"/>
      </w:pPr>
    </w:lvl>
    <w:lvl w:ilvl="7" w:tplc="04090019" w:tentative="1">
      <w:start w:val="1"/>
      <w:numFmt w:val="lowerLetter"/>
      <w:lvlText w:val="%8."/>
      <w:lvlJc w:val="left"/>
      <w:pPr>
        <w:ind w:left="5451" w:hanging="360"/>
      </w:pPr>
    </w:lvl>
    <w:lvl w:ilvl="8" w:tplc="0409001B" w:tentative="1">
      <w:start w:val="1"/>
      <w:numFmt w:val="lowerRoman"/>
      <w:lvlText w:val="%9."/>
      <w:lvlJc w:val="right"/>
      <w:pPr>
        <w:ind w:left="6171" w:hanging="180"/>
      </w:pPr>
    </w:lvl>
  </w:abstractNum>
  <w:abstractNum w:abstractNumId="27" w15:restartNumberingAfterBreak="0">
    <w:nsid w:val="69512351"/>
    <w:multiLevelType w:val="hybridMultilevel"/>
    <w:tmpl w:val="23361BD4"/>
    <w:lvl w:ilvl="0" w:tplc="A776E314">
      <w:start w:val="256"/>
      <w:numFmt w:val="decimal"/>
      <w:lvlText w:val="%1."/>
      <w:lvlJc w:val="left"/>
      <w:pPr>
        <w:ind w:left="630" w:hanging="360"/>
      </w:pPr>
      <w:rPr>
        <w:rFonts w:hint="default"/>
      </w:rPr>
    </w:lvl>
    <w:lvl w:ilvl="1" w:tplc="0C090001">
      <w:start w:val="1"/>
      <w:numFmt w:val="bullet"/>
      <w:lvlText w:val=""/>
      <w:lvlJc w:val="left"/>
      <w:pPr>
        <w:ind w:left="1440" w:hanging="360"/>
      </w:pPr>
      <w:rPr>
        <w:rFonts w:ascii="Symbol" w:hAnsi="Symbol" w:hint="default"/>
      </w:rPr>
    </w:lvl>
    <w:lvl w:ilvl="2" w:tplc="D06C5A82">
      <w:start w:val="1"/>
      <w:numFmt w:val="lowerRoman"/>
      <w:lvlText w:val="%3)"/>
      <w:lvlJc w:val="left"/>
      <w:pPr>
        <w:ind w:left="2700" w:hanging="720"/>
      </w:pPr>
      <w:rPr>
        <w:rFonts w:hint="default"/>
      </w:rPr>
    </w:lvl>
    <w:lvl w:ilvl="3" w:tplc="42007110">
      <w:start w:val="1"/>
      <w:numFmt w:val="lowerLetter"/>
      <w:lvlText w:val="%4)"/>
      <w:lvlJc w:val="left"/>
      <w:pPr>
        <w:ind w:left="2880" w:hanging="360"/>
      </w:pPr>
      <w:rPr>
        <w:rFonts w:hint="default"/>
      </w:r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6B1E2A69"/>
    <w:multiLevelType w:val="hybridMultilevel"/>
    <w:tmpl w:val="4CF4996E"/>
    <w:lvl w:ilvl="0" w:tplc="059696A6">
      <w:start w:val="33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DE2008"/>
    <w:multiLevelType w:val="hybridMultilevel"/>
    <w:tmpl w:val="3B2EC0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9615A1"/>
    <w:multiLevelType w:val="hybridMultilevel"/>
    <w:tmpl w:val="11CE7A62"/>
    <w:lvl w:ilvl="0" w:tplc="BC2423B4">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10221E"/>
    <w:multiLevelType w:val="hybridMultilevel"/>
    <w:tmpl w:val="C636B058"/>
    <w:lvl w:ilvl="0" w:tplc="3FA88E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11"/>
  </w:num>
  <w:num w:numId="3">
    <w:abstractNumId w:val="5"/>
  </w:num>
  <w:num w:numId="4">
    <w:abstractNumId w:val="16"/>
  </w:num>
  <w:num w:numId="5">
    <w:abstractNumId w:val="0"/>
  </w:num>
  <w:num w:numId="6">
    <w:abstractNumId w:val="11"/>
    <w:lvlOverride w:ilvl="0">
      <w:startOverride w:val="393"/>
    </w:lvlOverride>
  </w:num>
  <w:num w:numId="7">
    <w:abstractNumId w:val="17"/>
  </w:num>
  <w:num w:numId="8">
    <w:abstractNumId w:val="21"/>
  </w:num>
  <w:num w:numId="9">
    <w:abstractNumId w:val="26"/>
  </w:num>
  <w:num w:numId="10">
    <w:abstractNumId w:val="15"/>
  </w:num>
  <w:num w:numId="11">
    <w:abstractNumId w:val="30"/>
  </w:num>
  <w:num w:numId="12">
    <w:abstractNumId w:val="11"/>
  </w:num>
  <w:num w:numId="13">
    <w:abstractNumId w:val="10"/>
  </w:num>
  <w:num w:numId="14">
    <w:abstractNumId w:val="12"/>
  </w:num>
  <w:num w:numId="15">
    <w:abstractNumId w:val="23"/>
  </w:num>
  <w:num w:numId="16">
    <w:abstractNumId w:val="24"/>
  </w:num>
  <w:num w:numId="17">
    <w:abstractNumId w:val="7"/>
  </w:num>
  <w:num w:numId="18">
    <w:abstractNumId w:val="3"/>
  </w:num>
  <w:num w:numId="19">
    <w:abstractNumId w:val="6"/>
  </w:num>
  <w:num w:numId="20">
    <w:abstractNumId w:val="8"/>
  </w:num>
  <w:num w:numId="21">
    <w:abstractNumId w:val="13"/>
  </w:num>
  <w:num w:numId="22">
    <w:abstractNumId w:val="11"/>
  </w:num>
  <w:num w:numId="23">
    <w:abstractNumId w:val="11"/>
  </w:num>
  <w:num w:numId="24">
    <w:abstractNumId w:val="2"/>
  </w:num>
  <w:num w:numId="25">
    <w:abstractNumId w:val="11"/>
  </w:num>
  <w:num w:numId="26">
    <w:abstractNumId w:val="11"/>
  </w:num>
  <w:num w:numId="27">
    <w:abstractNumId w:val="28"/>
  </w:num>
  <w:num w:numId="28">
    <w:abstractNumId w:val="14"/>
  </w:num>
  <w:num w:numId="29">
    <w:abstractNumId w:val="11"/>
  </w:num>
  <w:num w:numId="30">
    <w:abstractNumId w:val="11"/>
  </w:num>
  <w:num w:numId="31">
    <w:abstractNumId w:val="14"/>
  </w:num>
  <w:num w:numId="32">
    <w:abstractNumId w:val="25"/>
  </w:num>
  <w:num w:numId="33">
    <w:abstractNumId w:val="4"/>
  </w:num>
  <w:num w:numId="34">
    <w:abstractNumId w:val="14"/>
  </w:num>
  <w:num w:numId="35">
    <w:abstractNumId w:val="14"/>
  </w:num>
  <w:num w:numId="36">
    <w:abstractNumId w:val="14"/>
    <w:lvlOverride w:ilvl="0">
      <w:startOverride w:val="208"/>
    </w:lvlOverride>
  </w:num>
  <w:num w:numId="37">
    <w:abstractNumId w:val="27"/>
  </w:num>
  <w:num w:numId="38">
    <w:abstractNumId w:val="22"/>
  </w:num>
  <w:num w:numId="39">
    <w:abstractNumId w:val="25"/>
  </w:num>
  <w:num w:numId="40">
    <w:abstractNumId w:val="9"/>
  </w:num>
  <w:num w:numId="41">
    <w:abstractNumId w:val="11"/>
  </w:num>
  <w:num w:numId="42">
    <w:abstractNumId w:val="18"/>
  </w:num>
  <w:num w:numId="43">
    <w:abstractNumId w:val="11"/>
  </w:num>
  <w:num w:numId="44">
    <w:abstractNumId w:val="19"/>
  </w:num>
  <w:num w:numId="45">
    <w:abstractNumId w:val="31"/>
  </w:num>
  <w:num w:numId="46">
    <w:abstractNumId w:val="29"/>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5DF"/>
    <w:rsid w:val="00013F4E"/>
    <w:rsid w:val="00027DC2"/>
    <w:rsid w:val="0008530D"/>
    <w:rsid w:val="000B2D74"/>
    <w:rsid w:val="000D2149"/>
    <w:rsid w:val="000E1F2B"/>
    <w:rsid w:val="000E24F7"/>
    <w:rsid w:val="000F101D"/>
    <w:rsid w:val="00134D7E"/>
    <w:rsid w:val="0014362A"/>
    <w:rsid w:val="0015000E"/>
    <w:rsid w:val="001B44D1"/>
    <w:rsid w:val="001B724A"/>
    <w:rsid w:val="00266FF1"/>
    <w:rsid w:val="00295F2F"/>
    <w:rsid w:val="002D086C"/>
    <w:rsid w:val="002F2B83"/>
    <w:rsid w:val="00303455"/>
    <w:rsid w:val="003060E3"/>
    <w:rsid w:val="00360E4B"/>
    <w:rsid w:val="0038238E"/>
    <w:rsid w:val="003B07D4"/>
    <w:rsid w:val="003C4931"/>
    <w:rsid w:val="003F50D6"/>
    <w:rsid w:val="00400113"/>
    <w:rsid w:val="00416473"/>
    <w:rsid w:val="004B05DF"/>
    <w:rsid w:val="004C0F6A"/>
    <w:rsid w:val="004C1EE5"/>
    <w:rsid w:val="004C4F3D"/>
    <w:rsid w:val="004D1F0E"/>
    <w:rsid w:val="004F5329"/>
    <w:rsid w:val="004F5506"/>
    <w:rsid w:val="005374AB"/>
    <w:rsid w:val="00550074"/>
    <w:rsid w:val="005A4994"/>
    <w:rsid w:val="005A5AA1"/>
    <w:rsid w:val="005A7989"/>
    <w:rsid w:val="005B1A1E"/>
    <w:rsid w:val="005C2B8D"/>
    <w:rsid w:val="005C7178"/>
    <w:rsid w:val="005D7BB0"/>
    <w:rsid w:val="00601C1F"/>
    <w:rsid w:val="00643A67"/>
    <w:rsid w:val="006515DB"/>
    <w:rsid w:val="006A51C4"/>
    <w:rsid w:val="006D1BC2"/>
    <w:rsid w:val="00705D60"/>
    <w:rsid w:val="00713FF9"/>
    <w:rsid w:val="0073054D"/>
    <w:rsid w:val="007618DB"/>
    <w:rsid w:val="007766EA"/>
    <w:rsid w:val="00786006"/>
    <w:rsid w:val="007A3C81"/>
    <w:rsid w:val="007A432D"/>
    <w:rsid w:val="007B6CCE"/>
    <w:rsid w:val="007F00F1"/>
    <w:rsid w:val="007F084A"/>
    <w:rsid w:val="007F3A49"/>
    <w:rsid w:val="00845FD5"/>
    <w:rsid w:val="0086258F"/>
    <w:rsid w:val="00867480"/>
    <w:rsid w:val="008B54F2"/>
    <w:rsid w:val="0093435F"/>
    <w:rsid w:val="0095454E"/>
    <w:rsid w:val="009C1672"/>
    <w:rsid w:val="00A71C99"/>
    <w:rsid w:val="00AF7F98"/>
    <w:rsid w:val="00B45E24"/>
    <w:rsid w:val="00B47D7F"/>
    <w:rsid w:val="00B74433"/>
    <w:rsid w:val="00BD56FE"/>
    <w:rsid w:val="00BF2822"/>
    <w:rsid w:val="00BF2D94"/>
    <w:rsid w:val="00BF5825"/>
    <w:rsid w:val="00C01084"/>
    <w:rsid w:val="00C64AF4"/>
    <w:rsid w:val="00CA10E5"/>
    <w:rsid w:val="00CC3DC6"/>
    <w:rsid w:val="00CC59BE"/>
    <w:rsid w:val="00CF0B93"/>
    <w:rsid w:val="00D4373F"/>
    <w:rsid w:val="00D84C45"/>
    <w:rsid w:val="00D97911"/>
    <w:rsid w:val="00DC50D2"/>
    <w:rsid w:val="00E15B3B"/>
    <w:rsid w:val="00E275CA"/>
    <w:rsid w:val="00EC42F8"/>
    <w:rsid w:val="00F528D9"/>
    <w:rsid w:val="00F535CC"/>
    <w:rsid w:val="00FB657D"/>
    <w:rsid w:val="00FC2C77"/>
    <w:rsid w:val="00FE2EF7"/>
    <w:rsid w:val="00FF6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420A0"/>
  <w15:chartTrackingRefBased/>
  <w15:docId w15:val="{59C73EB7-BA29-4ED8-84F2-A975266B1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05D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1647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5C2B8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374AB"/>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7">
    <w:name w:val="heading 7"/>
    <w:basedOn w:val="Normal"/>
    <w:next w:val="Normal"/>
    <w:link w:val="Heading7Char"/>
    <w:uiPriority w:val="9"/>
    <w:semiHidden/>
    <w:unhideWhenUsed/>
    <w:qFormat/>
    <w:rsid w:val="005374AB"/>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05DF"/>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4B05DF"/>
    <w:pPr>
      <w:outlineLvl w:val="9"/>
    </w:pPr>
  </w:style>
  <w:style w:type="paragraph" w:styleId="TOC1">
    <w:name w:val="toc 1"/>
    <w:basedOn w:val="Normal"/>
    <w:next w:val="Normal"/>
    <w:autoRedefine/>
    <w:uiPriority w:val="39"/>
    <w:unhideWhenUsed/>
    <w:rsid w:val="004B05DF"/>
    <w:pPr>
      <w:spacing w:after="100"/>
    </w:pPr>
  </w:style>
  <w:style w:type="character" w:styleId="Hyperlink">
    <w:name w:val="Hyperlink"/>
    <w:basedOn w:val="DefaultParagraphFont"/>
    <w:uiPriority w:val="99"/>
    <w:unhideWhenUsed/>
    <w:rsid w:val="004B05DF"/>
    <w:rPr>
      <w:color w:val="0563C1" w:themeColor="hyperlink"/>
      <w:u w:val="single"/>
    </w:rPr>
  </w:style>
  <w:style w:type="paragraph" w:styleId="Caption">
    <w:name w:val="caption"/>
    <w:basedOn w:val="Normal"/>
    <w:next w:val="Normal"/>
    <w:link w:val="CaptionChar"/>
    <w:uiPriority w:val="35"/>
    <w:unhideWhenUsed/>
    <w:qFormat/>
    <w:rsid w:val="004B05DF"/>
    <w:pPr>
      <w:spacing w:after="200" w:line="240" w:lineRule="auto"/>
    </w:pPr>
    <w:rPr>
      <w:i/>
      <w:iCs/>
      <w:color w:val="44546A" w:themeColor="text2"/>
      <w:sz w:val="18"/>
      <w:szCs w:val="18"/>
    </w:rPr>
  </w:style>
  <w:style w:type="character" w:customStyle="1" w:styleId="Heading5Char">
    <w:name w:val="Heading 5 Char"/>
    <w:basedOn w:val="DefaultParagraphFont"/>
    <w:link w:val="Heading5"/>
    <w:uiPriority w:val="9"/>
    <w:semiHidden/>
    <w:rsid w:val="005374AB"/>
    <w:rPr>
      <w:rFonts w:asciiTheme="majorHAnsi" w:eastAsiaTheme="majorEastAsia" w:hAnsiTheme="majorHAnsi" w:cstheme="majorBidi"/>
      <w:color w:val="2F5496" w:themeColor="accent1" w:themeShade="BF"/>
    </w:rPr>
  </w:style>
  <w:style w:type="character" w:customStyle="1" w:styleId="Heading7Char">
    <w:name w:val="Heading 7 Char"/>
    <w:basedOn w:val="DefaultParagraphFont"/>
    <w:link w:val="Heading7"/>
    <w:uiPriority w:val="9"/>
    <w:semiHidden/>
    <w:rsid w:val="005374AB"/>
    <w:rPr>
      <w:rFonts w:asciiTheme="majorHAnsi" w:eastAsiaTheme="majorEastAsia" w:hAnsiTheme="majorHAnsi" w:cstheme="majorBidi"/>
      <w:i/>
      <w:iCs/>
      <w:color w:val="1F3763" w:themeColor="accent1" w:themeShade="7F"/>
    </w:rPr>
  </w:style>
  <w:style w:type="character" w:styleId="Mention">
    <w:name w:val="Mention"/>
    <w:basedOn w:val="DefaultParagraphFont"/>
    <w:uiPriority w:val="99"/>
    <w:semiHidden/>
    <w:unhideWhenUsed/>
    <w:rsid w:val="005374AB"/>
    <w:rPr>
      <w:color w:val="2B579A"/>
      <w:shd w:val="clear" w:color="auto" w:fill="E6E6E6"/>
    </w:rPr>
  </w:style>
  <w:style w:type="character" w:customStyle="1" w:styleId="Heading4Char">
    <w:name w:val="Heading 4 Char"/>
    <w:basedOn w:val="DefaultParagraphFont"/>
    <w:link w:val="Heading4"/>
    <w:uiPriority w:val="9"/>
    <w:semiHidden/>
    <w:rsid w:val="005C2B8D"/>
    <w:rPr>
      <w:rFonts w:asciiTheme="majorHAnsi" w:eastAsiaTheme="majorEastAsia" w:hAnsiTheme="majorHAnsi" w:cstheme="majorBidi"/>
      <w:i/>
      <w:iCs/>
      <w:color w:val="2F5496" w:themeColor="accent1" w:themeShade="BF"/>
    </w:rPr>
  </w:style>
  <w:style w:type="paragraph" w:customStyle="1" w:styleId="FootnoteText1">
    <w:name w:val="Footnote Text1"/>
    <w:basedOn w:val="Normal"/>
    <w:next w:val="FootnoteText"/>
    <w:link w:val="FootnoteTextChar"/>
    <w:uiPriority w:val="99"/>
    <w:semiHidden/>
    <w:unhideWhenUsed/>
    <w:rsid w:val="0073054D"/>
    <w:pPr>
      <w:spacing w:after="0" w:line="240" w:lineRule="auto"/>
    </w:pPr>
    <w:rPr>
      <w:sz w:val="20"/>
      <w:szCs w:val="20"/>
    </w:rPr>
  </w:style>
  <w:style w:type="character" w:customStyle="1" w:styleId="FootnoteTextChar">
    <w:name w:val="Footnote Text Char"/>
    <w:basedOn w:val="DefaultParagraphFont"/>
    <w:link w:val="FootnoteText1"/>
    <w:semiHidden/>
    <w:rsid w:val="0073054D"/>
    <w:rPr>
      <w:sz w:val="20"/>
      <w:szCs w:val="20"/>
    </w:rPr>
  </w:style>
  <w:style w:type="character" w:styleId="FootnoteReference">
    <w:name w:val="footnote reference"/>
    <w:basedOn w:val="DefaultParagraphFont"/>
    <w:unhideWhenUsed/>
    <w:rsid w:val="0073054D"/>
    <w:rPr>
      <w:vertAlign w:val="superscript"/>
    </w:rPr>
  </w:style>
  <w:style w:type="table" w:customStyle="1" w:styleId="TableGrid3">
    <w:name w:val="Table Grid3"/>
    <w:basedOn w:val="TableNormal"/>
    <w:next w:val="TableGrid"/>
    <w:rsid w:val="0073054D"/>
    <w:pPr>
      <w:spacing w:after="0" w:line="240" w:lineRule="auto"/>
    </w:pPr>
    <w:rPr>
      <w:rFonts w:eastAsia="MS Mincho"/>
      <w:lang w:val="en-NZ" w:eastAsia="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1"/>
    <w:semiHidden/>
    <w:unhideWhenUsed/>
    <w:rsid w:val="0073054D"/>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73054D"/>
    <w:rPr>
      <w:sz w:val="20"/>
      <w:szCs w:val="20"/>
    </w:rPr>
  </w:style>
  <w:style w:type="table" w:styleId="TableGrid">
    <w:name w:val="Table Grid"/>
    <w:basedOn w:val="TableNormal"/>
    <w:uiPriority w:val="59"/>
    <w:rsid w:val="00730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00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074"/>
  </w:style>
  <w:style w:type="paragraph" w:styleId="Footer">
    <w:name w:val="footer"/>
    <w:basedOn w:val="Normal"/>
    <w:link w:val="FooterChar"/>
    <w:uiPriority w:val="99"/>
    <w:unhideWhenUsed/>
    <w:rsid w:val="005500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074"/>
  </w:style>
  <w:style w:type="character" w:customStyle="1" w:styleId="WCPFCChar">
    <w:name w:val="WCPFC Char"/>
    <w:link w:val="WCPFC"/>
    <w:locked/>
    <w:rsid w:val="0038238E"/>
    <w:rPr>
      <w:rFonts w:ascii="Times New Roman" w:hAnsi="Times New Roman"/>
      <w:lang w:val="en-NZ" w:eastAsia="en-NZ"/>
    </w:rPr>
  </w:style>
  <w:style w:type="paragraph" w:customStyle="1" w:styleId="WCPFC">
    <w:name w:val="WCPFC"/>
    <w:link w:val="WCPFCChar"/>
    <w:qFormat/>
    <w:rsid w:val="0038238E"/>
    <w:pPr>
      <w:numPr>
        <w:numId w:val="2"/>
      </w:numPr>
      <w:snapToGrid w:val="0"/>
      <w:spacing w:after="240" w:line="240" w:lineRule="auto"/>
      <w:jc w:val="both"/>
    </w:pPr>
    <w:rPr>
      <w:rFonts w:ascii="Times New Roman" w:hAnsi="Times New Roman"/>
      <w:lang w:val="en-NZ" w:eastAsia="en-NZ"/>
    </w:rPr>
  </w:style>
  <w:style w:type="paragraph" w:styleId="ListParagraph">
    <w:name w:val="List Paragraph"/>
    <w:aliases w:val="123 List Paragraph,List Paragraph1,Recommendation,List Paragraph11,List Paragraph2,Colorful List - Accent 11,Colorful List - Accent 12"/>
    <w:basedOn w:val="Normal"/>
    <w:link w:val="ListParagraphChar"/>
    <w:uiPriority w:val="1"/>
    <w:qFormat/>
    <w:rsid w:val="0038238E"/>
    <w:pPr>
      <w:spacing w:after="0" w:line="240" w:lineRule="auto"/>
      <w:ind w:left="720" w:hanging="720"/>
      <w:contextualSpacing/>
      <w:jc w:val="both"/>
    </w:pPr>
    <w:rPr>
      <w:rFonts w:ascii="Calibri" w:eastAsiaTheme="minorEastAsia" w:hAnsi="Calibri" w:cs="Times New Roman"/>
      <w:lang w:val="en-NZ"/>
    </w:rPr>
  </w:style>
  <w:style w:type="character" w:customStyle="1" w:styleId="ListParagraphChar">
    <w:name w:val="List Paragraph Char"/>
    <w:aliases w:val="123 List Paragraph Char,List Paragraph1 Char,Recommendation Char,List Paragraph11 Char,List Paragraph2 Char,Colorful List - Accent 11 Char,Colorful List - Accent 12 Char"/>
    <w:link w:val="ListParagraph"/>
    <w:uiPriority w:val="34"/>
    <w:locked/>
    <w:rsid w:val="0038238E"/>
    <w:rPr>
      <w:rFonts w:ascii="Calibri" w:eastAsiaTheme="minorEastAsia" w:hAnsi="Calibri" w:cs="Times New Roman"/>
      <w:lang w:val="en-NZ"/>
    </w:rPr>
  </w:style>
  <w:style w:type="paragraph" w:styleId="BodyText">
    <w:name w:val="Body Text"/>
    <w:basedOn w:val="Normal"/>
    <w:link w:val="BodyTextChar"/>
    <w:uiPriority w:val="1"/>
    <w:qFormat/>
    <w:rsid w:val="003F50D6"/>
    <w:pPr>
      <w:widowControl w:val="0"/>
      <w:spacing w:after="0" w:line="240" w:lineRule="auto"/>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3F50D6"/>
    <w:rPr>
      <w:rFonts w:ascii="Times New Roman" w:eastAsia="Times New Roman" w:hAnsi="Times New Roman"/>
      <w:sz w:val="24"/>
      <w:szCs w:val="24"/>
    </w:rPr>
  </w:style>
  <w:style w:type="paragraph" w:customStyle="1" w:styleId="TableParagraph">
    <w:name w:val="Table Paragraph"/>
    <w:basedOn w:val="Normal"/>
    <w:uiPriority w:val="1"/>
    <w:qFormat/>
    <w:rsid w:val="003F50D6"/>
    <w:pPr>
      <w:widowControl w:val="0"/>
      <w:spacing w:after="0" w:line="240" w:lineRule="auto"/>
    </w:pPr>
  </w:style>
  <w:style w:type="character" w:styleId="UnresolvedMention">
    <w:name w:val="Unresolved Mention"/>
    <w:basedOn w:val="DefaultParagraphFont"/>
    <w:uiPriority w:val="99"/>
    <w:semiHidden/>
    <w:unhideWhenUsed/>
    <w:rsid w:val="00416473"/>
    <w:rPr>
      <w:color w:val="808080"/>
      <w:shd w:val="clear" w:color="auto" w:fill="E6E6E6"/>
    </w:rPr>
  </w:style>
  <w:style w:type="paragraph" w:customStyle="1" w:styleId="Default">
    <w:name w:val="Default"/>
    <w:link w:val="DefaultChar"/>
    <w:rsid w:val="00416473"/>
    <w:pPr>
      <w:autoSpaceDE w:val="0"/>
      <w:autoSpaceDN w:val="0"/>
      <w:adjustRightInd w:val="0"/>
      <w:spacing w:after="0" w:line="240" w:lineRule="auto"/>
    </w:pPr>
    <w:rPr>
      <w:rFonts w:ascii="Times New Roman" w:eastAsiaTheme="minorEastAsia" w:hAnsi="Times New Roman" w:cs="Times New Roman"/>
      <w:color w:val="000000"/>
      <w:sz w:val="24"/>
      <w:szCs w:val="24"/>
      <w:lang w:val="en-NZ" w:eastAsia="en-NZ"/>
    </w:rPr>
  </w:style>
  <w:style w:type="paragraph" w:styleId="PlainText">
    <w:name w:val="Plain Text"/>
    <w:basedOn w:val="Normal"/>
    <w:link w:val="PlainTextChar"/>
    <w:uiPriority w:val="99"/>
    <w:unhideWhenUsed/>
    <w:rsid w:val="00416473"/>
    <w:pPr>
      <w:spacing w:after="0" w:line="240" w:lineRule="auto"/>
    </w:pPr>
    <w:rPr>
      <w:rFonts w:ascii="Consolas" w:eastAsiaTheme="minorEastAsia" w:hAnsi="Consolas"/>
      <w:sz w:val="21"/>
      <w:szCs w:val="21"/>
      <w:lang w:val="en-NZ" w:eastAsia="en-NZ"/>
    </w:rPr>
  </w:style>
  <w:style w:type="character" w:customStyle="1" w:styleId="PlainTextChar">
    <w:name w:val="Plain Text Char"/>
    <w:basedOn w:val="DefaultParagraphFont"/>
    <w:link w:val="PlainText"/>
    <w:uiPriority w:val="99"/>
    <w:rsid w:val="00416473"/>
    <w:rPr>
      <w:rFonts w:ascii="Consolas" w:eastAsiaTheme="minorEastAsia" w:hAnsi="Consolas"/>
      <w:sz w:val="21"/>
      <w:szCs w:val="21"/>
      <w:lang w:val="en-NZ" w:eastAsia="en-NZ"/>
    </w:rPr>
  </w:style>
  <w:style w:type="paragraph" w:styleId="NoSpacing">
    <w:name w:val="No Spacing"/>
    <w:uiPriority w:val="1"/>
    <w:qFormat/>
    <w:rsid w:val="00416473"/>
    <w:pPr>
      <w:spacing w:after="0" w:line="240" w:lineRule="auto"/>
    </w:pPr>
    <w:rPr>
      <w:rFonts w:eastAsiaTheme="minorEastAsia"/>
      <w:lang w:val="en-NZ" w:eastAsia="en-NZ"/>
    </w:rPr>
  </w:style>
  <w:style w:type="character" w:customStyle="1" w:styleId="DefaultChar">
    <w:name w:val="Default Char"/>
    <w:basedOn w:val="DefaultParagraphFont"/>
    <w:link w:val="Default"/>
    <w:locked/>
    <w:rsid w:val="00416473"/>
    <w:rPr>
      <w:rFonts w:ascii="Times New Roman" w:eastAsiaTheme="minorEastAsia" w:hAnsi="Times New Roman" w:cs="Times New Roman"/>
      <w:color w:val="000000"/>
      <w:sz w:val="24"/>
      <w:szCs w:val="24"/>
      <w:lang w:val="en-NZ" w:eastAsia="en-NZ"/>
    </w:rPr>
  </w:style>
  <w:style w:type="character" w:customStyle="1" w:styleId="Heading2Char">
    <w:name w:val="Heading 2 Char"/>
    <w:basedOn w:val="DefaultParagraphFont"/>
    <w:link w:val="Heading2"/>
    <w:uiPriority w:val="9"/>
    <w:semiHidden/>
    <w:rsid w:val="00416473"/>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5C7178"/>
    <w:pPr>
      <w:spacing w:after="100"/>
      <w:ind w:left="220"/>
    </w:pPr>
  </w:style>
  <w:style w:type="paragraph" w:styleId="CommentText">
    <w:name w:val="annotation text"/>
    <w:basedOn w:val="Normal"/>
    <w:link w:val="CommentTextChar"/>
    <w:uiPriority w:val="99"/>
    <w:unhideWhenUsed/>
    <w:rsid w:val="004F5329"/>
    <w:pPr>
      <w:spacing w:after="240" w:line="240" w:lineRule="auto"/>
      <w:jc w:val="both"/>
    </w:pPr>
    <w:rPr>
      <w:rFonts w:ascii="Calibri" w:eastAsiaTheme="minorEastAsia" w:hAnsi="Calibri" w:cs="Times New Roman"/>
      <w:sz w:val="20"/>
      <w:szCs w:val="20"/>
      <w:lang w:val="en-NZ"/>
    </w:rPr>
  </w:style>
  <w:style w:type="character" w:customStyle="1" w:styleId="CommentTextChar">
    <w:name w:val="Comment Text Char"/>
    <w:basedOn w:val="DefaultParagraphFont"/>
    <w:link w:val="CommentText"/>
    <w:uiPriority w:val="99"/>
    <w:rsid w:val="004F5329"/>
    <w:rPr>
      <w:rFonts w:ascii="Calibri" w:eastAsiaTheme="minorEastAsia" w:hAnsi="Calibri" w:cs="Times New Roman"/>
      <w:sz w:val="20"/>
      <w:szCs w:val="20"/>
      <w:lang w:val="en-NZ"/>
    </w:rPr>
  </w:style>
  <w:style w:type="paragraph" w:customStyle="1" w:styleId="Best2">
    <w:name w:val="Best2"/>
    <w:basedOn w:val="Normal"/>
    <w:link w:val="Best2Char"/>
    <w:qFormat/>
    <w:rsid w:val="00786006"/>
    <w:pPr>
      <w:numPr>
        <w:numId w:val="28"/>
      </w:numPr>
      <w:spacing w:after="120" w:line="300" w:lineRule="exact"/>
      <w:jc w:val="both"/>
    </w:pPr>
    <w:rPr>
      <w:rFonts w:ascii="Times New Roman" w:eastAsiaTheme="minorEastAsia" w:hAnsi="Times New Roman"/>
      <w:lang w:val="en-NZ" w:eastAsia="en-NZ"/>
    </w:rPr>
  </w:style>
  <w:style w:type="character" w:customStyle="1" w:styleId="Best2Char">
    <w:name w:val="Best2 Char"/>
    <w:basedOn w:val="DefaultParagraphFont"/>
    <w:link w:val="Best2"/>
    <w:rsid w:val="00786006"/>
    <w:rPr>
      <w:rFonts w:ascii="Times New Roman" w:eastAsiaTheme="minorEastAsia" w:hAnsi="Times New Roman"/>
      <w:lang w:val="en-NZ" w:eastAsia="en-NZ"/>
    </w:rPr>
  </w:style>
  <w:style w:type="paragraph" w:customStyle="1" w:styleId="favourite">
    <w:name w:val="favourite"/>
    <w:basedOn w:val="Default"/>
    <w:link w:val="favouriteChar"/>
    <w:qFormat/>
    <w:rsid w:val="00786006"/>
    <w:pPr>
      <w:numPr>
        <w:numId w:val="32"/>
      </w:numPr>
    </w:pPr>
  </w:style>
  <w:style w:type="character" w:customStyle="1" w:styleId="favouriteChar">
    <w:name w:val="favourite Char"/>
    <w:basedOn w:val="DefaultChar"/>
    <w:link w:val="favourite"/>
    <w:rsid w:val="00786006"/>
    <w:rPr>
      <w:rFonts w:ascii="Times New Roman" w:eastAsiaTheme="minorEastAsia" w:hAnsi="Times New Roman" w:cs="Times New Roman"/>
      <w:color w:val="000000"/>
      <w:sz w:val="24"/>
      <w:szCs w:val="24"/>
      <w:lang w:val="en-NZ" w:eastAsia="en-NZ"/>
    </w:rPr>
  </w:style>
  <w:style w:type="paragraph" w:customStyle="1" w:styleId="WCPFCCaption">
    <w:name w:val="WCPFC Caption"/>
    <w:basedOn w:val="Caption"/>
    <w:link w:val="WCPFCCaptionChar"/>
    <w:qFormat/>
    <w:rsid w:val="00013F4E"/>
    <w:pPr>
      <w:ind w:left="720" w:hanging="720"/>
    </w:pPr>
    <w:rPr>
      <w:rFonts w:ascii="Times New Roman" w:eastAsiaTheme="minorEastAsia" w:hAnsi="Times New Roman" w:cs="Times New Roman"/>
      <w:b/>
      <w:bCs/>
      <w:i w:val="0"/>
      <w:iCs w:val="0"/>
      <w:color w:val="auto"/>
      <w:lang w:val="en-NZ" w:eastAsia="en-NZ"/>
    </w:rPr>
  </w:style>
  <w:style w:type="character" w:customStyle="1" w:styleId="WCPFCCaptionChar">
    <w:name w:val="WCPFC Caption Char"/>
    <w:basedOn w:val="DefaultParagraphFont"/>
    <w:link w:val="WCPFCCaption"/>
    <w:rsid w:val="00013F4E"/>
    <w:rPr>
      <w:rFonts w:ascii="Times New Roman" w:eastAsiaTheme="minorEastAsia" w:hAnsi="Times New Roman" w:cs="Times New Roman"/>
      <w:b/>
      <w:bCs/>
      <w:sz w:val="18"/>
      <w:szCs w:val="18"/>
      <w:lang w:val="en-NZ" w:eastAsia="en-NZ"/>
    </w:rPr>
  </w:style>
  <w:style w:type="character" w:customStyle="1" w:styleId="CaptionChar">
    <w:name w:val="Caption Char"/>
    <w:basedOn w:val="DefaultParagraphFont"/>
    <w:link w:val="Caption"/>
    <w:uiPriority w:val="35"/>
    <w:rsid w:val="00013F4E"/>
    <w:rPr>
      <w:i/>
      <w:iCs/>
      <w:color w:val="44546A" w:themeColor="text2"/>
      <w:sz w:val="18"/>
      <w:szCs w:val="18"/>
    </w:rPr>
  </w:style>
  <w:style w:type="character" w:styleId="FollowedHyperlink">
    <w:name w:val="FollowedHyperlink"/>
    <w:basedOn w:val="DefaultParagraphFont"/>
    <w:uiPriority w:val="99"/>
    <w:semiHidden/>
    <w:unhideWhenUsed/>
    <w:rsid w:val="003034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isc.fra.go.jp/reports/isc/isc18_reports.htm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cpfc.int/node/29523" TargetMode="External"/><Relationship Id="rId17" Type="http://schemas.openxmlformats.org/officeDocument/2006/relationships/hyperlink" Target="https://wcpfc.int/node/2055" TargetMode="External"/><Relationship Id="rId2" Type="http://schemas.openxmlformats.org/officeDocument/2006/relationships/numbering" Target="numbering.xml"/><Relationship Id="rId16" Type="http://schemas.openxmlformats.org/officeDocument/2006/relationships/hyperlink" Target="https://wcpfc.int/node/473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yperlink" Target="https://wcpfc.int/node/3668" TargetMode="External"/><Relationship Id="rId10" Type="http://schemas.openxmlformats.org/officeDocument/2006/relationships/image" Target="media/image3.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wcpfc.int/node/192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43A09A-A9B6-4484-B38E-9EB58D17C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1496</Words>
  <Characters>8533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J. Beeching</dc:creator>
  <cp:keywords/>
  <dc:description/>
  <cp:lastModifiedBy>Anthony J. Beeching</cp:lastModifiedBy>
  <cp:revision>4</cp:revision>
  <dcterms:created xsi:type="dcterms:W3CDTF">2018-08-23T02:43:00Z</dcterms:created>
  <dcterms:modified xsi:type="dcterms:W3CDTF">2018-08-23T23:48:00Z</dcterms:modified>
</cp:coreProperties>
</file>